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(2019nCoV)-Lage“</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w:t>
              </w:r>
              <w:proofErr w:type="spellStart"/>
              <w:r>
                <w:rPr>
                  <w:sz w:val="22"/>
                </w:rPr>
                <w:t>nCoV</w:t>
              </w:r>
              <w:proofErr w:type="spellEnd"/>
              <w:r>
                <w:rPr>
                  <w:sz w:val="22"/>
                </w:rPr>
                <w:t>),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20.02.2020,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4"/>
        </w:numPr>
        <w:spacing w:after="0"/>
        <w:contextualSpacing w:val="0"/>
        <w:rPr>
          <w:sz w:val="22"/>
        </w:rPr>
      </w:pPr>
      <w:r>
        <w:rPr>
          <w:sz w:val="22"/>
        </w:rPr>
        <w:t>AL3-Leitung</w:t>
      </w:r>
    </w:p>
    <w:p>
      <w:pPr>
        <w:pStyle w:val="Listenabsatz"/>
        <w:numPr>
          <w:ilvl w:val="1"/>
          <w:numId w:val="2"/>
        </w:numPr>
        <w:spacing w:after="0"/>
        <w:contextualSpacing w:val="0"/>
        <w:rPr>
          <w:sz w:val="22"/>
        </w:rPr>
      </w:pPr>
      <w:r>
        <w:rPr>
          <w:sz w:val="22"/>
        </w:rPr>
        <w:t>Osamah Hamouda</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 xml:space="preserve">Ute Rexroth </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Juliane Seidel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1"/>
          <w:numId w:val="2"/>
        </w:numPr>
        <w:spacing w:after="0"/>
        <w:contextualSpacing w:val="0"/>
        <w:rPr>
          <w:sz w:val="22"/>
        </w:rPr>
      </w:pPr>
      <w:r>
        <w:rPr>
          <w:sz w:val="22"/>
        </w:rPr>
        <w:t>Udo Buchholz</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Susanne Glasmacher</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BZGA:</w:t>
      </w:r>
      <w:r>
        <w:rPr>
          <w:sz w:val="22"/>
        </w:rPr>
        <w:tab/>
        <w:t>-</w:t>
      </w:r>
    </w:p>
    <w:p>
      <w:pPr>
        <w:pStyle w:val="Listenabsatz"/>
        <w:numPr>
          <w:ilvl w:val="0"/>
          <w:numId w:val="2"/>
        </w:numPr>
        <w:spacing w:after="0"/>
        <w:contextualSpacing w:val="0"/>
        <w:rPr>
          <w:sz w:val="22"/>
        </w:rPr>
      </w:pPr>
      <w:r>
        <w:rPr>
          <w:sz w:val="22"/>
        </w:rPr>
        <w:t xml:space="preserve">Bundeswehr: </w:t>
      </w:r>
      <w:proofErr w:type="spellStart"/>
      <w:r>
        <w:rPr>
          <w:sz w:val="22"/>
        </w:rPr>
        <w:t>Katalyn</w:t>
      </w:r>
      <w:proofErr w:type="spellEnd"/>
      <w:r>
        <w:rPr>
          <w:sz w:val="22"/>
        </w:rPr>
        <w:t xml:space="preserve"> Rossmann (per Telefon)</w:t>
      </w:r>
    </w:p>
    <w:p>
      <w:pPr>
        <w:spacing w:after="0"/>
      </w:pPr>
      <w:r>
        <w:rPr>
          <w:sz w:val="22"/>
        </w:rPr>
        <w:t xml:space="preserve"> </w:t>
      </w:r>
      <w:r>
        <w:br w:type="page"/>
      </w:r>
    </w:p>
    <w:p/>
    <w:tbl>
      <w:tblPr>
        <w:tblStyle w:val="Tabellenraster"/>
        <w:tblW w:w="8613" w:type="dxa"/>
        <w:tblLayout w:type="fixed"/>
        <w:tblLook w:val="00A0" w:firstRow="1" w:lastRow="0" w:firstColumn="1" w:lastColumn="0" w:noHBand="0" w:noVBand="0"/>
      </w:tblPr>
      <w:tblGrid>
        <w:gridCol w:w="684"/>
        <w:gridCol w:w="7929"/>
      </w:tblGrid>
      <w:tr>
        <w:tc>
          <w:tcPr>
            <w:tcW w:w="684" w:type="dxa"/>
          </w:tcPr>
          <w:p>
            <w:pPr>
              <w:rPr>
                <w:b/>
              </w:rPr>
            </w:pPr>
            <w:r>
              <w:rPr>
                <w:b/>
              </w:rPr>
              <w:t>1</w:t>
            </w:r>
          </w:p>
        </w:tc>
        <w:tc>
          <w:tcPr>
            <w:tcW w:w="7929" w:type="dxa"/>
          </w:tcPr>
          <w:p>
            <w:pPr>
              <w:rPr>
                <w:b/>
                <w:sz w:val="28"/>
              </w:rPr>
            </w:pPr>
            <w:r>
              <w:rPr>
                <w:b/>
                <w:sz w:val="28"/>
              </w:rPr>
              <w:t xml:space="preserve">Aktuelle Lage </w:t>
            </w:r>
          </w:p>
          <w:p>
            <w:pPr>
              <w:spacing w:before="240"/>
              <w:rPr>
                <w:b/>
                <w:sz w:val="22"/>
                <w:szCs w:val="22"/>
              </w:rPr>
            </w:pPr>
            <w:r>
              <w:rPr>
                <w:b/>
                <w:sz w:val="22"/>
                <w:szCs w:val="22"/>
              </w:rPr>
              <w:t xml:space="preserve">International </w:t>
            </w:r>
          </w:p>
          <w:p>
            <w:pPr>
              <w:pStyle w:val="Listenabsatz"/>
              <w:numPr>
                <w:ilvl w:val="0"/>
                <w:numId w:val="15"/>
              </w:numPr>
              <w:rPr>
                <w:b/>
              </w:rPr>
            </w:pPr>
            <w:r>
              <w:rPr>
                <w:b/>
                <w:sz w:val="22"/>
                <w:szCs w:val="22"/>
              </w:rPr>
              <w:t>Fälle, Schwere</w:t>
            </w:r>
          </w:p>
          <w:p>
            <w:pPr>
              <w:pStyle w:val="Listenabsatz"/>
              <w:numPr>
                <w:ilvl w:val="1"/>
                <w:numId w:val="15"/>
              </w:numPr>
              <w:rPr>
                <w:sz w:val="22"/>
              </w:rPr>
            </w:pPr>
            <w:r>
              <w:rPr>
                <w:sz w:val="22"/>
              </w:rPr>
              <w:t xml:space="preserve">Weltweit 75.734 (+527), davon 2.128 Todesfälle (+118), </w:t>
            </w:r>
            <w:r>
              <w:rPr>
                <w:sz w:val="22"/>
              </w:rPr>
              <w:br/>
              <w:t xml:space="preserve">2,8% Letalität; </w:t>
            </w:r>
          </w:p>
          <w:p>
            <w:pPr>
              <w:pStyle w:val="Listenabsatz"/>
              <w:numPr>
                <w:ilvl w:val="1"/>
                <w:numId w:val="15"/>
              </w:numPr>
              <w:rPr>
                <w:sz w:val="22"/>
              </w:rPr>
            </w:pPr>
            <w:r>
              <w:rPr>
                <w:sz w:val="22"/>
              </w:rPr>
              <w:t>China (inkl. Hongkong, Taiwan und Macau) 74.676 (+397) Fälle, 2.121 (2,7%, +114) Todesfälle, 11.983 (16%) "ernsthaft erkrankt"; 14.376 genesen; 5.248 Verdachtsfälle.</w:t>
            </w:r>
          </w:p>
          <w:p>
            <w:pPr>
              <w:pStyle w:val="Listenabsatz"/>
              <w:numPr>
                <w:ilvl w:val="1"/>
                <w:numId w:val="15"/>
              </w:numPr>
              <w:rPr>
                <w:sz w:val="22"/>
              </w:rPr>
            </w:pPr>
            <w:r>
              <w:rPr>
                <w:sz w:val="22"/>
              </w:rPr>
              <w:t>Provinz Hubei 62.013 (+331) Fälle (83% von Gesamt), davon 2.029 Todesfälle (3,3%, +107), 11.246 (18,1%) "ernsthaft und kritisch erkrankt"</w:t>
            </w:r>
          </w:p>
          <w:p>
            <w:pPr>
              <w:pStyle w:val="Listenabsatz"/>
              <w:numPr>
                <w:ilvl w:val="1"/>
                <w:numId w:val="15"/>
              </w:numPr>
              <w:rPr>
                <w:sz w:val="22"/>
              </w:rPr>
            </w:pPr>
            <w:r>
              <w:rPr>
                <w:sz w:val="22"/>
              </w:rPr>
              <w:t>Gestern gab es eine erneute Änderung der Falldefinition: klinisch diagnostizierte Fälle werden als Verdachtsfälle und nicht mehr als bestätigte Fälle eingestuft. Trotzdem ist die Zahl der Verdachtsfälle deutlich zurückgegangen.</w:t>
            </w:r>
          </w:p>
          <w:p>
            <w:pPr>
              <w:pStyle w:val="Listenabsatz"/>
              <w:numPr>
                <w:ilvl w:val="1"/>
                <w:numId w:val="15"/>
              </w:numPr>
              <w:rPr>
                <w:sz w:val="22"/>
              </w:rPr>
            </w:pPr>
            <w:r>
              <w:rPr>
                <w:sz w:val="22"/>
              </w:rPr>
              <w:t>In allen chinesischen Regionen abfallende Trends.</w:t>
            </w:r>
          </w:p>
          <w:p>
            <w:pPr>
              <w:pStyle w:val="Listenabsatz"/>
              <w:numPr>
                <w:ilvl w:val="1"/>
                <w:numId w:val="15"/>
              </w:numPr>
              <w:rPr>
                <w:sz w:val="22"/>
              </w:rPr>
            </w:pPr>
            <w:r>
              <w:rPr>
                <w:b/>
                <w:sz w:val="22"/>
              </w:rPr>
              <w:t>International</w:t>
            </w:r>
            <w:r>
              <w:rPr>
                <w:sz w:val="22"/>
              </w:rPr>
              <w:t xml:space="preserve"> 25 Länder mit 1.058 (+132) Fällen, neu sind 2 Fälle im Iran, 10 in Japan, 4 in Singapur, 41 in Südkorea; </w:t>
            </w:r>
          </w:p>
          <w:p>
            <w:pPr>
              <w:pStyle w:val="Listenabsatz"/>
              <w:numPr>
                <w:ilvl w:val="1"/>
                <w:numId w:val="15"/>
              </w:numPr>
              <w:rPr>
                <w:sz w:val="22"/>
              </w:rPr>
            </w:pPr>
            <w:r>
              <w:rPr>
                <w:sz w:val="22"/>
              </w:rPr>
              <w:t>Kreuzfahrtschiff „Diamond Princess“: 76 neue Fälle, insges. 621</w:t>
            </w:r>
          </w:p>
          <w:p>
            <w:pPr>
              <w:pStyle w:val="Listenabsatz"/>
              <w:numPr>
                <w:ilvl w:val="1"/>
                <w:numId w:val="15"/>
              </w:numPr>
              <w:rPr>
                <w:sz w:val="22"/>
              </w:rPr>
            </w:pPr>
            <w:r>
              <w:rPr>
                <w:sz w:val="22"/>
              </w:rPr>
              <w:t xml:space="preserve">Insgesamt 7 Todesfälle </w:t>
            </w:r>
            <w:r>
              <w:rPr>
                <w:sz w:val="22"/>
              </w:rPr>
              <w:sym w:font="Wingdings" w:char="F0E0"/>
            </w:r>
            <w:r>
              <w:rPr>
                <w:sz w:val="22"/>
              </w:rPr>
              <w:t>+4 zu gestern (2 Iran, 2 „Diamond Princess“ (Japaner), 1 Philippinen, 1 Japan, 1 Frankreich); Letalität: 0,7%; 39 schwere Krankheitsverläufe (3,7%)</w:t>
            </w:r>
          </w:p>
          <w:p>
            <w:pPr>
              <w:pStyle w:val="Listenabsatz"/>
              <w:numPr>
                <w:ilvl w:val="1"/>
                <w:numId w:val="15"/>
              </w:numPr>
              <w:rPr>
                <w:sz w:val="22"/>
              </w:rPr>
            </w:pPr>
            <w:r>
              <w:rPr>
                <w:sz w:val="22"/>
              </w:rPr>
              <w:t>Europa (WHO Region) 9 Länder mit 47 Fällen (FR, DE, IT, SP, SE, UK, FI, BE, RU)</w:t>
            </w:r>
          </w:p>
          <w:p>
            <w:pPr>
              <w:pStyle w:val="Listenabsatz"/>
              <w:numPr>
                <w:ilvl w:val="1"/>
                <w:numId w:val="15"/>
              </w:numPr>
              <w:rPr>
                <w:sz w:val="22"/>
              </w:rPr>
            </w:pPr>
            <w:r>
              <w:rPr>
                <w:sz w:val="22"/>
              </w:rPr>
              <w:t>Trend außerhalb Chinas: ansteigend durch die Fälle auf dem Kreuzfahrtschiff.</w:t>
            </w:r>
          </w:p>
          <w:p>
            <w:pPr>
              <w:pStyle w:val="Listenabsatz"/>
              <w:numPr>
                <w:ilvl w:val="0"/>
                <w:numId w:val="15"/>
              </w:numPr>
              <w:rPr>
                <w:b/>
                <w:sz w:val="22"/>
                <w:szCs w:val="22"/>
              </w:rPr>
            </w:pPr>
            <w:r>
              <w:rPr>
                <w:b/>
                <w:sz w:val="22"/>
                <w:szCs w:val="22"/>
              </w:rPr>
              <w:t>Risikogebiete (s. Präsentation Risikogebiet INIG)</w:t>
            </w:r>
          </w:p>
          <w:p>
            <w:pPr>
              <w:pStyle w:val="Listenabsatz"/>
              <w:numPr>
                <w:ilvl w:val="1"/>
                <w:numId w:val="15"/>
              </w:numPr>
              <w:rPr>
                <w:sz w:val="22"/>
              </w:rPr>
            </w:pPr>
            <w:r>
              <w:rPr>
                <w:b/>
                <w:sz w:val="22"/>
                <w:lang w:val="en-GB"/>
              </w:rPr>
              <w:t xml:space="preserve">„Limited community </w:t>
            </w:r>
            <w:proofErr w:type="gramStart"/>
            <w:r>
              <w:rPr>
                <w:b/>
                <w:sz w:val="22"/>
                <w:lang w:val="en-GB"/>
              </w:rPr>
              <w:t>transmission“ in</w:t>
            </w:r>
            <w:proofErr w:type="gramEnd"/>
            <w:r>
              <w:rPr>
                <w:b/>
                <w:sz w:val="22"/>
                <w:lang w:val="en-GB"/>
              </w:rPr>
              <w:t xml:space="preserve"> Hongkong und </w:t>
            </w:r>
            <w:proofErr w:type="spellStart"/>
            <w:r>
              <w:rPr>
                <w:b/>
                <w:sz w:val="22"/>
                <w:lang w:val="en-GB"/>
              </w:rPr>
              <w:t>Singapur</w:t>
            </w:r>
            <w:proofErr w:type="spellEnd"/>
            <w:r>
              <w:rPr>
                <w:sz w:val="22"/>
                <w:lang w:val="en-GB"/>
              </w:rPr>
              <w:t xml:space="preserve">. </w:t>
            </w:r>
            <w:r>
              <w:rPr>
                <w:sz w:val="22"/>
              </w:rPr>
              <w:t xml:space="preserve">Hongkong: von 65 bestätigten Fällen 15 mit unklarer Quelle (Untersuchungen sind teilweise abgeschlossen), ggf. comm. </w:t>
            </w:r>
            <w:proofErr w:type="spellStart"/>
            <w:r>
              <w:rPr>
                <w:sz w:val="22"/>
              </w:rPr>
              <w:t>transmission</w:t>
            </w:r>
            <w:proofErr w:type="spellEnd"/>
            <w:r>
              <w:rPr>
                <w:sz w:val="22"/>
              </w:rPr>
              <w:t>;</w:t>
            </w:r>
            <w:r>
              <w:rPr>
                <w:sz w:val="22"/>
              </w:rPr>
              <w:br/>
              <w:t>Singapur: von 84 bestätigten Fällen 8 mit unklarer Quelle (Untersuchungen laufen teilweise noch)</w:t>
            </w:r>
          </w:p>
          <w:p>
            <w:pPr>
              <w:pStyle w:val="Listenabsatz"/>
              <w:numPr>
                <w:ilvl w:val="1"/>
                <w:numId w:val="15"/>
              </w:numPr>
              <w:rPr>
                <w:sz w:val="22"/>
                <w:lang w:val="en-GB"/>
              </w:rPr>
            </w:pPr>
            <w:r>
              <w:rPr>
                <w:sz w:val="22"/>
                <w:lang w:val="en-GB"/>
              </w:rPr>
              <w:t xml:space="preserve">CDC: travel advice </w:t>
            </w:r>
            <w:proofErr w:type="spellStart"/>
            <w:r>
              <w:rPr>
                <w:sz w:val="22"/>
                <w:lang w:val="en-GB"/>
              </w:rPr>
              <w:t>für</w:t>
            </w:r>
            <w:proofErr w:type="spellEnd"/>
            <w:r>
              <w:rPr>
                <w:sz w:val="22"/>
                <w:lang w:val="en-GB"/>
              </w:rPr>
              <w:t xml:space="preserve"> Hongkong auf Level 1 (Watch) </w:t>
            </w:r>
            <w:proofErr w:type="spellStart"/>
            <w:r>
              <w:rPr>
                <w:sz w:val="22"/>
                <w:lang w:val="en-GB"/>
              </w:rPr>
              <w:t>angezogen</w:t>
            </w:r>
            <w:proofErr w:type="spellEnd"/>
            <w:r>
              <w:rPr>
                <w:sz w:val="22"/>
                <w:lang w:val="en-GB"/>
              </w:rPr>
              <w:t xml:space="preserve"> (“…multiple instances of community spread…”)</w:t>
            </w:r>
          </w:p>
          <w:p>
            <w:pPr>
              <w:pStyle w:val="Listenabsatz"/>
              <w:numPr>
                <w:ilvl w:val="1"/>
                <w:numId w:val="15"/>
              </w:numPr>
              <w:rPr>
                <w:sz w:val="22"/>
              </w:rPr>
            </w:pPr>
            <w:r>
              <w:rPr>
                <w:b/>
                <w:sz w:val="22"/>
              </w:rPr>
              <w:t>Japan</w:t>
            </w:r>
            <w:r>
              <w:rPr>
                <w:sz w:val="22"/>
              </w:rPr>
              <w:t>: steigende Tendenz sichtbar auch bei Analyse ohne die Kreuzfahrtschifffälle, die Fälle sind über 10 Provinzen verbreitet, bei lokalen Übertragungen unklar, ob Hinweise auf Infektionsquelle/ -kette, Behörden sind angeblich überfordert. Entwicklung in Japan wird vom RKI intensiv beobachtet.</w:t>
            </w:r>
          </w:p>
          <w:p>
            <w:pPr>
              <w:rPr>
                <w:b/>
                <w:i/>
                <w:sz w:val="22"/>
              </w:rPr>
            </w:pPr>
            <w:proofErr w:type="spellStart"/>
            <w:r>
              <w:rPr>
                <w:b/>
                <w:i/>
                <w:sz w:val="22"/>
              </w:rPr>
              <w:t>ToDo</w:t>
            </w:r>
            <w:proofErr w:type="spellEnd"/>
            <w:r>
              <w:rPr>
                <w:b/>
                <w:i/>
                <w:sz w:val="22"/>
              </w:rPr>
              <w:t xml:space="preserve">: Info zu Japan für </w:t>
            </w:r>
            <w:proofErr w:type="spellStart"/>
            <w:r>
              <w:rPr>
                <w:b/>
                <w:i/>
                <w:sz w:val="22"/>
              </w:rPr>
              <w:t>Präs</w:t>
            </w:r>
            <w:proofErr w:type="spellEnd"/>
            <w:r>
              <w:rPr>
                <w:b/>
                <w:i/>
                <w:sz w:val="22"/>
              </w:rPr>
              <w:t xml:space="preserve"> zusammenstellen. </w:t>
            </w:r>
          </w:p>
          <w:p>
            <w:pPr>
              <w:pStyle w:val="Listenabsatz"/>
              <w:numPr>
                <w:ilvl w:val="1"/>
                <w:numId w:val="15"/>
              </w:numPr>
              <w:rPr>
                <w:sz w:val="22"/>
              </w:rPr>
            </w:pPr>
            <w:r>
              <w:rPr>
                <w:b/>
                <w:sz w:val="22"/>
              </w:rPr>
              <w:t>Südkorea</w:t>
            </w:r>
            <w:r>
              <w:rPr>
                <w:sz w:val="22"/>
              </w:rPr>
              <w:t>: die 41 Fälle stellen 1 Cluster dar (eine Kirchenveranstaltung, nachvollziehbare Infektions-kette)</w:t>
            </w:r>
          </w:p>
          <w:p>
            <w:pPr>
              <w:pStyle w:val="Listenabsatz"/>
              <w:numPr>
                <w:ilvl w:val="1"/>
                <w:numId w:val="15"/>
              </w:numPr>
              <w:rPr>
                <w:sz w:val="22"/>
              </w:rPr>
            </w:pPr>
            <w:r>
              <w:rPr>
                <w:b/>
                <w:sz w:val="22"/>
              </w:rPr>
              <w:t>Iran</w:t>
            </w:r>
            <w:r>
              <w:rPr>
                <w:sz w:val="22"/>
              </w:rPr>
              <w:t xml:space="preserve">: es handelt sich um 2 ältere Patienten, aus </w:t>
            </w:r>
            <w:proofErr w:type="spellStart"/>
            <w:r>
              <w:rPr>
                <w:sz w:val="22"/>
              </w:rPr>
              <w:t>Qom</w:t>
            </w:r>
            <w:proofErr w:type="spellEnd"/>
            <w:r>
              <w:rPr>
                <w:sz w:val="22"/>
              </w:rPr>
              <w:t xml:space="preserve"> (religiöses Zentrum), 78 km südlich von Teheran, ca. 1.3 Millionen EW, beide sind am 19.2.2020 verstorben, beide hatten keine Reiseanamnese ins Ausland oder außerhalb der Provinz, alle Schulen und Universitäten in der Provinz am Donnerstag als </w:t>
            </w:r>
            <w:r>
              <w:rPr>
                <w:sz w:val="22"/>
              </w:rPr>
              <w:lastRenderedPageBreak/>
              <w:t>Vorsichtsmaßnahme gegen eine weitere Ausbreitung der Krankheit geschlossen. Bereits am 18.2. besuchte der iranische Vize-Gesundheitsminister Jan-</w:t>
            </w:r>
            <w:proofErr w:type="spellStart"/>
            <w:r>
              <w:rPr>
                <w:sz w:val="22"/>
              </w:rPr>
              <w:t>Babaei</w:t>
            </w:r>
            <w:proofErr w:type="spellEnd"/>
            <w:r>
              <w:rPr>
                <w:sz w:val="22"/>
              </w:rPr>
              <w:t xml:space="preserve"> in </w:t>
            </w:r>
            <w:proofErr w:type="spellStart"/>
            <w:r>
              <w:rPr>
                <w:sz w:val="22"/>
              </w:rPr>
              <w:t>Qom</w:t>
            </w:r>
            <w:proofErr w:type="spellEnd"/>
            <w:r>
              <w:rPr>
                <w:sz w:val="22"/>
              </w:rPr>
              <w:t xml:space="preserve">, um ein neu errichtetes „Notfallzentrum zur Behandlung von übertragbaren Erkrankungen“ einzuweihen. </w:t>
            </w:r>
            <w:r>
              <w:rPr>
                <w:sz w:val="22"/>
              </w:rPr>
              <w:br/>
              <w:t>Es wurde über die WHO eine Unterstützungsanfrage gestellt.</w:t>
            </w:r>
          </w:p>
          <w:p>
            <w:pPr>
              <w:pStyle w:val="Listenabsatz"/>
              <w:ind w:left="1440"/>
              <w:rPr>
                <w:sz w:val="22"/>
              </w:rPr>
            </w:pPr>
          </w:p>
          <w:p>
            <w:pPr>
              <w:pStyle w:val="Listenabsatz"/>
              <w:ind w:left="0"/>
              <w:rPr>
                <w:b/>
                <w:sz w:val="22"/>
                <w:lang w:val="en-GB"/>
              </w:rPr>
            </w:pPr>
            <w:r>
              <w:rPr>
                <w:b/>
                <w:sz w:val="22"/>
                <w:lang w:val="en-GB"/>
              </w:rPr>
              <w:t xml:space="preserve">Advisory forum/ECDC – Covid-19 war </w:t>
            </w:r>
            <w:proofErr w:type="spellStart"/>
            <w:r>
              <w:rPr>
                <w:b/>
                <w:sz w:val="22"/>
                <w:lang w:val="en-GB"/>
              </w:rPr>
              <w:t>einziger</w:t>
            </w:r>
            <w:proofErr w:type="spellEnd"/>
            <w:r>
              <w:rPr>
                <w:b/>
                <w:sz w:val="22"/>
                <w:lang w:val="en-GB"/>
              </w:rPr>
              <w:t xml:space="preserve"> TOP:</w:t>
            </w:r>
          </w:p>
          <w:p>
            <w:pPr>
              <w:pStyle w:val="Listenabsatz"/>
              <w:numPr>
                <w:ilvl w:val="0"/>
                <w:numId w:val="15"/>
              </w:numPr>
              <w:rPr>
                <w:sz w:val="22"/>
              </w:rPr>
            </w:pPr>
            <w:r>
              <w:rPr>
                <w:sz w:val="22"/>
              </w:rPr>
              <w:t>U.a. Diskussion zu Klassifizierung der Risikogebiete, bisheriger Vorschlag des ECDC kritisiert; Kriterienkatalog wurde vorgestellt, in der Diskussion zeigte sich die Komplexität der Situation und die weitreichenden Folgen (Reiseverkehr, Handel, etc.); Konzept wurde hinterfragt, aber keine abschließende Lösung gefunden; Konsens aller Teilnehmenden: Alleingänge bzgl. Einschätzung und Vorgehen zu vermeiden; TK zur weiteren Diskussion der Risikogebiete (unterschiedlich für Falldefinition, Reisehinweise) geplant</w:t>
            </w:r>
          </w:p>
          <w:p>
            <w:pPr>
              <w:pStyle w:val="Listenabsatz"/>
              <w:rPr>
                <w:sz w:val="22"/>
              </w:rPr>
            </w:pPr>
          </w:p>
          <w:p>
            <w:pPr>
              <w:pStyle w:val="Listenabsatz"/>
              <w:ind w:left="0"/>
              <w:rPr>
                <w:b/>
                <w:sz w:val="22"/>
              </w:rPr>
            </w:pPr>
            <w:r>
              <w:rPr>
                <w:b/>
                <w:sz w:val="22"/>
              </w:rPr>
              <w:t>WHO-TK mit Ländern die eigene Fälle haben</w:t>
            </w:r>
          </w:p>
          <w:p>
            <w:pPr>
              <w:pStyle w:val="Listenabsatz"/>
              <w:numPr>
                <w:ilvl w:val="0"/>
                <w:numId w:val="7"/>
              </w:numPr>
              <w:spacing w:after="200"/>
              <w:rPr>
                <w:sz w:val="22"/>
                <w:szCs w:val="22"/>
              </w:rPr>
            </w:pPr>
            <w:r>
              <w:rPr>
                <w:sz w:val="22"/>
                <w:szCs w:val="22"/>
              </w:rPr>
              <w:t>Definition Risikogebiete auch thematisiert, sehr unterschiedliche Definitionen, z.B. PHE hat sehr viele Risikogebiete definiert, WHO ganz China, etc.</w:t>
            </w:r>
          </w:p>
          <w:p>
            <w:pPr>
              <w:pStyle w:val="Listenabsatz"/>
              <w:rPr>
                <w:sz w:val="22"/>
              </w:rPr>
            </w:pPr>
          </w:p>
          <w:p>
            <w:pPr>
              <w:rPr>
                <w:b/>
                <w:sz w:val="22"/>
                <w:szCs w:val="22"/>
              </w:rPr>
            </w:pPr>
            <w:r>
              <w:rPr>
                <w:b/>
                <w:sz w:val="22"/>
                <w:szCs w:val="22"/>
              </w:rPr>
              <w:t>Maßnahmen International</w:t>
            </w:r>
          </w:p>
          <w:p>
            <w:pPr>
              <w:pStyle w:val="Listenabsatz"/>
              <w:numPr>
                <w:ilvl w:val="0"/>
                <w:numId w:val="7"/>
              </w:numPr>
              <w:spacing w:after="200"/>
              <w:rPr>
                <w:sz w:val="22"/>
                <w:szCs w:val="22"/>
              </w:rPr>
            </w:pPr>
            <w:r>
              <w:rPr>
                <w:sz w:val="22"/>
                <w:szCs w:val="22"/>
              </w:rPr>
              <w:t xml:space="preserve">CDC: andere Maßnahmen bei der Diamond Princess als für </w:t>
            </w:r>
            <w:proofErr w:type="spellStart"/>
            <w:r>
              <w:rPr>
                <w:sz w:val="22"/>
                <w:szCs w:val="22"/>
              </w:rPr>
              <w:t>Westerdam</w:t>
            </w:r>
            <w:proofErr w:type="spellEnd"/>
            <w:r>
              <w:rPr>
                <w:sz w:val="22"/>
                <w:szCs w:val="22"/>
              </w:rPr>
              <w:t xml:space="preserve"> angewendet</w:t>
            </w:r>
          </w:p>
          <w:p>
            <w:pPr>
              <w:rPr>
                <w:b/>
                <w:sz w:val="22"/>
                <w:szCs w:val="22"/>
              </w:rPr>
            </w:pPr>
            <w:r>
              <w:rPr>
                <w:b/>
                <w:sz w:val="22"/>
                <w:szCs w:val="22"/>
              </w:rPr>
              <w:t xml:space="preserve">National </w:t>
            </w:r>
          </w:p>
          <w:p>
            <w:pPr>
              <w:rPr>
                <w:b/>
                <w:sz w:val="22"/>
                <w:szCs w:val="22"/>
              </w:rPr>
            </w:pPr>
            <w:r>
              <w:rPr>
                <w:b/>
                <w:sz w:val="22"/>
                <w:szCs w:val="22"/>
              </w:rPr>
              <w:t>Diamond Princess</w:t>
            </w:r>
          </w:p>
          <w:p>
            <w:pPr>
              <w:pStyle w:val="Listenabsatz"/>
              <w:numPr>
                <w:ilvl w:val="0"/>
                <w:numId w:val="7"/>
              </w:numPr>
              <w:rPr>
                <w:sz w:val="22"/>
                <w:szCs w:val="22"/>
              </w:rPr>
            </w:pPr>
            <w:r>
              <w:rPr>
                <w:sz w:val="22"/>
                <w:szCs w:val="22"/>
              </w:rPr>
              <w:t xml:space="preserve">6 Personen nach Deutschland kommen nicht heute Abend in TXL an, sondern werden über Rom wahrscheinlich mit anschließendem Linienflug nach Deutschland kommen (noch zu klären). </w:t>
            </w:r>
          </w:p>
          <w:p>
            <w:pPr>
              <w:pStyle w:val="Listenabsatz"/>
              <w:numPr>
                <w:ilvl w:val="0"/>
                <w:numId w:val="7"/>
              </w:numPr>
              <w:rPr>
                <w:sz w:val="22"/>
                <w:szCs w:val="22"/>
              </w:rPr>
            </w:pPr>
            <w:r>
              <w:rPr>
                <w:sz w:val="22"/>
                <w:szCs w:val="22"/>
              </w:rPr>
              <w:t xml:space="preserve">AA favorisiert Transport mit Linienflügen, wegen unverhältnismäßigen Aufwands. </w:t>
            </w:r>
          </w:p>
          <w:p>
            <w:pPr>
              <w:pStyle w:val="Listenabsatz"/>
              <w:numPr>
                <w:ilvl w:val="0"/>
                <w:numId w:val="7"/>
              </w:numPr>
              <w:rPr>
                <w:sz w:val="22"/>
                <w:szCs w:val="22"/>
              </w:rPr>
            </w:pPr>
            <w:r>
              <w:rPr>
                <w:sz w:val="22"/>
                <w:szCs w:val="22"/>
              </w:rPr>
              <w:t>BMG favorisiert Transport mit Linienflug oder zentrale Rückführung mit anschließender häuslicher Quarantäne.</w:t>
            </w:r>
          </w:p>
          <w:p>
            <w:pPr>
              <w:pStyle w:val="Listenabsatz"/>
              <w:numPr>
                <w:ilvl w:val="0"/>
                <w:numId w:val="7"/>
              </w:numPr>
              <w:rPr>
                <w:sz w:val="22"/>
                <w:szCs w:val="22"/>
              </w:rPr>
            </w:pPr>
            <w:r>
              <w:rPr>
                <w:sz w:val="22"/>
                <w:szCs w:val="22"/>
              </w:rPr>
              <w:t>Bundeskanzleramt wünscht eine zentrale Unterbringung der sechs Personen.</w:t>
            </w:r>
          </w:p>
          <w:p>
            <w:pPr>
              <w:pStyle w:val="Listenabsatz"/>
              <w:numPr>
                <w:ilvl w:val="0"/>
                <w:numId w:val="7"/>
              </w:numPr>
              <w:spacing w:after="200"/>
              <w:rPr>
                <w:sz w:val="22"/>
                <w:szCs w:val="22"/>
              </w:rPr>
            </w:pPr>
            <w:r>
              <w:rPr>
                <w:sz w:val="22"/>
                <w:szCs w:val="22"/>
              </w:rPr>
              <w:t>Bundeswehr: neben häuslicher Quarantäne, Anfrage an BW für eine zentrale Quarantäne</w:t>
            </w:r>
          </w:p>
          <w:p>
            <w:pPr>
              <w:pStyle w:val="Listenabsatz"/>
              <w:numPr>
                <w:ilvl w:val="0"/>
                <w:numId w:val="7"/>
              </w:numPr>
              <w:rPr>
                <w:sz w:val="22"/>
                <w:szCs w:val="22"/>
              </w:rPr>
            </w:pPr>
            <w:r>
              <w:rPr>
                <w:sz w:val="22"/>
                <w:szCs w:val="22"/>
              </w:rPr>
              <w:t xml:space="preserve">RKI sieht einen Linienflug problematisch, weil die Quarantäneverhältnisse auf der Diamond Princess unklar sind (u.U. 15-20% Prävalenz unter den Passagieren). Alternativen zum Linienflug aktuell nicht bekannt. BMG (Rottmann) hat dazu heute noch eine Besprechung. </w:t>
            </w:r>
          </w:p>
          <w:p>
            <w:pPr>
              <w:rPr>
                <w:sz w:val="22"/>
              </w:rPr>
            </w:pPr>
            <w:r>
              <w:rPr>
                <w:b/>
                <w:sz w:val="22"/>
              </w:rPr>
              <w:t>MS Westerdam</w:t>
            </w:r>
            <w:r>
              <w:rPr>
                <w:sz w:val="22"/>
              </w:rPr>
              <w:t xml:space="preserve">: </w:t>
            </w:r>
          </w:p>
          <w:p>
            <w:pPr>
              <w:pStyle w:val="Listenabsatz"/>
              <w:numPr>
                <w:ilvl w:val="0"/>
                <w:numId w:val="7"/>
              </w:numPr>
              <w:spacing w:after="200"/>
              <w:rPr>
                <w:sz w:val="22"/>
                <w:szCs w:val="22"/>
              </w:rPr>
            </w:pPr>
            <w:r>
              <w:rPr>
                <w:sz w:val="22"/>
                <w:szCs w:val="22"/>
              </w:rPr>
              <w:t>AA hat eine Liste von Personen gesendet, die über Istanbul nach Deutschland kommen werden, verschiedene Linienflüge</w:t>
            </w:r>
          </w:p>
          <w:p>
            <w:pPr>
              <w:pStyle w:val="Listenabsatz"/>
              <w:numPr>
                <w:ilvl w:val="0"/>
                <w:numId w:val="7"/>
              </w:numPr>
              <w:spacing w:after="200"/>
              <w:rPr>
                <w:sz w:val="22"/>
                <w:szCs w:val="22"/>
              </w:rPr>
            </w:pPr>
            <w:r>
              <w:rPr>
                <w:sz w:val="22"/>
                <w:szCs w:val="22"/>
              </w:rPr>
              <w:t>Reiseroute: von Kambodscha nach Istanbul mit Charterflug der Reederei, geplanten Maßnahmen in Istanbul noch unklar, Istanbul nach Deutschland per Linienflug (Monitoring während des Fluges?)</w:t>
            </w:r>
          </w:p>
          <w:p>
            <w:pPr>
              <w:pStyle w:val="Listenabsatz"/>
              <w:ind w:left="0"/>
              <w:rPr>
                <w:b/>
                <w:i/>
                <w:sz w:val="22"/>
              </w:rPr>
            </w:pPr>
            <w:proofErr w:type="spellStart"/>
            <w:r>
              <w:rPr>
                <w:b/>
                <w:i/>
                <w:sz w:val="22"/>
              </w:rPr>
              <w:t>ToDo</w:t>
            </w:r>
            <w:proofErr w:type="spellEnd"/>
            <w:r>
              <w:rPr>
                <w:b/>
                <w:i/>
                <w:sz w:val="22"/>
              </w:rPr>
              <w:t xml:space="preserve"> (FG32): Nachfrage bei AA bzgl. geplanter Maßnahmen in Istanbul, ggf. auch Nachfrage bei Reederei. </w:t>
            </w:r>
          </w:p>
          <w:p>
            <w:pPr>
              <w:pStyle w:val="Listenabsatz"/>
              <w:numPr>
                <w:ilvl w:val="0"/>
                <w:numId w:val="7"/>
              </w:numPr>
              <w:spacing w:after="200"/>
              <w:rPr>
                <w:sz w:val="22"/>
                <w:szCs w:val="22"/>
              </w:rPr>
            </w:pPr>
            <w:r>
              <w:rPr>
                <w:sz w:val="22"/>
                <w:szCs w:val="22"/>
              </w:rPr>
              <w:lastRenderedPageBreak/>
              <w:t>Kontaktpersonen der Westerdam sollen als Kat. II eingestuft werden.</w:t>
            </w:r>
          </w:p>
          <w:p>
            <w:pPr>
              <w:pStyle w:val="Listenabsatz"/>
              <w:numPr>
                <w:ilvl w:val="0"/>
                <w:numId w:val="7"/>
              </w:numPr>
              <w:spacing w:after="200"/>
              <w:rPr>
                <w:sz w:val="22"/>
                <w:szCs w:val="22"/>
              </w:rPr>
            </w:pPr>
            <w:r>
              <w:rPr>
                <w:sz w:val="22"/>
                <w:szCs w:val="22"/>
              </w:rPr>
              <w:t>BMG: Keine zentrale Abholung, aber Information der GA des Zielflughafens</w:t>
            </w:r>
          </w:p>
          <w:p>
            <w:pPr>
              <w:pStyle w:val="Listenabsatz"/>
              <w:numPr>
                <w:ilvl w:val="0"/>
                <w:numId w:val="7"/>
              </w:numPr>
              <w:spacing w:after="200"/>
              <w:rPr>
                <w:sz w:val="22"/>
                <w:szCs w:val="22"/>
              </w:rPr>
            </w:pPr>
            <w:r>
              <w:rPr>
                <w:sz w:val="22"/>
                <w:szCs w:val="22"/>
              </w:rPr>
              <w:t>RKI: Information der zuständigen GA und der entsprechenden  Zielflughäfen in Deutschland ist bereits erfolgt</w:t>
            </w:r>
          </w:p>
          <w:p>
            <w:pPr>
              <w:pStyle w:val="Listenabsatz"/>
              <w:numPr>
                <w:ilvl w:val="0"/>
                <w:numId w:val="7"/>
              </w:numPr>
              <w:spacing w:after="200"/>
              <w:rPr>
                <w:sz w:val="22"/>
                <w:szCs w:val="22"/>
              </w:rPr>
            </w:pPr>
            <w:r>
              <w:rPr>
                <w:sz w:val="22"/>
                <w:szCs w:val="22"/>
              </w:rPr>
              <w:t>Empfehlung an GA: Personen sollen am Flughafen in Empfang genommen und sich vor Ort aktiv über gesundheitlichen Zustand informieren werden (z.B. Gesundheitscheck), Weiterreise sollte organisiert (nicht mit ÖPNV) werden; GA Flughafen und GA Wohnort sollen sich ggf. bzgl. des Weitertransports abstimmen; die zuständigen GA haben bereits zu den Personen Kontakt aufgenommen;</w:t>
            </w:r>
            <w:r>
              <w:rPr>
                <w:sz w:val="22"/>
                <w:szCs w:val="22"/>
              </w:rPr>
              <w:br/>
              <w:t xml:space="preserve">RKI hat zudem über AGI und EpiLag informiert; generelle Information, das symptomatische Personen nicht reisen sollen ist breit gestreut </w:t>
            </w:r>
          </w:p>
          <w:p>
            <w:pPr>
              <w:pStyle w:val="Listenabsatz"/>
              <w:numPr>
                <w:ilvl w:val="0"/>
                <w:numId w:val="7"/>
              </w:numPr>
              <w:spacing w:after="200"/>
              <w:rPr>
                <w:sz w:val="22"/>
                <w:szCs w:val="22"/>
              </w:rPr>
            </w:pPr>
            <w:r>
              <w:rPr>
                <w:sz w:val="22"/>
                <w:szCs w:val="22"/>
              </w:rPr>
              <w:t>seit 14./15.02.2020 keine neuen Kontakte oder Fälle;</w:t>
            </w:r>
          </w:p>
          <w:p>
            <w:pPr>
              <w:pStyle w:val="Listenabsatz"/>
              <w:numPr>
                <w:ilvl w:val="0"/>
                <w:numId w:val="7"/>
              </w:numPr>
              <w:spacing w:after="200"/>
              <w:rPr>
                <w:sz w:val="22"/>
                <w:szCs w:val="22"/>
              </w:rPr>
            </w:pPr>
            <w:r>
              <w:rPr>
                <w:sz w:val="22"/>
                <w:szCs w:val="22"/>
              </w:rPr>
              <w:t>Unklarheit über mögliche falschpositive Testung der Kreuzfahrtpassagierin in Malaysia (2 pos. Tests, Frau ggf. positiv auf dem Schiff), Qualität der Testung nicht bekannt; Zweifel, ob die Passagiere der Westerdam überhaupt auf exponiert waren;</w:t>
            </w:r>
          </w:p>
          <w:p>
            <w:pPr>
              <w:pStyle w:val="Listenabsatz"/>
              <w:numPr>
                <w:ilvl w:val="0"/>
                <w:numId w:val="7"/>
              </w:numPr>
              <w:spacing w:after="200"/>
              <w:rPr>
                <w:sz w:val="22"/>
                <w:szCs w:val="22"/>
              </w:rPr>
            </w:pPr>
            <w:r>
              <w:rPr>
                <w:sz w:val="22"/>
                <w:szCs w:val="22"/>
              </w:rPr>
              <w:t xml:space="preserve">Information von CDC: 1. Probe falsch positiv, 2. Probe als Passagier symptomatisch war, ist negativ – </w:t>
            </w:r>
            <w:proofErr w:type="spellStart"/>
            <w:r>
              <w:rPr>
                <w:sz w:val="22"/>
                <w:szCs w:val="22"/>
              </w:rPr>
              <w:t>Verifîzierung</w:t>
            </w:r>
            <w:proofErr w:type="spellEnd"/>
            <w:r>
              <w:rPr>
                <w:sz w:val="22"/>
                <w:szCs w:val="22"/>
              </w:rPr>
              <w:t xml:space="preserve"> folgt, bitte an Epialert senden  </w:t>
            </w:r>
          </w:p>
          <w:p>
            <w:pPr>
              <w:pStyle w:val="Listenabsatz"/>
              <w:numPr>
                <w:ilvl w:val="0"/>
                <w:numId w:val="7"/>
              </w:numPr>
              <w:spacing w:after="200"/>
              <w:rPr>
                <w:sz w:val="22"/>
                <w:szCs w:val="22"/>
              </w:rPr>
            </w:pPr>
            <w:r>
              <w:rPr>
                <w:sz w:val="22"/>
                <w:szCs w:val="22"/>
              </w:rPr>
              <w:t xml:space="preserve">Information: CDC hat Westerdam-Passagiere als Kat. II eingeordnet (ebenso die Reederei); Maßnahmen ebenfalls zurückhaltender (viele US-Bürger auf Westerdam, Indexfall auch US-Bürgerin); </w:t>
            </w:r>
          </w:p>
          <w:p>
            <w:pPr>
              <w:rPr>
                <w:b/>
                <w:i/>
                <w:sz w:val="22"/>
              </w:rPr>
            </w:pPr>
            <w:r>
              <w:rPr>
                <w:b/>
                <w:i/>
                <w:sz w:val="22"/>
              </w:rPr>
              <w:t>TODO: Ute Rexroth: Anfrage an WHO mit Bitte um Stellungnahme zur Testung (falschpositiv?)</w:t>
            </w:r>
          </w:p>
          <w:p>
            <w:pPr>
              <w:pStyle w:val="Listenabsatz"/>
              <w:numPr>
                <w:ilvl w:val="0"/>
                <w:numId w:val="7"/>
              </w:numPr>
              <w:spacing w:after="200"/>
              <w:rPr>
                <w:sz w:val="22"/>
                <w:szCs w:val="22"/>
              </w:rPr>
            </w:pPr>
            <w:r>
              <w:rPr>
                <w:sz w:val="22"/>
                <w:szCs w:val="22"/>
              </w:rPr>
              <w:t>Öffentliches Interesse an Westerdam groß</w:t>
            </w:r>
          </w:p>
          <w:p>
            <w:pPr>
              <w:rPr>
                <w:b/>
                <w:sz w:val="22"/>
              </w:rPr>
            </w:pPr>
            <w:r>
              <w:rPr>
                <w:b/>
                <w:sz w:val="22"/>
              </w:rPr>
              <w:t>Bundeswehr</w:t>
            </w:r>
          </w:p>
          <w:p>
            <w:pPr>
              <w:pStyle w:val="Listenabsatz"/>
              <w:numPr>
                <w:ilvl w:val="0"/>
                <w:numId w:val="7"/>
              </w:numPr>
              <w:spacing w:after="200"/>
              <w:rPr>
                <w:sz w:val="22"/>
              </w:rPr>
            </w:pPr>
            <w:r>
              <w:rPr>
                <w:sz w:val="22"/>
                <w:szCs w:val="22"/>
              </w:rPr>
              <w:t>Rückführung von Deutschen aus Wuhan Rückkehrer: Abholung von Paris nach Stuttgart, ärztliche Begleitung von Facharzt ÖGD und Gesundheitsaufseher, Start 21.02.2020 von Köln nach Stuttgart, Repatriierte kommen in Kirchheim/Teck in einer Jugendherberge in zentrale Quarantäne.</w:t>
            </w:r>
          </w:p>
        </w:tc>
      </w:tr>
      <w:tr>
        <w:tc>
          <w:tcPr>
            <w:tcW w:w="684" w:type="dxa"/>
          </w:tcPr>
          <w:p>
            <w:pPr>
              <w:rPr>
                <w:b/>
              </w:rPr>
            </w:pPr>
            <w:r>
              <w:rPr>
                <w:b/>
              </w:rPr>
              <w:lastRenderedPageBreak/>
              <w:t>2</w:t>
            </w:r>
          </w:p>
        </w:tc>
        <w:tc>
          <w:tcPr>
            <w:tcW w:w="7929" w:type="dxa"/>
          </w:tcPr>
          <w:p>
            <w:pPr>
              <w:rPr>
                <w:b/>
                <w:sz w:val="28"/>
              </w:rPr>
            </w:pPr>
            <w:r>
              <w:rPr>
                <w:b/>
                <w:sz w:val="28"/>
              </w:rPr>
              <w:t>Erkenntnisse über Erreger</w:t>
            </w:r>
          </w:p>
          <w:p>
            <w:pPr>
              <w:pStyle w:val="Listenabsatz"/>
              <w:numPr>
                <w:ilvl w:val="0"/>
                <w:numId w:val="7"/>
              </w:numPr>
              <w:spacing w:after="200"/>
              <w:rPr>
                <w:sz w:val="22"/>
                <w:szCs w:val="22"/>
              </w:rPr>
            </w:pPr>
            <w:r>
              <w:rPr>
                <w:sz w:val="22"/>
                <w:szCs w:val="22"/>
              </w:rPr>
              <w:t>Bitte bzgl. Letalität auf Formulierung acht, nicht &gt;50 besonders gefährdet, besser Formulierungen wie z.B. „Letalität nimmt mit dem Alter zu…“ verwenden.</w:t>
            </w:r>
          </w:p>
        </w:tc>
      </w:tr>
      <w:tr>
        <w:tc>
          <w:tcPr>
            <w:tcW w:w="684" w:type="dxa"/>
          </w:tcPr>
          <w:p>
            <w:pPr>
              <w:rPr>
                <w:b/>
              </w:rPr>
            </w:pPr>
            <w:r>
              <w:rPr>
                <w:b/>
              </w:rPr>
              <w:t>3</w:t>
            </w:r>
          </w:p>
        </w:tc>
        <w:tc>
          <w:tcPr>
            <w:tcW w:w="7929" w:type="dxa"/>
          </w:tcPr>
          <w:p>
            <w:pPr>
              <w:rPr>
                <w:b/>
                <w:sz w:val="28"/>
              </w:rPr>
            </w:pPr>
            <w:r>
              <w:rPr>
                <w:b/>
                <w:sz w:val="28"/>
              </w:rPr>
              <w:t>Aktuelle Risikobewertung</w:t>
            </w:r>
          </w:p>
          <w:p>
            <w:pPr>
              <w:pStyle w:val="Listenabsatz"/>
              <w:numPr>
                <w:ilvl w:val="0"/>
                <w:numId w:val="7"/>
              </w:numPr>
              <w:spacing w:after="200"/>
              <w:rPr>
                <w:sz w:val="22"/>
                <w:szCs w:val="22"/>
              </w:rPr>
            </w:pPr>
            <w:r>
              <w:rPr>
                <w:sz w:val="22"/>
                <w:szCs w:val="22"/>
              </w:rPr>
              <w:t>Kein Anpassungsbedarf aktuell</w:t>
            </w:r>
          </w:p>
        </w:tc>
      </w:tr>
      <w:tr>
        <w:trPr>
          <w:trHeight w:val="518"/>
        </w:trPr>
        <w:tc>
          <w:tcPr>
            <w:tcW w:w="684" w:type="dxa"/>
          </w:tcPr>
          <w:p>
            <w:pPr>
              <w:rPr>
                <w:b/>
              </w:rPr>
            </w:pPr>
            <w:r>
              <w:rPr>
                <w:b/>
              </w:rPr>
              <w:t>4</w:t>
            </w:r>
          </w:p>
        </w:tc>
        <w:tc>
          <w:tcPr>
            <w:tcW w:w="7929" w:type="dxa"/>
          </w:tcPr>
          <w:p>
            <w:pPr>
              <w:rPr>
                <w:b/>
                <w:sz w:val="28"/>
                <w:szCs w:val="28"/>
              </w:rPr>
            </w:pPr>
            <w:r>
              <w:rPr>
                <w:b/>
                <w:sz w:val="28"/>
                <w:szCs w:val="28"/>
              </w:rPr>
              <w:t>Kommunikation</w:t>
            </w:r>
          </w:p>
          <w:p>
            <w:pPr>
              <w:rPr>
                <w:b/>
                <w:sz w:val="22"/>
                <w:szCs w:val="22"/>
              </w:rPr>
            </w:pPr>
            <w:r>
              <w:rPr>
                <w:b/>
                <w:sz w:val="22"/>
                <w:szCs w:val="22"/>
              </w:rPr>
              <w:t>Öffentlichkeitsarbeit/ Nummer der BMG-Hotline öffentlich machen? (Anfrage Presse)</w:t>
            </w:r>
          </w:p>
          <w:p>
            <w:pPr>
              <w:pStyle w:val="Listenabsatz"/>
              <w:numPr>
                <w:ilvl w:val="0"/>
                <w:numId w:val="7"/>
              </w:numPr>
              <w:spacing w:after="200"/>
              <w:rPr>
                <w:sz w:val="22"/>
                <w:szCs w:val="22"/>
              </w:rPr>
            </w:pPr>
            <w:r>
              <w:rPr>
                <w:sz w:val="22"/>
                <w:szCs w:val="22"/>
              </w:rPr>
              <w:t>Das BMG wünscht nicht, dass die Hotline offensiv beworben wird, bereits sehr ausgelastet (sie steht auf der BMG-Webseite/ Bürgerhotline, aber nicht auf der Corona-Seite)</w:t>
            </w:r>
          </w:p>
          <w:p>
            <w:pPr>
              <w:pStyle w:val="Listenabsatz"/>
              <w:numPr>
                <w:ilvl w:val="0"/>
                <w:numId w:val="7"/>
              </w:numPr>
              <w:spacing w:before="240" w:after="200"/>
              <w:rPr>
                <w:sz w:val="22"/>
                <w:szCs w:val="22"/>
              </w:rPr>
            </w:pPr>
            <w:r>
              <w:rPr>
                <w:sz w:val="22"/>
                <w:szCs w:val="22"/>
              </w:rPr>
              <w:t xml:space="preserve">Es wurden Ärzte von RKI-Hotline an die BMG-Hotline verwiesen. Das ist </w:t>
            </w:r>
            <w:r>
              <w:rPr>
                <w:sz w:val="22"/>
                <w:szCs w:val="22"/>
              </w:rPr>
              <w:lastRenderedPageBreak/>
              <w:t>ungünstig. Laut SOP für RKI-Pforte: Verweis an lokale GA; ganz spezielle Fragen können per E-Mail an RKI gesendet werden, einige Anrufe sind auch im LZ angekommen</w:t>
            </w:r>
          </w:p>
          <w:p>
            <w:pPr>
              <w:pStyle w:val="Listenabsatz"/>
              <w:numPr>
                <w:ilvl w:val="0"/>
                <w:numId w:val="7"/>
              </w:numPr>
              <w:spacing w:before="240" w:after="200"/>
              <w:rPr>
                <w:sz w:val="22"/>
                <w:szCs w:val="22"/>
              </w:rPr>
            </w:pPr>
            <w:r>
              <w:rPr>
                <w:sz w:val="22"/>
                <w:szCs w:val="22"/>
              </w:rPr>
              <w:t>Das RKI kann lokale Informationsveranstaltungen für Ärzte und KHS unterstützen, aber Initiative und Organisation von lokalen Akteuren</w:t>
            </w:r>
          </w:p>
          <w:p>
            <w:pPr>
              <w:pStyle w:val="Listenabsatz"/>
              <w:numPr>
                <w:ilvl w:val="0"/>
                <w:numId w:val="7"/>
              </w:numPr>
              <w:spacing w:before="240" w:after="200"/>
              <w:rPr>
                <w:sz w:val="22"/>
                <w:szCs w:val="22"/>
              </w:rPr>
            </w:pPr>
            <w:r>
              <w:rPr>
                <w:sz w:val="22"/>
                <w:szCs w:val="22"/>
              </w:rPr>
              <w:t>BMG: denkt auch über eine Veranstaltung nach, aber bisher keine konkreten Pläne oder Informationen</w:t>
            </w:r>
          </w:p>
          <w:p>
            <w:pPr>
              <w:rPr>
                <w:b/>
                <w:sz w:val="22"/>
              </w:rPr>
            </w:pPr>
            <w:r>
              <w:rPr>
                <w:b/>
                <w:sz w:val="22"/>
              </w:rPr>
              <w:t>BZgA</w:t>
            </w:r>
          </w:p>
          <w:p>
            <w:pPr>
              <w:pStyle w:val="Listenabsatz"/>
              <w:numPr>
                <w:ilvl w:val="0"/>
                <w:numId w:val="7"/>
              </w:numPr>
              <w:spacing w:after="200"/>
              <w:rPr>
                <w:sz w:val="22"/>
                <w:szCs w:val="22"/>
              </w:rPr>
            </w:pPr>
            <w:r>
              <w:rPr>
                <w:sz w:val="22"/>
                <w:szCs w:val="22"/>
              </w:rPr>
              <w:t>Am WE sollen nach den überregionalen Zeitungen auch die regionalen Zeitungen mit Anzeigenschaltungen gleichen Inhalts und Texts bedient werden.</w:t>
            </w:r>
          </w:p>
          <w:p>
            <w:pPr>
              <w:pStyle w:val="Listenabsatz"/>
              <w:numPr>
                <w:ilvl w:val="0"/>
                <w:numId w:val="7"/>
              </w:numPr>
              <w:spacing w:before="240" w:after="200"/>
              <w:rPr>
                <w:sz w:val="22"/>
                <w:szCs w:val="22"/>
              </w:rPr>
            </w:pPr>
            <w:r>
              <w:rPr>
                <w:sz w:val="22"/>
                <w:szCs w:val="22"/>
              </w:rPr>
              <w:t xml:space="preserve">Verteiler von Landes-KV-Adressen zur Information der Ärzte ist verfügbar, von RKI vorbereitetes Schreiben (Kurzinformation zur Lage und sinnvolle Dokumente-Flussschema, Erinnerung an Meldung und GA) kann durch BZgA an alle Ärzte versendet werden </w:t>
            </w:r>
          </w:p>
          <w:p>
            <w:pPr>
              <w:rPr>
                <w:b/>
                <w:i/>
                <w:sz w:val="22"/>
              </w:rPr>
            </w:pPr>
            <w:proofErr w:type="spellStart"/>
            <w:r>
              <w:rPr>
                <w:b/>
                <w:i/>
              </w:rPr>
              <w:t>ToDo</w:t>
            </w:r>
            <w:proofErr w:type="spellEnd"/>
            <w:r>
              <w:rPr>
                <w:b/>
                <w:i/>
              </w:rPr>
              <w:t xml:space="preserve">: </w:t>
            </w:r>
            <w:r>
              <w:rPr>
                <w:b/>
                <w:i/>
                <w:sz w:val="22"/>
              </w:rPr>
              <w:t>IBBS erstellt 1 Seite (Abstimmung mit BMG), Format: generisches Anschreiben (Handzettel) für Ärzte</w:t>
            </w:r>
          </w:p>
          <w:p>
            <w:pPr>
              <w:rPr>
                <w:sz w:val="22"/>
              </w:rPr>
            </w:pPr>
          </w:p>
          <w:p>
            <w:pPr>
              <w:rPr>
                <w:b/>
                <w:sz w:val="22"/>
              </w:rPr>
            </w:pPr>
            <w:r>
              <w:rPr>
                <w:b/>
                <w:sz w:val="22"/>
              </w:rPr>
              <w:t>Bundeswehr</w:t>
            </w:r>
          </w:p>
          <w:p>
            <w:pPr>
              <w:pStyle w:val="Listenabsatz"/>
              <w:numPr>
                <w:ilvl w:val="0"/>
                <w:numId w:val="7"/>
              </w:numPr>
              <w:spacing w:after="200"/>
              <w:rPr>
                <w:sz w:val="22"/>
                <w:szCs w:val="22"/>
              </w:rPr>
            </w:pPr>
            <w:r>
              <w:rPr>
                <w:sz w:val="22"/>
                <w:szCs w:val="22"/>
              </w:rPr>
              <w:t xml:space="preserve">seit 15.01.2020 erhält jeder BW-Arzt (insges. 3.500) täglich Informationen zur Lage, BW erhält auch seitens der Ärzte niedrigschwellig Informationen, z.B. über zurückkehrende Familienmitglieder aus Risikogebiet   </w:t>
            </w:r>
          </w:p>
          <w:p>
            <w:pPr>
              <w:pStyle w:val="Listenabsatz"/>
              <w:numPr>
                <w:ilvl w:val="0"/>
                <w:numId w:val="7"/>
              </w:numPr>
              <w:spacing w:before="240" w:after="200"/>
              <w:rPr>
                <w:sz w:val="22"/>
              </w:rPr>
            </w:pPr>
            <w:r>
              <w:rPr>
                <w:sz w:val="22"/>
                <w:szCs w:val="22"/>
              </w:rPr>
              <w:t>hat eigenen Kongressveranstalter und zentrale Fachgesellschaft, diese können bei der Planung von Veranstaltungen oder zur Verteilung von Informationen gern kann genutzt werden</w:t>
            </w:r>
            <w:r>
              <w:rPr>
                <w:sz w:val="22"/>
              </w:rPr>
              <w:t xml:space="preserve"> </w:t>
            </w:r>
          </w:p>
        </w:tc>
      </w:tr>
      <w:tr>
        <w:tc>
          <w:tcPr>
            <w:tcW w:w="684" w:type="dxa"/>
          </w:tcPr>
          <w:p>
            <w:pPr>
              <w:rPr>
                <w:b/>
              </w:rPr>
            </w:pPr>
            <w:r>
              <w:rPr>
                <w:b/>
              </w:rPr>
              <w:lastRenderedPageBreak/>
              <w:t>5</w:t>
            </w:r>
          </w:p>
        </w:tc>
        <w:tc>
          <w:tcPr>
            <w:tcW w:w="7929" w:type="dxa"/>
          </w:tcPr>
          <w:p>
            <w:pPr>
              <w:rPr>
                <w:sz w:val="22"/>
              </w:rPr>
            </w:pPr>
            <w:r>
              <w:rPr>
                <w:b/>
                <w:sz w:val="28"/>
              </w:rPr>
              <w:t>Dokumente</w:t>
            </w:r>
          </w:p>
          <w:p>
            <w:pPr>
              <w:pStyle w:val="Listenabsatz"/>
              <w:numPr>
                <w:ilvl w:val="0"/>
                <w:numId w:val="7"/>
              </w:numPr>
              <w:spacing w:after="200"/>
              <w:rPr>
                <w:sz w:val="22"/>
                <w:szCs w:val="22"/>
              </w:rPr>
            </w:pPr>
            <w:r>
              <w:rPr>
                <w:sz w:val="22"/>
                <w:szCs w:val="22"/>
              </w:rPr>
              <w:t>zum Rahmenkonzept heute TK zwischen BMG und FG36, es sollen Erwartungen abgestimmt werden, regelmäßige Termine werden vom BMG angestrebt</w:t>
            </w:r>
          </w:p>
          <w:p>
            <w:pPr>
              <w:pStyle w:val="Listenabsatz"/>
              <w:numPr>
                <w:ilvl w:val="0"/>
                <w:numId w:val="7"/>
              </w:numPr>
              <w:spacing w:before="240" w:after="200"/>
              <w:rPr>
                <w:sz w:val="22"/>
                <w:szCs w:val="22"/>
              </w:rPr>
            </w:pPr>
            <w:r>
              <w:rPr>
                <w:sz w:val="22"/>
                <w:szCs w:val="22"/>
              </w:rPr>
              <w:t>INIG: von der WHO über GOARN wurde ein Dokument (zu Containment – Mitigation - Management) zur Kommentierung gesendet</w:t>
            </w:r>
          </w:p>
          <w:p>
            <w:pPr>
              <w:spacing w:after="200"/>
              <w:rPr>
                <w:b/>
                <w:i/>
                <w:sz w:val="22"/>
              </w:rPr>
            </w:pPr>
            <w:proofErr w:type="spellStart"/>
            <w:r>
              <w:rPr>
                <w:b/>
                <w:i/>
                <w:sz w:val="22"/>
              </w:rPr>
              <w:t>ToDo</w:t>
            </w:r>
            <w:proofErr w:type="spellEnd"/>
            <w:r>
              <w:rPr>
                <w:b/>
                <w:i/>
                <w:sz w:val="22"/>
              </w:rPr>
              <w:t>: FG36 erhält Dokument und gibt Kommentare bis morgen 15 Uhr an INIG (Andreas Jansen) zurück</w:t>
            </w:r>
          </w:p>
        </w:tc>
      </w:tr>
      <w:tr>
        <w:tc>
          <w:tcPr>
            <w:tcW w:w="684" w:type="dxa"/>
          </w:tcPr>
          <w:p>
            <w:pPr>
              <w:rPr>
                <w:b/>
              </w:rPr>
            </w:pPr>
            <w:r>
              <w:rPr>
                <w:b/>
              </w:rPr>
              <w:t>6</w:t>
            </w:r>
          </w:p>
        </w:tc>
        <w:tc>
          <w:tcPr>
            <w:tcW w:w="7929" w:type="dxa"/>
          </w:tcPr>
          <w:p>
            <w:pPr>
              <w:rPr>
                <w:b/>
                <w:sz w:val="22"/>
              </w:rPr>
            </w:pPr>
            <w:r>
              <w:rPr>
                <w:b/>
                <w:sz w:val="28"/>
              </w:rPr>
              <w:t>Labordiagnostik</w:t>
            </w:r>
          </w:p>
          <w:p>
            <w:pPr>
              <w:pStyle w:val="Listenabsatz"/>
              <w:numPr>
                <w:ilvl w:val="0"/>
                <w:numId w:val="7"/>
              </w:numPr>
              <w:rPr>
                <w:sz w:val="22"/>
                <w:szCs w:val="22"/>
              </w:rPr>
            </w:pPr>
            <w:r>
              <w:rPr>
                <w:sz w:val="22"/>
                <w:szCs w:val="22"/>
              </w:rPr>
              <w:t>FG17:  ABAS Einstufung auf Webseite veröffentlicht</w:t>
            </w:r>
          </w:p>
          <w:p>
            <w:pPr>
              <w:spacing w:before="240"/>
              <w:rPr>
                <w:b/>
                <w:i/>
                <w:sz w:val="22"/>
                <w:szCs w:val="22"/>
              </w:rPr>
            </w:pPr>
            <w:proofErr w:type="spellStart"/>
            <w:r>
              <w:rPr>
                <w:b/>
                <w:i/>
                <w:sz w:val="22"/>
                <w:szCs w:val="22"/>
              </w:rPr>
              <w:t>ToDo</w:t>
            </w:r>
            <w:proofErr w:type="spellEnd"/>
            <w:r>
              <w:rPr>
                <w:b/>
                <w:i/>
                <w:sz w:val="22"/>
                <w:szCs w:val="22"/>
              </w:rPr>
              <w:t>: Information und Link wird in Diagnostikdokument eingefügt, Link auch auf Webseite platzieren sowie im Rahmenkonzept</w:t>
            </w:r>
          </w:p>
          <w:p>
            <w:pPr>
              <w:pStyle w:val="Listenabsatz"/>
              <w:numPr>
                <w:ilvl w:val="0"/>
                <w:numId w:val="7"/>
              </w:numPr>
              <w:spacing w:before="240" w:after="200"/>
              <w:rPr>
                <w:sz w:val="22"/>
                <w:szCs w:val="22"/>
              </w:rPr>
            </w:pPr>
            <w:r>
              <w:rPr>
                <w:sz w:val="22"/>
                <w:szCs w:val="22"/>
              </w:rPr>
              <w:t xml:space="preserve">ZBS1: Zellulärer Marker (RNA-Ebene) für Abstriche funktioniert nicht ausreichend gut. Suche nach einem anderen. </w:t>
            </w:r>
          </w:p>
          <w:p>
            <w:pPr>
              <w:pStyle w:val="Listenabsatz"/>
              <w:numPr>
                <w:ilvl w:val="0"/>
                <w:numId w:val="7"/>
              </w:numPr>
              <w:spacing w:before="240" w:after="200"/>
              <w:rPr>
                <w:sz w:val="22"/>
                <w:szCs w:val="22"/>
              </w:rPr>
            </w:pPr>
            <w:r>
              <w:rPr>
                <w:sz w:val="22"/>
                <w:szCs w:val="22"/>
              </w:rPr>
              <w:t>Corona-Diagnostik wird im AGI-Sentinel ab nächster Woche durchgeführt werden (auch von WHO empfohlen)</w:t>
            </w:r>
          </w:p>
          <w:p>
            <w:pPr>
              <w:rPr>
                <w:b/>
                <w:i/>
                <w:color w:val="BFBFBF" w:themeColor="background1" w:themeShade="BF"/>
                <w:sz w:val="22"/>
                <w:szCs w:val="22"/>
              </w:rPr>
            </w:pPr>
            <w:proofErr w:type="spellStart"/>
            <w:r>
              <w:rPr>
                <w:b/>
                <w:i/>
                <w:sz w:val="22"/>
                <w:szCs w:val="22"/>
              </w:rPr>
              <w:t>ToDo</w:t>
            </w:r>
            <w:proofErr w:type="spellEnd"/>
            <w:r>
              <w:rPr>
                <w:b/>
                <w:i/>
                <w:sz w:val="22"/>
                <w:szCs w:val="22"/>
              </w:rPr>
              <w:t xml:space="preserve">: FG36: kurzer </w:t>
            </w:r>
            <w:proofErr w:type="spellStart"/>
            <w:r>
              <w:rPr>
                <w:b/>
                <w:i/>
                <w:sz w:val="22"/>
                <w:szCs w:val="22"/>
              </w:rPr>
              <w:t>EpiBull</w:t>
            </w:r>
            <w:proofErr w:type="spellEnd"/>
            <w:r>
              <w:rPr>
                <w:b/>
                <w:i/>
                <w:sz w:val="22"/>
                <w:szCs w:val="22"/>
              </w:rPr>
              <w:t xml:space="preserve">-Beitrag,  Ankündigung AGI-Sentinel inkl. Corona </w:t>
            </w:r>
            <w:r>
              <w:rPr>
                <w:b/>
                <w:i/>
                <w:sz w:val="22"/>
                <w:szCs w:val="22"/>
              </w:rPr>
              <w:lastRenderedPageBreak/>
              <w:t>(nächste Woche)</w:t>
            </w:r>
          </w:p>
          <w:p>
            <w:pPr>
              <w:pStyle w:val="Listenabsatz"/>
              <w:numPr>
                <w:ilvl w:val="0"/>
                <w:numId w:val="7"/>
              </w:numPr>
              <w:spacing w:after="200"/>
              <w:rPr>
                <w:sz w:val="22"/>
                <w:szCs w:val="22"/>
              </w:rPr>
            </w:pPr>
            <w:r>
              <w:rPr>
                <w:sz w:val="22"/>
                <w:szCs w:val="22"/>
              </w:rPr>
              <w:t>PCR-Tests: Sensitivität? Spezifität? Cross-Validierung?</w:t>
            </w:r>
          </w:p>
          <w:p>
            <w:pPr>
              <w:pStyle w:val="Listenabsatz"/>
              <w:spacing w:before="240" w:after="200"/>
              <w:rPr>
                <w:sz w:val="22"/>
                <w:szCs w:val="22"/>
              </w:rPr>
            </w:pPr>
            <w:r>
              <w:rPr>
                <w:sz w:val="22"/>
                <w:szCs w:val="22"/>
              </w:rPr>
              <w:t xml:space="preserve">Es gibt viele verschiedene PCRs (siehe WHO-Seite dazu), RKI nutzt </w:t>
            </w:r>
            <w:proofErr w:type="spellStart"/>
            <w:r>
              <w:rPr>
                <w:sz w:val="22"/>
                <w:szCs w:val="22"/>
              </w:rPr>
              <w:t>Drosten-Assays</w:t>
            </w:r>
            <w:proofErr w:type="spellEnd"/>
            <w:r>
              <w:rPr>
                <w:sz w:val="22"/>
                <w:szCs w:val="22"/>
              </w:rPr>
              <w:t xml:space="preserve"> und RKI-eigene </w:t>
            </w:r>
            <w:proofErr w:type="spellStart"/>
            <w:r>
              <w:rPr>
                <w:sz w:val="22"/>
                <w:szCs w:val="22"/>
              </w:rPr>
              <w:t>Assays</w:t>
            </w:r>
            <w:proofErr w:type="spellEnd"/>
            <w:r>
              <w:rPr>
                <w:sz w:val="22"/>
                <w:szCs w:val="22"/>
              </w:rPr>
              <w:t>; Ringversuch von WHO noch nicht geplant (heute WHO-TK zu Labordiagnostik)</w:t>
            </w:r>
          </w:p>
          <w:p>
            <w:pPr>
              <w:pStyle w:val="Listenabsatz"/>
              <w:numPr>
                <w:ilvl w:val="0"/>
                <w:numId w:val="7"/>
              </w:numPr>
              <w:spacing w:before="240" w:after="200"/>
              <w:rPr>
                <w:sz w:val="22"/>
                <w:szCs w:val="22"/>
              </w:rPr>
            </w:pPr>
            <w:r>
              <w:rPr>
                <w:sz w:val="22"/>
                <w:szCs w:val="22"/>
              </w:rPr>
              <w:t xml:space="preserve">Anmerkung zur Qualität der PCR: am LGL war 1 Probe eines deutlich symptomatischen Falls 3x negativ, </w:t>
            </w:r>
            <w:proofErr w:type="spellStart"/>
            <w:r>
              <w:rPr>
                <w:sz w:val="22"/>
                <w:szCs w:val="22"/>
              </w:rPr>
              <w:t>Nachbeprobung</w:t>
            </w:r>
            <w:proofErr w:type="spellEnd"/>
            <w:r>
              <w:rPr>
                <w:sz w:val="22"/>
                <w:szCs w:val="22"/>
              </w:rPr>
              <w:t xml:space="preserve"> bei </w:t>
            </w:r>
            <w:proofErr w:type="spellStart"/>
            <w:r>
              <w:rPr>
                <w:sz w:val="22"/>
                <w:szCs w:val="22"/>
              </w:rPr>
              <w:t>Drosten</w:t>
            </w:r>
            <w:proofErr w:type="spellEnd"/>
            <w:r>
              <w:rPr>
                <w:sz w:val="22"/>
                <w:szCs w:val="22"/>
              </w:rPr>
              <w:t xml:space="preserve"> war positiv; laut LGL war dies ein technischer Fehler, der inzwischen behoben ist </w:t>
            </w:r>
          </w:p>
          <w:p>
            <w:pPr>
              <w:pStyle w:val="Listenabsatz"/>
              <w:numPr>
                <w:ilvl w:val="0"/>
                <w:numId w:val="7"/>
              </w:numPr>
              <w:spacing w:before="240" w:after="200"/>
              <w:rPr>
                <w:sz w:val="22"/>
                <w:szCs w:val="22"/>
              </w:rPr>
            </w:pPr>
            <w:r>
              <w:rPr>
                <w:sz w:val="22"/>
                <w:szCs w:val="22"/>
              </w:rPr>
              <w:t xml:space="preserve">Ab 24.02.2020 ist die VOXCO-Befragung der virologischen Labore online (Brief mit Link zur Befragung über GHV Instant verteilt) </w:t>
            </w:r>
          </w:p>
          <w:p>
            <w:pPr>
              <w:pStyle w:val="Listenabsatz"/>
              <w:rPr>
                <w:i/>
                <w:sz w:val="22"/>
              </w:rPr>
            </w:pPr>
          </w:p>
        </w:tc>
      </w:tr>
      <w:tr>
        <w:tc>
          <w:tcPr>
            <w:tcW w:w="684" w:type="dxa"/>
          </w:tcPr>
          <w:p>
            <w:pPr>
              <w:rPr>
                <w:b/>
              </w:rPr>
            </w:pPr>
            <w:r>
              <w:rPr>
                <w:b/>
              </w:rPr>
              <w:lastRenderedPageBreak/>
              <w:t>7</w:t>
            </w:r>
          </w:p>
        </w:tc>
        <w:tc>
          <w:tcPr>
            <w:tcW w:w="7929" w:type="dxa"/>
          </w:tcPr>
          <w:p>
            <w:pPr>
              <w:rPr>
                <w:b/>
                <w:sz w:val="28"/>
              </w:rPr>
            </w:pPr>
            <w:r>
              <w:rPr>
                <w:b/>
                <w:sz w:val="28"/>
              </w:rPr>
              <w:t>Klinisches Management/Entlassungsmanagement</w:t>
            </w:r>
          </w:p>
          <w:p>
            <w:pPr>
              <w:pStyle w:val="Listenabsatz"/>
              <w:numPr>
                <w:ilvl w:val="0"/>
                <w:numId w:val="11"/>
              </w:numPr>
              <w:spacing w:after="200"/>
              <w:rPr>
                <w:sz w:val="22"/>
              </w:rPr>
            </w:pPr>
            <w:r>
              <w:rPr>
                <w:sz w:val="22"/>
                <w:szCs w:val="22"/>
              </w:rPr>
              <w:t xml:space="preserve">Nächste Woche sendet IBBS eine </w:t>
            </w:r>
            <w:proofErr w:type="spellStart"/>
            <w:r>
              <w:rPr>
                <w:sz w:val="22"/>
                <w:szCs w:val="22"/>
              </w:rPr>
              <w:t>Infektiologin</w:t>
            </w:r>
            <w:proofErr w:type="spellEnd"/>
            <w:r>
              <w:rPr>
                <w:sz w:val="22"/>
                <w:szCs w:val="22"/>
              </w:rPr>
              <w:t xml:space="preserve"> nach München, um bei der Erfassung der klinischen Daten zu unterstützen (WHO klinisches Management Netzwerk ISARIC, „Covid-19 Clinical </w:t>
            </w:r>
            <w:proofErr w:type="spellStart"/>
            <w:r>
              <w:rPr>
                <w:sz w:val="22"/>
                <w:szCs w:val="22"/>
              </w:rPr>
              <w:t>Characterisation</w:t>
            </w:r>
            <w:proofErr w:type="spellEnd"/>
            <w:r>
              <w:rPr>
                <w:sz w:val="22"/>
                <w:szCs w:val="22"/>
              </w:rPr>
              <w:t xml:space="preserve"> Protocol - CCP“, </w:t>
            </w:r>
            <w:r>
              <w:rPr>
                <w:sz w:val="22"/>
              </w:rPr>
              <w:t xml:space="preserve">Link: </w:t>
            </w:r>
            <w:hyperlink r:id="rId8" w:history="1">
              <w:r>
                <w:rPr>
                  <w:rStyle w:val="Hyperlink"/>
                  <w:sz w:val="22"/>
                </w:rPr>
                <w:t>https://isaric.tghn.org/CCP/</w:t>
              </w:r>
            </w:hyperlink>
            <w:r>
              <w:rPr>
                <w:sz w:val="22"/>
              </w:rPr>
              <w:t>)</w:t>
            </w:r>
          </w:p>
        </w:tc>
      </w:tr>
      <w:tr>
        <w:tc>
          <w:tcPr>
            <w:tcW w:w="684" w:type="dxa"/>
          </w:tcPr>
          <w:p>
            <w:pPr>
              <w:rPr>
                <w:b/>
              </w:rPr>
            </w:pPr>
            <w:r>
              <w:rPr>
                <w:b/>
              </w:rPr>
              <w:t>8</w:t>
            </w:r>
          </w:p>
        </w:tc>
        <w:tc>
          <w:tcPr>
            <w:tcW w:w="7929" w:type="dxa"/>
          </w:tcPr>
          <w:p>
            <w:pPr>
              <w:rPr>
                <w:b/>
                <w:sz w:val="28"/>
              </w:rPr>
            </w:pPr>
            <w:r>
              <w:rPr>
                <w:b/>
                <w:sz w:val="28"/>
              </w:rPr>
              <w:t>Maßnahmen zum Infektionsschutz</w:t>
            </w:r>
          </w:p>
          <w:p>
            <w:pPr>
              <w:rPr>
                <w:b/>
                <w:sz w:val="28"/>
              </w:rPr>
            </w:pPr>
            <w:r>
              <w:rPr>
                <w:b/>
                <w:sz w:val="22"/>
                <w:szCs w:val="22"/>
              </w:rPr>
              <w:t xml:space="preserve">Bevorratung von PSA – zur Information </w:t>
            </w:r>
          </w:p>
          <w:p>
            <w:pPr>
              <w:pStyle w:val="Listenabsatz"/>
              <w:numPr>
                <w:ilvl w:val="0"/>
                <w:numId w:val="7"/>
              </w:numPr>
              <w:spacing w:after="200"/>
              <w:rPr>
                <w:sz w:val="22"/>
                <w:szCs w:val="22"/>
              </w:rPr>
            </w:pPr>
            <w:r>
              <w:rPr>
                <w:sz w:val="22"/>
                <w:szCs w:val="22"/>
              </w:rPr>
              <w:t xml:space="preserve">Anfragen mehrerer MS zu Joint </w:t>
            </w:r>
            <w:proofErr w:type="spellStart"/>
            <w:r>
              <w:rPr>
                <w:sz w:val="22"/>
                <w:szCs w:val="22"/>
              </w:rPr>
              <w:t>Procurement</w:t>
            </w:r>
            <w:proofErr w:type="spellEnd"/>
            <w:r>
              <w:rPr>
                <w:sz w:val="22"/>
                <w:szCs w:val="22"/>
              </w:rPr>
              <w:t xml:space="preserve"> an die EU-Kommission, </w:t>
            </w:r>
          </w:p>
          <w:p>
            <w:pPr>
              <w:pStyle w:val="Listenabsatz"/>
              <w:numPr>
                <w:ilvl w:val="0"/>
                <w:numId w:val="7"/>
              </w:numPr>
              <w:spacing w:before="240" w:after="200"/>
              <w:rPr>
                <w:sz w:val="22"/>
                <w:szCs w:val="22"/>
              </w:rPr>
            </w:pPr>
            <w:r>
              <w:rPr>
                <w:sz w:val="22"/>
                <w:szCs w:val="22"/>
              </w:rPr>
              <w:t>TK zur Anmeldung der Bedarfe aus den MS geplant</w:t>
            </w:r>
          </w:p>
          <w:p>
            <w:pPr>
              <w:pStyle w:val="Listenabsatz"/>
              <w:numPr>
                <w:ilvl w:val="0"/>
                <w:numId w:val="7"/>
              </w:numPr>
              <w:spacing w:before="240" w:after="200"/>
              <w:rPr>
                <w:sz w:val="22"/>
                <w:szCs w:val="22"/>
              </w:rPr>
            </w:pPr>
            <w:r>
              <w:rPr>
                <w:sz w:val="22"/>
                <w:szCs w:val="22"/>
              </w:rPr>
              <w:t xml:space="preserve">aktuell soll Bedarf für Deutschland ermittelt werden, Termin heute Mittag, offenbar Ermittlung der Bedarfe innerhalb der kurzen Frist kaum möglich, eventuell Hochrechnung  </w:t>
            </w:r>
          </w:p>
          <w:p>
            <w:pPr>
              <w:pStyle w:val="Listenabsatz"/>
              <w:numPr>
                <w:ilvl w:val="0"/>
                <w:numId w:val="7"/>
              </w:numPr>
              <w:spacing w:before="240" w:after="200"/>
              <w:rPr>
                <w:sz w:val="22"/>
                <w:szCs w:val="22"/>
              </w:rPr>
            </w:pPr>
            <w:r>
              <w:rPr>
                <w:sz w:val="22"/>
                <w:szCs w:val="22"/>
              </w:rPr>
              <w:t>Krankenhausgesellschaft hat Befragung bei 25 Krankenhäusern durchgeführt (sehr heterogenes Bild)</w:t>
            </w:r>
          </w:p>
          <w:p>
            <w:pPr>
              <w:pStyle w:val="Listenabsatz"/>
              <w:numPr>
                <w:ilvl w:val="0"/>
                <w:numId w:val="7"/>
              </w:numPr>
              <w:spacing w:before="240" w:after="200"/>
              <w:rPr>
                <w:sz w:val="22"/>
              </w:rPr>
            </w:pPr>
            <w:r>
              <w:rPr>
                <w:sz w:val="22"/>
                <w:szCs w:val="22"/>
              </w:rPr>
              <w:t>Schätzung für Deutschland evtl. auf der Basis der Angaben aus Frankreich</w:t>
            </w:r>
          </w:p>
        </w:tc>
      </w:tr>
      <w:tr>
        <w:tc>
          <w:tcPr>
            <w:tcW w:w="684" w:type="dxa"/>
          </w:tcPr>
          <w:p>
            <w:pPr>
              <w:rPr>
                <w:b/>
              </w:rPr>
            </w:pPr>
            <w:r>
              <w:rPr>
                <w:b/>
              </w:rPr>
              <w:t>9</w:t>
            </w:r>
          </w:p>
        </w:tc>
        <w:tc>
          <w:tcPr>
            <w:tcW w:w="7929" w:type="dxa"/>
          </w:tcPr>
          <w:p>
            <w:pPr>
              <w:rPr>
                <w:b/>
                <w:sz w:val="22"/>
                <w:szCs w:val="22"/>
              </w:rPr>
            </w:pPr>
            <w:r>
              <w:rPr>
                <w:b/>
                <w:sz w:val="28"/>
              </w:rPr>
              <w:t>Surveillance</w:t>
            </w:r>
          </w:p>
          <w:p>
            <w:pPr>
              <w:pStyle w:val="Listenabsatz"/>
              <w:numPr>
                <w:ilvl w:val="0"/>
                <w:numId w:val="7"/>
              </w:numPr>
              <w:spacing w:after="200"/>
              <w:rPr>
                <w:sz w:val="22"/>
                <w:szCs w:val="22"/>
              </w:rPr>
            </w:pPr>
            <w:r>
              <w:rPr>
                <w:sz w:val="22"/>
                <w:szCs w:val="22"/>
              </w:rPr>
              <w:t xml:space="preserve">Einzelfallbasierte Informationen weiterhin über </w:t>
            </w:r>
            <w:proofErr w:type="spellStart"/>
            <w:r>
              <w:rPr>
                <w:sz w:val="22"/>
                <w:szCs w:val="22"/>
              </w:rPr>
              <w:t>SurvNet</w:t>
            </w:r>
            <w:proofErr w:type="spellEnd"/>
            <w:r>
              <w:rPr>
                <w:sz w:val="22"/>
                <w:szCs w:val="22"/>
              </w:rPr>
              <w:t xml:space="preserve"> erfassen, Informationen zur Einschätzung national und auch für internationale Berichtspflicht wichtig; Arztmeldepflicht für Verdachts- und bestätigte Fälle, Labormeldepflicht (Einzelfälle)</w:t>
            </w:r>
          </w:p>
          <w:p>
            <w:pPr>
              <w:pStyle w:val="Listenabsatz"/>
              <w:numPr>
                <w:ilvl w:val="0"/>
                <w:numId w:val="7"/>
              </w:numPr>
              <w:spacing w:before="240" w:after="200"/>
              <w:rPr>
                <w:sz w:val="22"/>
                <w:szCs w:val="22"/>
              </w:rPr>
            </w:pPr>
            <w:r>
              <w:rPr>
                <w:sz w:val="22"/>
                <w:szCs w:val="22"/>
              </w:rPr>
              <w:t>Zusätzlich ARE/ILI-Information in Lage-AG, wenn Coronavirus miterfasst wird</w:t>
            </w:r>
          </w:p>
          <w:p>
            <w:pPr>
              <w:pStyle w:val="Listenabsatz"/>
              <w:numPr>
                <w:ilvl w:val="0"/>
                <w:numId w:val="7"/>
              </w:numPr>
              <w:spacing w:before="240" w:after="200"/>
              <w:rPr>
                <w:sz w:val="22"/>
                <w:szCs w:val="22"/>
              </w:rPr>
            </w:pPr>
            <w:r>
              <w:rPr>
                <w:sz w:val="22"/>
                <w:szCs w:val="22"/>
              </w:rPr>
              <w:t>In BY große Anzahl von Kontaktpersonennachverfolgungen, RKI hat GA und LGL Unterstützung zur Dokumentation in der Übermittlungssoftware angeboten.</w:t>
            </w:r>
          </w:p>
        </w:tc>
      </w:tr>
      <w:tr>
        <w:tc>
          <w:tcPr>
            <w:tcW w:w="684" w:type="dxa"/>
          </w:tcPr>
          <w:p>
            <w:pPr>
              <w:rPr>
                <w:b/>
              </w:rPr>
            </w:pPr>
            <w:r>
              <w:rPr>
                <w:b/>
              </w:rPr>
              <w:t>10</w:t>
            </w:r>
          </w:p>
        </w:tc>
        <w:tc>
          <w:tcPr>
            <w:tcW w:w="7929" w:type="dxa"/>
          </w:tcPr>
          <w:p>
            <w:pPr>
              <w:rPr>
                <w:b/>
                <w:sz w:val="28"/>
              </w:rPr>
            </w:pPr>
            <w:r>
              <w:rPr>
                <w:b/>
                <w:sz w:val="28"/>
              </w:rPr>
              <w:t>Transport und Grenzübergangsstellen</w:t>
            </w:r>
          </w:p>
          <w:p>
            <w:pPr>
              <w:pStyle w:val="Listenabsatz"/>
              <w:numPr>
                <w:ilvl w:val="0"/>
                <w:numId w:val="7"/>
              </w:numPr>
              <w:rPr>
                <w:sz w:val="22"/>
                <w:szCs w:val="22"/>
              </w:rPr>
            </w:pPr>
            <w:r>
              <w:rPr>
                <w:sz w:val="22"/>
                <w:szCs w:val="22"/>
              </w:rPr>
              <w:t xml:space="preserve">Durch Passagiere der Kreuzfahrtschiffe viel Arbeit im LZ (Princess Diamond und </w:t>
            </w:r>
            <w:proofErr w:type="spellStart"/>
            <w:r>
              <w:rPr>
                <w:sz w:val="22"/>
                <w:szCs w:val="22"/>
              </w:rPr>
              <w:t>Westerdam</w:t>
            </w:r>
            <w:proofErr w:type="spellEnd"/>
            <w:r>
              <w:rPr>
                <w:sz w:val="22"/>
                <w:szCs w:val="22"/>
              </w:rPr>
              <w:t>, siehe oben)</w:t>
            </w:r>
          </w:p>
          <w:p>
            <w:pPr>
              <w:pStyle w:val="Listenabsatz"/>
              <w:numPr>
                <w:ilvl w:val="0"/>
                <w:numId w:val="7"/>
              </w:numPr>
              <w:spacing w:before="240"/>
              <w:rPr>
                <w:sz w:val="22"/>
              </w:rPr>
            </w:pPr>
            <w:r>
              <w:rPr>
                <w:sz w:val="22"/>
                <w:szCs w:val="22"/>
              </w:rPr>
              <w:t>Maßnahmen an Flughäfen: Westerdam Reiserückkehrer: Zielflughäfen wurden informiert</w:t>
            </w:r>
          </w:p>
        </w:tc>
      </w:tr>
      <w:tr>
        <w:tc>
          <w:tcPr>
            <w:tcW w:w="684" w:type="dxa"/>
          </w:tcPr>
          <w:p>
            <w:pPr>
              <w:rPr>
                <w:b/>
              </w:rPr>
            </w:pPr>
            <w:r>
              <w:rPr>
                <w:b/>
              </w:rPr>
              <w:t>11</w:t>
            </w:r>
          </w:p>
        </w:tc>
        <w:tc>
          <w:tcPr>
            <w:tcW w:w="7929" w:type="dxa"/>
          </w:tcPr>
          <w:p>
            <w:pPr>
              <w:rPr>
                <w:b/>
                <w:sz w:val="22"/>
              </w:rPr>
            </w:pPr>
            <w:r>
              <w:rPr>
                <w:b/>
                <w:sz w:val="28"/>
              </w:rPr>
              <w:t>Internationales</w:t>
            </w:r>
          </w:p>
          <w:p>
            <w:pPr>
              <w:pStyle w:val="Listenabsatz"/>
              <w:numPr>
                <w:ilvl w:val="0"/>
                <w:numId w:val="7"/>
              </w:numPr>
              <w:spacing w:after="200"/>
              <w:rPr>
                <w:sz w:val="22"/>
                <w:szCs w:val="22"/>
              </w:rPr>
            </w:pPr>
            <w:r>
              <w:rPr>
                <w:sz w:val="22"/>
                <w:szCs w:val="22"/>
              </w:rPr>
              <w:t>RKI könnte Iran bilateral in dieser Lage unterstützen (klinisches Management, Labor, Infektionsmanagement).</w:t>
            </w:r>
          </w:p>
        </w:tc>
      </w:tr>
      <w:tr>
        <w:tc>
          <w:tcPr>
            <w:tcW w:w="684" w:type="dxa"/>
          </w:tcPr>
          <w:p>
            <w:pPr>
              <w:rPr>
                <w:b/>
              </w:rPr>
            </w:pPr>
            <w:r>
              <w:rPr>
                <w:b/>
              </w:rPr>
              <w:lastRenderedPageBreak/>
              <w:t>12</w:t>
            </w:r>
          </w:p>
        </w:tc>
        <w:tc>
          <w:tcPr>
            <w:tcW w:w="7929" w:type="dxa"/>
          </w:tcPr>
          <w:p>
            <w:pPr>
              <w:rPr>
                <w:b/>
                <w:sz w:val="28"/>
              </w:rPr>
            </w:pPr>
            <w:r>
              <w:rPr>
                <w:b/>
                <w:sz w:val="28"/>
              </w:rPr>
              <w:t>Informationen aus dem Lagezentrum</w:t>
            </w:r>
          </w:p>
          <w:p>
            <w:pPr>
              <w:pStyle w:val="Listenabsatz"/>
              <w:numPr>
                <w:ilvl w:val="0"/>
                <w:numId w:val="7"/>
              </w:numPr>
              <w:spacing w:after="200"/>
              <w:rPr>
                <w:sz w:val="22"/>
                <w:szCs w:val="22"/>
              </w:rPr>
            </w:pPr>
            <w:r>
              <w:rPr>
                <w:sz w:val="22"/>
                <w:szCs w:val="22"/>
              </w:rPr>
              <w:t>MA-Statistik vorgestellt</w:t>
            </w:r>
          </w:p>
          <w:p>
            <w:pPr>
              <w:pStyle w:val="Listenabsatz"/>
              <w:numPr>
                <w:ilvl w:val="0"/>
                <w:numId w:val="7"/>
              </w:numPr>
              <w:spacing w:before="240" w:after="200"/>
              <w:rPr>
                <w:sz w:val="22"/>
                <w:szCs w:val="22"/>
              </w:rPr>
            </w:pPr>
            <w:r>
              <w:rPr>
                <w:sz w:val="22"/>
                <w:szCs w:val="22"/>
              </w:rPr>
              <w:t>Mehr Unterstützung aus Abt. 2 gebraucht</w:t>
            </w:r>
          </w:p>
        </w:tc>
      </w:tr>
      <w:tr>
        <w:tc>
          <w:tcPr>
            <w:tcW w:w="684" w:type="dxa"/>
          </w:tcPr>
          <w:p>
            <w:pPr>
              <w:rPr>
                <w:b/>
              </w:rPr>
            </w:pPr>
            <w:r>
              <w:rPr>
                <w:b/>
              </w:rPr>
              <w:t>13</w:t>
            </w:r>
          </w:p>
        </w:tc>
        <w:tc>
          <w:tcPr>
            <w:tcW w:w="7929" w:type="dxa"/>
          </w:tcPr>
          <w:p>
            <w:pPr>
              <w:rPr>
                <w:b/>
                <w:sz w:val="28"/>
              </w:rPr>
            </w:pPr>
            <w:r>
              <w:rPr>
                <w:b/>
                <w:sz w:val="28"/>
              </w:rPr>
              <w:t>Andere Themen</w:t>
            </w:r>
          </w:p>
          <w:p>
            <w:pPr>
              <w:pStyle w:val="Listenabsatz"/>
              <w:numPr>
                <w:ilvl w:val="0"/>
                <w:numId w:val="7"/>
              </w:numPr>
              <w:spacing w:after="200"/>
              <w:rPr>
                <w:sz w:val="22"/>
              </w:rPr>
            </w:pPr>
            <w:r>
              <w:rPr>
                <w:sz w:val="22"/>
                <w:szCs w:val="22"/>
              </w:rPr>
              <w:t>Nächste Sitzung: Freitag, 21.02.2020, 13:00-14:30 Uhr, Lagezentrum Besprechungsraum</w:t>
            </w:r>
          </w:p>
        </w:tc>
      </w:tr>
    </w:tbl>
    <w:p>
      <w:pPr>
        <w:spacing w:after="240" w:line="360" w:lineRule="auto"/>
      </w:pPr>
    </w:p>
    <w:sectPr>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p>
  <w:p>
    <w:pPr>
      <w:pStyle w:val="Fuzeile"/>
      <w:ind w:right="360"/>
      <w:jc w:val="right"/>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Ergebnisprotokoll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B48"/>
    <w:multiLevelType w:val="hybridMultilevel"/>
    <w:tmpl w:val="F03266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07288A"/>
    <w:multiLevelType w:val="hybridMultilevel"/>
    <w:tmpl w:val="2AE60F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DD1B69"/>
    <w:multiLevelType w:val="hybridMultilevel"/>
    <w:tmpl w:val="326A853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81319CF"/>
    <w:multiLevelType w:val="hybridMultilevel"/>
    <w:tmpl w:val="C1F09BF4"/>
    <w:lvl w:ilvl="0" w:tplc="04070001">
      <w:start w:val="1"/>
      <w:numFmt w:val="bullet"/>
      <w:lvlText w:val=""/>
      <w:lvlJc w:val="left"/>
      <w:pPr>
        <w:ind w:left="1068" w:hanging="360"/>
      </w:pPr>
      <w:rPr>
        <w:rFonts w:ascii="Symbol" w:hAnsi="Symbol" w:hint="default"/>
      </w:rPr>
    </w:lvl>
    <w:lvl w:ilvl="1" w:tplc="337EDFE8">
      <w:start w:val="1"/>
      <w:numFmt w:val="bullet"/>
      <w:lvlText w:val="o"/>
      <w:lvlJc w:val="left"/>
      <w:pPr>
        <w:ind w:left="1788" w:hanging="360"/>
      </w:pPr>
      <w:rPr>
        <w:rFonts w:ascii="Courier New" w:hAnsi="Courier New" w:cs="Courier New" w:hint="default"/>
        <w:lang w:val="de-DE"/>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2A181420"/>
    <w:multiLevelType w:val="hybridMultilevel"/>
    <w:tmpl w:val="048232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773E84"/>
    <w:multiLevelType w:val="hybridMultilevel"/>
    <w:tmpl w:val="F8823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6456F5"/>
    <w:multiLevelType w:val="hybridMultilevel"/>
    <w:tmpl w:val="642EC8B0"/>
    <w:lvl w:ilvl="0" w:tplc="A1CA59D0">
      <w:start w:val="1"/>
      <w:numFmt w:val="bullet"/>
      <w:lvlText w:val=""/>
      <w:lvlJc w:val="left"/>
      <w:pPr>
        <w:ind w:left="720" w:hanging="360"/>
      </w:pPr>
      <w:rPr>
        <w:rFonts w:ascii="Symbol" w:hAnsi="Symbol" w:hint="default"/>
        <w:sz w:val="22"/>
        <w:szCs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3FD59C2"/>
    <w:multiLevelType w:val="hybridMultilevel"/>
    <w:tmpl w:val="A70C21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2819B4"/>
    <w:multiLevelType w:val="hybridMultilevel"/>
    <w:tmpl w:val="A0CA16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5CD47E65"/>
    <w:multiLevelType w:val="hybridMultilevel"/>
    <w:tmpl w:val="812AC0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D4909FA"/>
    <w:multiLevelType w:val="hybridMultilevel"/>
    <w:tmpl w:val="53C62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3"/>
  </w:num>
  <w:num w:numId="4">
    <w:abstractNumId w:val="2"/>
  </w:num>
  <w:num w:numId="5">
    <w:abstractNumId w:val="12"/>
  </w:num>
  <w:num w:numId="6">
    <w:abstractNumId w:val="5"/>
  </w:num>
  <w:num w:numId="7">
    <w:abstractNumId w:val="14"/>
  </w:num>
  <w:num w:numId="8">
    <w:abstractNumId w:val="4"/>
  </w:num>
  <w:num w:numId="9">
    <w:abstractNumId w:val="11"/>
  </w:num>
  <w:num w:numId="10">
    <w:abstractNumId w:val="18"/>
  </w:num>
  <w:num w:numId="11">
    <w:abstractNumId w:val="8"/>
  </w:num>
  <w:num w:numId="12">
    <w:abstractNumId w:val="17"/>
  </w:num>
  <w:num w:numId="13">
    <w:abstractNumId w:val="1"/>
  </w:num>
  <w:num w:numId="14">
    <w:abstractNumId w:val="16"/>
  </w:num>
  <w:num w:numId="15">
    <w:abstractNumId w:val="0"/>
  </w:num>
  <w:num w:numId="16">
    <w:abstractNumId w:val="10"/>
  </w:num>
  <w:num w:numId="17">
    <w:abstractNumId w:val="7"/>
  </w:num>
  <w:num w:numId="18">
    <w:abstractNumId w:val="15"/>
  </w:num>
  <w:num w:numId="19">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E49BF176-84E5-45ED-82BC-7F50901A3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49128290">
      <w:bodyDiv w:val="1"/>
      <w:marLeft w:val="0"/>
      <w:marRight w:val="0"/>
      <w:marTop w:val="0"/>
      <w:marBottom w:val="0"/>
      <w:divBdr>
        <w:top w:val="none" w:sz="0" w:space="0" w:color="auto"/>
        <w:left w:val="none" w:sz="0" w:space="0" w:color="auto"/>
        <w:bottom w:val="none" w:sz="0" w:space="0" w:color="auto"/>
        <w:right w:val="none" w:sz="0" w:space="0" w:color="auto"/>
      </w:divBdr>
    </w:div>
    <w:div w:id="1399206049">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aric.tghn.org/CCP/"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A1390-918A-4CBF-92BD-6F913CC9D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1709</Words>
  <Characters>10772</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14</cp:revision>
  <dcterms:created xsi:type="dcterms:W3CDTF">2020-02-20T17:03:00Z</dcterms:created>
  <dcterms:modified xsi:type="dcterms:W3CDTF">2021-04-12T14:04:00Z</dcterms:modified>
</cp:coreProperties>
</file>