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 xml:space="preserve">Lars Schaade </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 xml:space="preserve">Ute Rexroth </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Silka Buda</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6"/>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 xml:space="preserve">Andreas Jansen </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Frau Roßmann (per Telefon)</w:t>
      </w:r>
    </w:p>
    <w:p>
      <w:pPr>
        <w:spacing w:after="0"/>
        <w:rPr>
          <w:sz w:val="22"/>
        </w:rPr>
      </w:pPr>
      <w:r>
        <w:rPr>
          <w:sz w:val="22"/>
        </w:rPr>
        <w:t xml:space="preserve"> </w:t>
      </w:r>
    </w:p>
    <w:p>
      <w:r>
        <w:br w:type="page"/>
      </w:r>
    </w:p>
    <w:p>
      <w:pPr>
        <w:spacing w:after="0"/>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Fälle</w:t>
            </w:r>
          </w:p>
          <w:p>
            <w:pPr>
              <w:pStyle w:val="Listenabsatz"/>
              <w:numPr>
                <w:ilvl w:val="1"/>
                <w:numId w:val="7"/>
              </w:numPr>
              <w:rPr>
                <w:sz w:val="22"/>
                <w:szCs w:val="22"/>
              </w:rPr>
            </w:pPr>
            <w:r>
              <w:rPr>
                <w:sz w:val="22"/>
                <w:szCs w:val="22"/>
              </w:rPr>
              <w:t>Weltweit 82.167 (+1.151) Fälle, davon 2.798  (+34) Todesfälle, Letalität 3,4%</w:t>
            </w:r>
          </w:p>
          <w:p>
            <w:pPr>
              <w:pStyle w:val="Listenabsatz"/>
              <w:numPr>
                <w:ilvl w:val="1"/>
                <w:numId w:val="7"/>
              </w:numPr>
              <w:rPr>
                <w:sz w:val="22"/>
                <w:szCs w:val="22"/>
              </w:rPr>
            </w:pPr>
            <w:r>
              <w:rPr>
                <w:sz w:val="22"/>
                <w:szCs w:val="22"/>
              </w:rPr>
              <w:t>China (inkl. Hongkong, Taiwan und Macau) 78.628 (+437) Fälle, davon 2.744 (+26) Todesfälle, Letalität 3,5%</w:t>
            </w:r>
          </w:p>
          <w:p>
            <w:pPr>
              <w:pStyle w:val="Listenabsatz"/>
              <w:numPr>
                <w:ilvl w:val="1"/>
                <w:numId w:val="7"/>
              </w:numPr>
              <w:rPr>
                <w:sz w:val="22"/>
                <w:szCs w:val="22"/>
              </w:rPr>
            </w:pPr>
            <w:r>
              <w:rPr>
                <w:sz w:val="22"/>
                <w:szCs w:val="22"/>
              </w:rPr>
              <w:t xml:space="preserve">Provinz Hubei 65.596 (+409) Fälle, davon 2.641 (+2) Todesfälle, Letalität 4,0% </w:t>
            </w:r>
          </w:p>
          <w:p>
            <w:pPr>
              <w:pStyle w:val="Listenabsatz"/>
              <w:numPr>
                <w:ilvl w:val="1"/>
                <w:numId w:val="7"/>
              </w:numPr>
              <w:rPr>
                <w:sz w:val="22"/>
                <w:szCs w:val="22"/>
              </w:rPr>
            </w:pPr>
            <w:r>
              <w:rPr>
                <w:sz w:val="22"/>
                <w:szCs w:val="22"/>
              </w:rPr>
              <w:t>Die Maßnahmen in China laufen wie bisher und sind nicht gelockert worden.</w:t>
            </w:r>
          </w:p>
          <w:p>
            <w:pPr>
              <w:pStyle w:val="Listenabsatz"/>
              <w:numPr>
                <w:ilvl w:val="1"/>
                <w:numId w:val="7"/>
              </w:numPr>
              <w:rPr>
                <w:sz w:val="22"/>
                <w:szCs w:val="22"/>
              </w:rPr>
            </w:pPr>
            <w:r>
              <w:rPr>
                <w:sz w:val="22"/>
                <w:szCs w:val="22"/>
              </w:rPr>
              <w:t>International das erste Mal mehr neue Fälle als innerhalb Chinas gemeldet: 46 Länder (+9) mit 3.530 (+705) Fällen, davon neu</w:t>
            </w:r>
          </w:p>
          <w:p>
            <w:pPr>
              <w:pStyle w:val="Listenabsatz"/>
              <w:numPr>
                <w:ilvl w:val="2"/>
                <w:numId w:val="7"/>
              </w:numPr>
              <w:rPr>
                <w:sz w:val="22"/>
                <w:szCs w:val="22"/>
              </w:rPr>
            </w:pPr>
            <w:r>
              <w:rPr>
                <w:sz w:val="22"/>
                <w:szCs w:val="22"/>
              </w:rPr>
              <w:t>449 in Südkorea, 18 in Japan, 2 in Singapur, 128 in Italien, 3 in USA, 44 in Iran, 1 in Australien, 9 in Deutschland, 4 in Frankreich, 1 in Kanada, 14 in Kuweit, 4 in Spanien, 1 in Finnland, 1 im Libanon, 7 in Bahrain, 1 im Irak, 2 in Kroatien, 1 in Schweden, 1 in Brasilien, 1 in Dänemark, 2 in Pakistan, 1 in Georgien, 1 in Estland, 1 in Norwegen, 1 in Rumänien, 1 in Griechenland, 1 in Nord Mazedonien.</w:t>
            </w:r>
          </w:p>
          <w:p>
            <w:pPr>
              <w:pStyle w:val="Listenabsatz"/>
              <w:numPr>
                <w:ilvl w:val="1"/>
                <w:numId w:val="7"/>
              </w:numPr>
              <w:rPr>
                <w:sz w:val="22"/>
                <w:szCs w:val="22"/>
              </w:rPr>
            </w:pPr>
            <w:r>
              <w:rPr>
                <w:sz w:val="22"/>
                <w:szCs w:val="22"/>
              </w:rPr>
              <w:t>International 54 Todesfälle, Letalität 1,5% (Kreuzfahrtschiff (4), Philippinen (1), Frankreich (1), Iran (19; +4), Südkorea (13, +1), Italien (12, +1), Japan (3, +1))</w:t>
            </w:r>
          </w:p>
          <w:p>
            <w:pPr>
              <w:pStyle w:val="Listenabsatz"/>
              <w:numPr>
                <w:ilvl w:val="1"/>
                <w:numId w:val="7"/>
              </w:numPr>
              <w:rPr>
                <w:sz w:val="22"/>
                <w:szCs w:val="22"/>
              </w:rPr>
            </w:pPr>
            <w:r>
              <w:rPr>
                <w:sz w:val="22"/>
                <w:szCs w:val="22"/>
              </w:rPr>
              <w:t xml:space="preserve">Europa (WHO Region) 17 (+5) Länder mit 524 Fällen (+140) </w:t>
            </w:r>
          </w:p>
          <w:p>
            <w:pPr>
              <w:pStyle w:val="Listenabsatz"/>
              <w:numPr>
                <w:ilvl w:val="1"/>
                <w:numId w:val="7"/>
              </w:numPr>
              <w:rPr>
                <w:sz w:val="22"/>
                <w:szCs w:val="22"/>
              </w:rPr>
            </w:pPr>
            <w:r>
              <w:rPr>
                <w:sz w:val="22"/>
                <w:szCs w:val="22"/>
              </w:rPr>
              <w:t xml:space="preserve">Italien: 424 Fälle, davon 258 (60%) in Lombardei und 87 (21%) in Venetien. Maßnahmen bleiben weiterhin bestehen. 20 Fälle, die von Italien weitergereist sind, wurden aus 14 Ländern gemeldet. </w:t>
            </w:r>
          </w:p>
          <w:p>
            <w:pPr>
              <w:pStyle w:val="Listenabsatz"/>
              <w:numPr>
                <w:ilvl w:val="1"/>
                <w:numId w:val="7"/>
              </w:numPr>
              <w:rPr>
                <w:sz w:val="22"/>
                <w:szCs w:val="22"/>
              </w:rPr>
            </w:pPr>
            <w:r>
              <w:rPr>
                <w:sz w:val="22"/>
                <w:szCs w:val="22"/>
              </w:rPr>
              <w:t>Südkorea: 1595 Fälle (+449), davon 12 Todesfälle</w:t>
            </w:r>
          </w:p>
          <w:p>
            <w:pPr>
              <w:pStyle w:val="Listenabsatz"/>
              <w:numPr>
                <w:ilvl w:val="1"/>
                <w:numId w:val="7"/>
              </w:numPr>
              <w:rPr>
                <w:sz w:val="22"/>
                <w:szCs w:val="22"/>
              </w:rPr>
            </w:pPr>
            <w:r>
              <w:rPr>
                <w:sz w:val="22"/>
                <w:szCs w:val="22"/>
              </w:rPr>
              <w:t xml:space="preserve">Japan:  189 Fälle (+17), davon 3 Todesfälle. Japan berichtet erste Re-infektion (inklusive Symptomen) bei einer Frau, die bereits aus dem Krankenhaus entlassen wurde. Olympia wird nicht abgesagt. </w:t>
            </w:r>
          </w:p>
          <w:p>
            <w:pPr>
              <w:pStyle w:val="Listenabsatz"/>
              <w:numPr>
                <w:ilvl w:val="1"/>
                <w:numId w:val="7"/>
              </w:numPr>
              <w:rPr>
                <w:sz w:val="22"/>
                <w:szCs w:val="22"/>
              </w:rPr>
            </w:pPr>
            <w:r>
              <w:rPr>
                <w:sz w:val="22"/>
                <w:szCs w:val="22"/>
              </w:rPr>
              <w:t>Iran: 139 (+44) Fälle, darunter 19 (+3) Todesfälle; Epizentrum Ghom. Viele Flüge eingestellt; nur noch Aeroflot fliegt, aber bis April bereits ausgebucht. Landwege sind auch geschlossen.</w:t>
            </w:r>
          </w:p>
          <w:p>
            <w:pPr>
              <w:pStyle w:val="Listenabsatz"/>
              <w:numPr>
                <w:ilvl w:val="0"/>
                <w:numId w:val="7"/>
              </w:numPr>
              <w:rPr>
                <w:sz w:val="22"/>
                <w:szCs w:val="22"/>
              </w:rPr>
            </w:pPr>
            <w:r>
              <w:rPr>
                <w:sz w:val="22"/>
                <w:szCs w:val="22"/>
              </w:rPr>
              <w:t>Risikogebiete RKI</w:t>
            </w:r>
          </w:p>
          <w:p>
            <w:pPr>
              <w:pStyle w:val="Listenabsatz"/>
              <w:numPr>
                <w:ilvl w:val="1"/>
                <w:numId w:val="7"/>
              </w:numPr>
              <w:rPr>
                <w:sz w:val="22"/>
                <w:szCs w:val="22"/>
              </w:rPr>
            </w:pPr>
            <w:r>
              <w:rPr>
                <w:sz w:val="22"/>
                <w:szCs w:val="22"/>
              </w:rPr>
              <w:t>Südkorea soll weiterhin beobachtet werden.</w:t>
            </w:r>
          </w:p>
          <w:p>
            <w:pPr>
              <w:pStyle w:val="Listenabsatz"/>
              <w:numPr>
                <w:ilvl w:val="1"/>
                <w:numId w:val="7"/>
              </w:numPr>
              <w:rPr>
                <w:sz w:val="22"/>
                <w:szCs w:val="22"/>
              </w:rPr>
            </w:pPr>
            <w:r>
              <w:rPr>
                <w:sz w:val="22"/>
                <w:szCs w:val="22"/>
              </w:rPr>
              <w:t xml:space="preserve">Durch die Streuung in Norditalien auch die Region Lombardei als Risikogebiet eingestuft werden. </w:t>
            </w:r>
          </w:p>
          <w:p>
            <w:pPr>
              <w:pStyle w:val="Listenabsatz"/>
              <w:ind w:left="1440"/>
              <w:rPr>
                <w:sz w:val="22"/>
                <w:szCs w:val="22"/>
              </w:rPr>
            </w:pPr>
          </w:p>
          <w:p>
            <w:pPr>
              <w:rPr>
                <w:i/>
                <w:sz w:val="22"/>
                <w:szCs w:val="22"/>
              </w:rPr>
            </w:pPr>
            <w:proofErr w:type="spellStart"/>
            <w:r>
              <w:rPr>
                <w:i/>
                <w:sz w:val="22"/>
                <w:szCs w:val="22"/>
              </w:rPr>
              <w:lastRenderedPageBreak/>
              <w:t>ToDo</w:t>
            </w:r>
            <w:proofErr w:type="spellEnd"/>
            <w:r>
              <w:rPr>
                <w:i/>
                <w:sz w:val="22"/>
                <w:szCs w:val="22"/>
              </w:rPr>
              <w:t xml:space="preserve">: Ute Rexroth wird dem BMG den Vorschlag der Erweiterung der Risikogebiete um Mailand und Bergamo unterbreiten. Bei Zustimmung wird das Lagezentrum die Länder sowie wichtige Behörden (BZgA, AA) über die Änderung der Risikogebiete informieren. </w:t>
            </w:r>
          </w:p>
          <w:p>
            <w:pPr>
              <w:rPr>
                <w:i/>
                <w:sz w:val="22"/>
                <w:szCs w:val="22"/>
              </w:rPr>
            </w:pPr>
          </w:p>
          <w:p>
            <w:pPr>
              <w:pStyle w:val="Listenabsatz"/>
              <w:numPr>
                <w:ilvl w:val="1"/>
                <w:numId w:val="7"/>
              </w:numPr>
              <w:rPr>
                <w:sz w:val="22"/>
                <w:szCs w:val="22"/>
              </w:rPr>
            </w:pPr>
            <w:r>
              <w:rPr>
                <w:sz w:val="22"/>
                <w:szCs w:val="22"/>
              </w:rPr>
              <w:t>Auf der RKI Internetseite gibt es eine Tabelle mit Regionen mit gehäuften COVID-19-Fällen (</w:t>
            </w:r>
            <w:hyperlink r:id="rId8" w:history="1">
              <w:r>
                <w:rPr>
                  <w:rStyle w:val="Hyperlink"/>
                  <w:sz w:val="22"/>
                  <w:szCs w:val="22"/>
                </w:rPr>
                <w:t>https://www.rki.de/DE/Content/InfAZ/N/Neuartiges_Coronavirus/Fallzahlen.html</w:t>
              </w:r>
            </w:hyperlink>
            <w:r>
              <w:rPr>
                <w:sz w:val="22"/>
                <w:szCs w:val="22"/>
              </w:rPr>
              <w:t xml:space="preserve">). Die Länder sind </w:t>
            </w:r>
            <w:proofErr w:type="spellStart"/>
            <w:r>
              <w:rPr>
                <w:sz w:val="22"/>
                <w:szCs w:val="22"/>
              </w:rPr>
              <w:t>nahc</w:t>
            </w:r>
            <w:proofErr w:type="spellEnd"/>
            <w:r>
              <w:rPr>
                <w:sz w:val="22"/>
                <w:szCs w:val="22"/>
              </w:rPr>
              <w:t xml:space="preserve"> der Anzahl der Fälle gelistet. Für die Länder innerhalb Europas sind die Zahlen auch für die Regionen/ Bundesländer gelistet.</w:t>
            </w:r>
          </w:p>
          <w:p>
            <w:pPr>
              <w:rPr>
                <w:i/>
                <w:sz w:val="22"/>
                <w:szCs w:val="22"/>
              </w:rPr>
            </w:pPr>
            <w:proofErr w:type="spellStart"/>
            <w:r>
              <w:rPr>
                <w:i/>
                <w:sz w:val="22"/>
                <w:szCs w:val="22"/>
              </w:rPr>
              <w:t>ToDo</w:t>
            </w:r>
            <w:proofErr w:type="spellEnd"/>
            <w:r>
              <w:rPr>
                <w:i/>
                <w:sz w:val="22"/>
                <w:szCs w:val="22"/>
              </w:rPr>
              <w:t xml:space="preserve">: INIG wird die Tabelle täglich aktualisieren. Die Daten für die in Deutschland auftretenden Fälle stellt das Lagezentrum zur Verfügung. </w:t>
            </w:r>
          </w:p>
          <w:p>
            <w:pPr>
              <w:ind w:left="720"/>
              <w:rPr>
                <w:sz w:val="22"/>
                <w:szCs w:val="22"/>
              </w:rPr>
            </w:pPr>
          </w:p>
          <w:p>
            <w:pPr>
              <w:pStyle w:val="Listenabsatz"/>
              <w:numPr>
                <w:ilvl w:val="0"/>
                <w:numId w:val="21"/>
              </w:numPr>
              <w:ind w:left="1440"/>
              <w:rPr>
                <w:sz w:val="22"/>
                <w:szCs w:val="22"/>
              </w:rPr>
            </w:pPr>
            <w:r>
              <w:rPr>
                <w:sz w:val="22"/>
                <w:szCs w:val="22"/>
              </w:rPr>
              <w:t xml:space="preserve">Mit der AGI soll geklärt werden, wie kleinteilig Risikogebiete in Deutschland definiert werden sollen (Kreisebene etc.). </w:t>
            </w:r>
          </w:p>
          <w:p>
            <w:pPr>
              <w:pStyle w:val="Listenabsatz"/>
              <w:ind w:left="1440"/>
              <w:rPr>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BaWü</w:t>
            </w:r>
          </w:p>
          <w:p>
            <w:pPr>
              <w:pStyle w:val="Listenabsatz"/>
              <w:numPr>
                <w:ilvl w:val="1"/>
                <w:numId w:val="7"/>
              </w:numPr>
              <w:rPr>
                <w:sz w:val="22"/>
                <w:szCs w:val="22"/>
              </w:rPr>
            </w:pPr>
            <w:r>
              <w:rPr>
                <w:sz w:val="22"/>
                <w:szCs w:val="22"/>
              </w:rPr>
              <w:t>4 Fälle: 25-jähriger Italien-Rückkehrer , seine Lebensgefährtin, deren Vater sowie ein weiterer Mann, der in Lodi war.</w:t>
            </w:r>
          </w:p>
          <w:p>
            <w:pPr>
              <w:pStyle w:val="Listenabsatz"/>
              <w:numPr>
                <w:ilvl w:val="0"/>
                <w:numId w:val="7"/>
              </w:numPr>
              <w:rPr>
                <w:sz w:val="22"/>
                <w:szCs w:val="22"/>
              </w:rPr>
            </w:pPr>
            <w:r>
              <w:rPr>
                <w:sz w:val="22"/>
                <w:szCs w:val="22"/>
              </w:rPr>
              <w:t>NRW</w:t>
            </w:r>
          </w:p>
          <w:p>
            <w:pPr>
              <w:pStyle w:val="Listenabsatz"/>
              <w:numPr>
                <w:ilvl w:val="1"/>
                <w:numId w:val="7"/>
              </w:numPr>
              <w:rPr>
                <w:sz w:val="22"/>
                <w:szCs w:val="22"/>
              </w:rPr>
            </w:pPr>
            <w:r>
              <w:rPr>
                <w:sz w:val="22"/>
                <w:szCs w:val="22"/>
              </w:rPr>
              <w:t>Fall 0: 47-jähriger, Immobilienmakler, mit wahrscheinlichem chinesischen Geschäftspartner, seit 14d Symptome, schwere Grunderkrankung (malignes Melanom), zunächst nicht schwer erkrankt, war auf Karnevals-veranstaltung und –Sitzung,  wurde in Krankenhaus in Düsseldorf gebracht, schwer krank und intubiert, experimentelle Therapeutika werden besorgt</w:t>
            </w:r>
          </w:p>
          <w:p>
            <w:pPr>
              <w:pStyle w:val="Listenabsatz"/>
              <w:numPr>
                <w:ilvl w:val="1"/>
                <w:numId w:val="7"/>
              </w:numPr>
              <w:rPr>
                <w:sz w:val="22"/>
                <w:szCs w:val="22"/>
              </w:rPr>
            </w:pPr>
            <w:r>
              <w:rPr>
                <w:sz w:val="22"/>
                <w:szCs w:val="22"/>
              </w:rPr>
              <w:t>Fall 1 ist Ehefrau von bestätigtem Fall, war ebenfalls auf den karnevalistischen Veranstaltungen, aktuell stationär aufgenommen mit Pneumonie</w:t>
            </w:r>
          </w:p>
          <w:p>
            <w:pPr>
              <w:pStyle w:val="Listenabsatz"/>
              <w:numPr>
                <w:ilvl w:val="1"/>
                <w:numId w:val="7"/>
              </w:numPr>
              <w:rPr>
                <w:sz w:val="22"/>
                <w:szCs w:val="22"/>
              </w:rPr>
            </w:pPr>
            <w:r>
              <w:rPr>
                <w:sz w:val="22"/>
                <w:szCs w:val="22"/>
              </w:rPr>
              <w:t xml:space="preserve">Fall 2 ist ein Soldat, der ebenfalls auf der Karnevalsveranstaltung teilgenommen hat, befindet sich im Bundeswehrkrankenhaus in Koblenz (RLP). Er hat sich am 15.02. angesteckt und war mit seiner Familie vom 20.-22.02. im Tropical Island. Die Kontakte im Schwimmbad sind für eine Ansteckung zu kurz. Der Patient soll aber nach engen Kontakten während des Aufenthalts sowie nach dem Übernachtungsort gefragt werden. </w:t>
            </w:r>
          </w:p>
          <w:p>
            <w:pPr>
              <w:pStyle w:val="Listenabsatz"/>
              <w:numPr>
                <w:ilvl w:val="1"/>
                <w:numId w:val="7"/>
              </w:numPr>
              <w:rPr>
                <w:sz w:val="22"/>
                <w:szCs w:val="22"/>
              </w:rPr>
            </w:pPr>
            <w:r>
              <w:rPr>
                <w:sz w:val="22"/>
                <w:szCs w:val="22"/>
              </w:rPr>
              <w:t>Fall 3 hat einen beruflichen Kontakt zu dem bereits bestätigten Fall</w:t>
            </w:r>
          </w:p>
          <w:p>
            <w:pPr>
              <w:pStyle w:val="Listenabsatz"/>
              <w:numPr>
                <w:ilvl w:val="1"/>
                <w:numId w:val="7"/>
              </w:numPr>
              <w:rPr>
                <w:sz w:val="22"/>
                <w:szCs w:val="22"/>
              </w:rPr>
            </w:pPr>
            <w:r>
              <w:rPr>
                <w:sz w:val="22"/>
                <w:szCs w:val="22"/>
              </w:rPr>
              <w:t>Fall 4 ist der Lebenspartner von Fall 3</w:t>
            </w:r>
          </w:p>
          <w:p>
            <w:pPr>
              <w:pStyle w:val="Listenabsatz"/>
              <w:numPr>
                <w:ilvl w:val="1"/>
                <w:numId w:val="7"/>
              </w:numPr>
              <w:rPr>
                <w:sz w:val="22"/>
                <w:szCs w:val="22"/>
              </w:rPr>
            </w:pPr>
            <w:r>
              <w:rPr>
                <w:sz w:val="22"/>
                <w:szCs w:val="22"/>
              </w:rPr>
              <w:t xml:space="preserve">Fall 5 ist der Nachbar vom bereits bestätigten Fall und war ebenfalls auf der Karnevalsveranstaltung. Er selbst ist Arzt in einem Krankenhaus in NRW. </w:t>
            </w:r>
          </w:p>
          <w:p>
            <w:pPr>
              <w:pStyle w:val="Listenabsatz"/>
              <w:numPr>
                <w:ilvl w:val="1"/>
                <w:numId w:val="7"/>
              </w:numPr>
              <w:rPr>
                <w:sz w:val="22"/>
                <w:szCs w:val="22"/>
              </w:rPr>
            </w:pPr>
            <w:r>
              <w:rPr>
                <w:sz w:val="22"/>
                <w:szCs w:val="22"/>
              </w:rPr>
              <w:lastRenderedPageBreak/>
              <w:t xml:space="preserve">NRW hat um Unterstützung gebeten, RKI Team bestehend aus 3 MA sind heute nach NRW gefahren. Ggf. kann zur Unterstützung bei der Erfassung von klinischen Daten eine MA von IBBS unterstützen. </w:t>
            </w:r>
          </w:p>
          <w:p>
            <w:pPr>
              <w:pStyle w:val="Listenabsatz"/>
              <w:numPr>
                <w:ilvl w:val="1"/>
                <w:numId w:val="7"/>
              </w:numPr>
              <w:rPr>
                <w:sz w:val="22"/>
                <w:szCs w:val="22"/>
              </w:rPr>
            </w:pPr>
            <w:r>
              <w:rPr>
                <w:sz w:val="22"/>
                <w:szCs w:val="22"/>
              </w:rPr>
              <w:t>Es gibt noch keine Informationen, in welchem Krankenhaus die anderen Patienten (3-5) liegen.</w:t>
            </w:r>
          </w:p>
          <w:p>
            <w:pPr>
              <w:pStyle w:val="Listenabsatz"/>
              <w:numPr>
                <w:ilvl w:val="1"/>
                <w:numId w:val="7"/>
              </w:numPr>
              <w:rPr>
                <w:sz w:val="22"/>
                <w:szCs w:val="22"/>
              </w:rPr>
            </w:pPr>
            <w:r>
              <w:rPr>
                <w:sz w:val="22"/>
                <w:szCs w:val="22"/>
              </w:rPr>
              <w:t>4 kontakte vom Soldaten sind in Quarantäne, 2 sind symptomatisch. Testergebnisse noch ausstehend.</w:t>
            </w:r>
          </w:p>
          <w:p>
            <w:pPr>
              <w:pStyle w:val="Listenabsatz"/>
              <w:numPr>
                <w:ilvl w:val="1"/>
                <w:numId w:val="7"/>
              </w:numPr>
              <w:rPr>
                <w:sz w:val="22"/>
                <w:szCs w:val="22"/>
              </w:rPr>
            </w:pPr>
            <w:r>
              <w:rPr>
                <w:sz w:val="22"/>
                <w:szCs w:val="22"/>
              </w:rPr>
              <w:t xml:space="preserve">NRW hat nur limitierte Laborkapazitäten und kann nicht alle Proben von symptomatischen Kontaktpersonen testen. RKI bietet Unterstützung bei der Testung  an. </w:t>
            </w:r>
          </w:p>
          <w:p>
            <w:pPr>
              <w:pStyle w:val="Listenabsatz"/>
              <w:numPr>
                <w:ilvl w:val="0"/>
                <w:numId w:val="7"/>
              </w:numPr>
              <w:rPr>
                <w:sz w:val="22"/>
                <w:szCs w:val="22"/>
              </w:rPr>
            </w:pPr>
            <w:r>
              <w:rPr>
                <w:sz w:val="22"/>
                <w:szCs w:val="22"/>
              </w:rPr>
              <w:t xml:space="preserve">Bislang haben beide infizierten HCW sich über private Kontakte zu Fällen angesteckt. </w:t>
            </w:r>
          </w:p>
          <w:p>
            <w:pPr>
              <w:pStyle w:val="Listenabsatz"/>
              <w:numPr>
                <w:ilvl w:val="0"/>
                <w:numId w:val="7"/>
              </w:numPr>
            </w:pPr>
            <w:r>
              <w:rPr>
                <w:sz w:val="22"/>
                <w:szCs w:val="22"/>
              </w:rPr>
              <w:t xml:space="preserve">In </w:t>
            </w:r>
            <w:proofErr w:type="spellStart"/>
            <w:r>
              <w:rPr>
                <w:sz w:val="22"/>
                <w:szCs w:val="22"/>
              </w:rPr>
              <w:t>SurvNet</w:t>
            </w:r>
            <w:proofErr w:type="spellEnd"/>
            <w:r>
              <w:rPr>
                <w:sz w:val="22"/>
                <w:szCs w:val="22"/>
              </w:rPr>
              <w:t xml:space="preserve"> wurden 16 Fälle übermittelt. 1 Fall aus BaWü ist eingetragen, aber es fehlen noch Daten. Darüber hinaus 4 neue Verdachtsfälle, die alle die Falldefinition nicht erfüllen.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FG36/IBBS</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rPr>
            </w:pPr>
            <w:r>
              <w:rPr>
                <w:b/>
              </w:rPr>
              <w:t>Epi-Matrix/Erregersteckbrief</w:t>
            </w:r>
          </w:p>
          <w:p>
            <w:pPr>
              <w:pStyle w:val="Listenabsatz"/>
              <w:numPr>
                <w:ilvl w:val="0"/>
                <w:numId w:val="10"/>
              </w:numPr>
              <w:rPr>
                <w:i/>
                <w:sz w:val="22"/>
                <w:szCs w:val="22"/>
              </w:rPr>
            </w:pPr>
            <w:r>
              <w:rPr>
                <w:sz w:val="22"/>
                <w:szCs w:val="22"/>
              </w:rPr>
              <w:t>Finalisierung ist für heute Nachmittag durch FG36 geplant.</w:t>
            </w: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23"/>
              </w:numPr>
              <w:rPr>
                <w:sz w:val="22"/>
                <w:szCs w:val="22"/>
              </w:rPr>
            </w:pPr>
            <w:r>
              <w:rPr>
                <w:sz w:val="22"/>
                <w:szCs w:val="22"/>
              </w:rPr>
              <w:t>Keine Änderungen</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pStyle w:val="Listenabsatz"/>
              <w:numPr>
                <w:ilvl w:val="0"/>
                <w:numId w:val="7"/>
              </w:numPr>
              <w:rPr>
                <w:sz w:val="22"/>
                <w:szCs w:val="22"/>
              </w:rPr>
            </w:pPr>
            <w:r>
              <w:rPr>
                <w:sz w:val="22"/>
                <w:szCs w:val="22"/>
              </w:rPr>
              <w:t xml:space="preserve">Heute gab es ein Pressebriefing  mit </w:t>
            </w:r>
            <w:proofErr w:type="spellStart"/>
            <w:r>
              <w:rPr>
                <w:sz w:val="22"/>
                <w:szCs w:val="22"/>
              </w:rPr>
              <w:t>Präs</w:t>
            </w:r>
            <w:proofErr w:type="spellEnd"/>
            <w:r>
              <w:rPr>
                <w:sz w:val="22"/>
                <w:szCs w:val="22"/>
              </w:rPr>
              <w:t xml:space="preserve">, </w:t>
            </w:r>
            <w:proofErr w:type="spellStart"/>
            <w:r>
              <w:rPr>
                <w:sz w:val="22"/>
                <w:szCs w:val="22"/>
              </w:rPr>
              <w:t>VPräs</w:t>
            </w:r>
            <w:proofErr w:type="spellEnd"/>
            <w:r>
              <w:rPr>
                <w:sz w:val="22"/>
                <w:szCs w:val="22"/>
              </w:rPr>
              <w:t xml:space="preserve"> und der Pressestelle, die gut besucht war.  Themen waren u.a. Empfehlungen für Bürger, Engpässe und Impfungen.  Die Pressebriefings finden täglich um 10 Uhr statt – es sei denn es gibt nichts zu berichten. An dem morgigen Pressebriefing nimmt Herr Mielke statt Herrn Wieler teil. Das Pressebriefing wird auf der RKI Seite „RKI in den Medien“ hinterlegt. </w:t>
            </w:r>
          </w:p>
          <w:p>
            <w:pPr>
              <w:rPr>
                <w:i/>
                <w:sz w:val="22"/>
                <w:szCs w:val="22"/>
              </w:rPr>
            </w:pPr>
            <w:proofErr w:type="spellStart"/>
            <w:r>
              <w:rPr>
                <w:i/>
                <w:sz w:val="22"/>
                <w:szCs w:val="22"/>
              </w:rPr>
              <w:t>ToDo</w:t>
            </w:r>
            <w:proofErr w:type="spellEnd"/>
            <w:r>
              <w:rPr>
                <w:i/>
                <w:sz w:val="22"/>
                <w:szCs w:val="22"/>
              </w:rPr>
              <w:t xml:space="preserve">: Es gibt viele Treffen und PKs. Wichtige Statements/ Sprachregelungen sollten gesammelt werden. Die FAQs bieten bereits eine gute Grundlage.  </w:t>
            </w:r>
          </w:p>
          <w:p>
            <w:pPr>
              <w:pStyle w:val="Listenabsatz"/>
              <w:numPr>
                <w:ilvl w:val="0"/>
                <w:numId w:val="7"/>
              </w:numPr>
              <w:rPr>
                <w:sz w:val="22"/>
                <w:szCs w:val="22"/>
              </w:rPr>
            </w:pPr>
            <w:r>
              <w:rPr>
                <w:sz w:val="22"/>
                <w:szCs w:val="22"/>
              </w:rPr>
              <w:t xml:space="preserve">Bei der BMG TK hat das Thema Medien und Kommunikation einen großen Raum eingenommen: Es gab Kritik, dass die Internetseiten (RKI, BZgA, WHO) nicht funktionierten. Es sind weitere Anzeigekampagnen in regionalen und überregionalen Zeitungen, Radiospots etc. geplant (jeweils in Abstimmung mit RKI und BZgA). Die Kapazitäten der BMG Bürgerhotline sollen erweitert werden und die Bundesländer sollen in der AGI TK aufgefordert werden, eigene Hotlines zu schalten. </w:t>
            </w:r>
          </w:p>
          <w:p>
            <w:pPr>
              <w:pStyle w:val="Listenabsatz"/>
              <w:numPr>
                <w:ilvl w:val="0"/>
                <w:numId w:val="12"/>
              </w:numPr>
              <w:rPr>
                <w:sz w:val="22"/>
                <w:szCs w:val="22"/>
              </w:rPr>
            </w:pPr>
            <w:r>
              <w:rPr>
                <w:sz w:val="22"/>
                <w:szCs w:val="22"/>
              </w:rPr>
              <w:t xml:space="preserve">RKI Internetseite: Problem wurde gestern um 08:30 Uhr dem  ITZ Bund geschildert, Problem war gegen 18 Uhr gelöst. Das RKI hatte bislang eine geteilte Firewall genutzt, die wahrscheinlich aufgrund der hohen Anzahl an Aufrufe der Internetseite geschädigt war. Nun hat das RKI eine eigene Firewall.  </w:t>
            </w:r>
          </w:p>
          <w:p>
            <w:pPr>
              <w:pStyle w:val="Listenabsatz"/>
              <w:numPr>
                <w:ilvl w:val="0"/>
                <w:numId w:val="12"/>
              </w:numPr>
              <w:rPr>
                <w:sz w:val="22"/>
                <w:szCs w:val="22"/>
              </w:rPr>
            </w:pPr>
            <w:r>
              <w:rPr>
                <w:sz w:val="22"/>
                <w:szCs w:val="22"/>
              </w:rPr>
              <w:t xml:space="preserve">Es gibt zahlreiche neue Dokumente (zur häuslichen Quarantäne, der ambulanten Versorgung) auf der </w:t>
            </w:r>
            <w:r>
              <w:rPr>
                <w:sz w:val="22"/>
                <w:szCs w:val="22"/>
              </w:rPr>
              <w:lastRenderedPageBreak/>
              <w:t xml:space="preserve">Internetseite. Das Flussdiagramm, die Risikogebiete, Fallzahlen und die Informationen für Reisende wurden aktualisiert. Neben der deutschen, englischen und chinesischen Version der Information für Reisende, wird von der BZgA eine koreanische Version erstellt. </w:t>
            </w:r>
          </w:p>
          <w:p>
            <w:pPr>
              <w:pStyle w:val="Listenabsatz"/>
              <w:numPr>
                <w:ilvl w:val="0"/>
                <w:numId w:val="12"/>
              </w:numPr>
              <w:rPr>
                <w:sz w:val="22"/>
                <w:szCs w:val="22"/>
              </w:rPr>
            </w:pPr>
            <w:r>
              <w:rPr>
                <w:sz w:val="22"/>
                <w:szCs w:val="22"/>
              </w:rPr>
              <w:t xml:space="preserve">Im </w:t>
            </w:r>
            <w:proofErr w:type="spellStart"/>
            <w:r>
              <w:rPr>
                <w:sz w:val="22"/>
                <w:szCs w:val="22"/>
              </w:rPr>
              <w:t>EpiBull</w:t>
            </w:r>
            <w:proofErr w:type="spellEnd"/>
            <w:r>
              <w:rPr>
                <w:sz w:val="22"/>
                <w:szCs w:val="22"/>
              </w:rPr>
              <w:t xml:space="preserve"> wird es einen Hinweis auf die Testung auf SARS-COV-2 im Rahmen der AGI geben.</w:t>
            </w:r>
          </w:p>
        </w:tc>
        <w:tc>
          <w:tcPr>
            <w:tcW w:w="1492" w:type="dxa"/>
          </w:tcPr>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AL3, Presse</w:t>
            </w:r>
          </w:p>
          <w:p>
            <w:pPr>
              <w:rPr>
                <w:sz w:val="22"/>
                <w:szCs w:val="22"/>
              </w:rPr>
            </w:pPr>
          </w:p>
        </w:tc>
      </w:tr>
      <w:tr>
        <w:tc>
          <w:tcPr>
            <w:tcW w:w="684" w:type="dxa"/>
          </w:tcPr>
          <w:p>
            <w:pPr>
              <w:rPr>
                <w:b/>
              </w:rPr>
            </w:pPr>
            <w:r>
              <w:rPr>
                <w:b/>
              </w:rPr>
              <w:t>5</w:t>
            </w:r>
          </w:p>
        </w:tc>
        <w:tc>
          <w:tcPr>
            <w:tcW w:w="6795" w:type="dxa"/>
          </w:tcPr>
          <w:p>
            <w:pPr>
              <w:rPr>
                <w:b/>
                <w:sz w:val="28"/>
              </w:rPr>
            </w:pPr>
            <w:r>
              <w:rPr>
                <w:b/>
                <w:sz w:val="28"/>
              </w:rPr>
              <w:t>Dokumente</w:t>
            </w:r>
          </w:p>
          <w:p>
            <w:pPr>
              <w:pStyle w:val="Listenabsatz"/>
              <w:numPr>
                <w:ilvl w:val="0"/>
                <w:numId w:val="26"/>
              </w:numPr>
              <w:rPr>
                <w:b/>
                <w:sz w:val="28"/>
              </w:rPr>
            </w:pPr>
            <w:r>
              <w:rPr>
                <w:sz w:val="22"/>
                <w:szCs w:val="22"/>
              </w:rPr>
              <w:t xml:space="preserve">Herr Schaade wird am 04.03. einen 15-Minütigen Vortrag bei der AOLG halten. </w:t>
            </w:r>
          </w:p>
          <w:p>
            <w:pPr>
              <w:rPr>
                <w:i/>
                <w:sz w:val="22"/>
                <w:szCs w:val="22"/>
              </w:rPr>
            </w:pPr>
            <w:proofErr w:type="spellStart"/>
            <w:r>
              <w:rPr>
                <w:i/>
                <w:sz w:val="22"/>
                <w:szCs w:val="22"/>
              </w:rPr>
              <w:t>ToDo</w:t>
            </w:r>
            <w:proofErr w:type="spellEnd"/>
            <w:r>
              <w:rPr>
                <w:i/>
                <w:sz w:val="22"/>
                <w:szCs w:val="22"/>
              </w:rPr>
              <w:t xml:space="preserve">: Das LZ bereitet den Vortrag basierend auf dem Vortrag, der beim internen Seminar gehalten wurden, vor. Es gibt bereits 3 Folien von Herrn an der Heiden. Bitte den Vortrag am Montag Herrn Schaade zukommen lassen. </w:t>
            </w:r>
          </w:p>
          <w:p>
            <w:pPr>
              <w:pStyle w:val="Listenabsatz"/>
              <w:numPr>
                <w:ilvl w:val="0"/>
                <w:numId w:val="26"/>
              </w:numPr>
              <w:rPr>
                <w:b/>
                <w:sz w:val="28"/>
              </w:rPr>
            </w:pPr>
            <w:r>
              <w:rPr>
                <w:sz w:val="22"/>
                <w:szCs w:val="22"/>
              </w:rPr>
              <w:t>Für medizinisches Personal, das adäquat geschützt war, soll im Dokument „Management von Kontaktpersonen“ eine extra Kategorie geben. FG36 macht einen Vorschlag.</w:t>
            </w:r>
          </w:p>
        </w:tc>
        <w:tc>
          <w:tcPr>
            <w:tcW w:w="1492" w:type="dxa"/>
          </w:tcPr>
          <w:p>
            <w:pPr>
              <w:rPr>
                <w:sz w:val="22"/>
                <w:szCs w:val="22"/>
              </w:rPr>
            </w:pPr>
            <w:proofErr w:type="spellStart"/>
            <w:r>
              <w:rPr>
                <w:sz w:val="22"/>
                <w:szCs w:val="22"/>
              </w:rPr>
              <w:t>VPräs</w:t>
            </w:r>
            <w:proofErr w:type="spellEnd"/>
            <w:r>
              <w:rPr>
                <w:sz w:val="22"/>
                <w:szCs w:val="22"/>
              </w:rPr>
              <w:t>, FG36</w:t>
            </w:r>
          </w:p>
        </w:tc>
      </w:tr>
      <w:tr>
        <w:tc>
          <w:tcPr>
            <w:tcW w:w="684" w:type="dxa"/>
          </w:tcPr>
          <w:p>
            <w:pPr>
              <w:rPr>
                <w:b/>
              </w:rPr>
            </w:pPr>
            <w:r>
              <w:rPr>
                <w:b/>
              </w:rPr>
              <w:t>6</w:t>
            </w:r>
          </w:p>
        </w:tc>
        <w:tc>
          <w:tcPr>
            <w:tcW w:w="6795" w:type="dxa"/>
          </w:tcPr>
          <w:p>
            <w:pPr>
              <w:rPr>
                <w:b/>
                <w:sz w:val="22"/>
              </w:rPr>
            </w:pPr>
            <w:r>
              <w:rPr>
                <w:b/>
                <w:sz w:val="28"/>
              </w:rPr>
              <w:t>Labordiagnostik</w:t>
            </w:r>
          </w:p>
          <w:p>
            <w:pPr>
              <w:pStyle w:val="Listenabsatz"/>
              <w:numPr>
                <w:ilvl w:val="0"/>
                <w:numId w:val="12"/>
              </w:numPr>
              <w:rPr>
                <w:sz w:val="22"/>
                <w:szCs w:val="22"/>
              </w:rPr>
            </w:pPr>
            <w:r>
              <w:rPr>
                <w:sz w:val="22"/>
                <w:szCs w:val="22"/>
              </w:rPr>
              <w:t xml:space="preserve">AGI: 56 Proben eingegangen, 41 Proben sind bereits auf SARS-CoV-2 getestet worden -&gt; alle negativ. </w:t>
            </w:r>
          </w:p>
          <w:p>
            <w:pPr>
              <w:pStyle w:val="Listenabsatz"/>
              <w:numPr>
                <w:ilvl w:val="0"/>
                <w:numId w:val="12"/>
              </w:numPr>
              <w:rPr>
                <w:sz w:val="22"/>
                <w:szCs w:val="22"/>
              </w:rPr>
            </w:pPr>
            <w:r>
              <w:rPr>
                <w:sz w:val="22"/>
                <w:szCs w:val="22"/>
              </w:rPr>
              <w:t xml:space="preserve">In </w:t>
            </w:r>
            <w:proofErr w:type="spellStart"/>
            <w:r>
              <w:rPr>
                <w:sz w:val="22"/>
                <w:szCs w:val="22"/>
              </w:rPr>
              <w:t>Epi</w:t>
            </w:r>
            <w:proofErr w:type="spellEnd"/>
            <w:r>
              <w:rPr>
                <w:sz w:val="22"/>
                <w:szCs w:val="22"/>
              </w:rPr>
              <w:t xml:space="preserve"> Datenbank sind die Ergebnisse noch nicht. FG31 arbeitet an dem technischen Problem.</w:t>
            </w:r>
          </w:p>
          <w:p>
            <w:pPr>
              <w:pStyle w:val="Listenabsatz"/>
              <w:numPr>
                <w:ilvl w:val="0"/>
                <w:numId w:val="12"/>
              </w:numPr>
              <w:rPr>
                <w:sz w:val="22"/>
                <w:szCs w:val="22"/>
              </w:rPr>
            </w:pPr>
            <w:r>
              <w:rPr>
                <w:sz w:val="22"/>
                <w:szCs w:val="22"/>
              </w:rPr>
              <w:t xml:space="preserve">Für die Laborabfrage wurde der  zur </w:t>
            </w:r>
            <w:proofErr w:type="spellStart"/>
            <w:r>
              <w:rPr>
                <w:sz w:val="22"/>
                <w:szCs w:val="22"/>
              </w:rPr>
              <w:t>Voxco</w:t>
            </w:r>
            <w:proofErr w:type="spellEnd"/>
            <w:r>
              <w:rPr>
                <w:sz w:val="22"/>
                <w:szCs w:val="22"/>
              </w:rPr>
              <w:t xml:space="preserve">-Abfrage am Montag (24.02.2020) verschickt.  </w:t>
            </w:r>
          </w:p>
          <w:p>
            <w:pPr>
              <w:pStyle w:val="Listenabsatz"/>
              <w:numPr>
                <w:ilvl w:val="0"/>
                <w:numId w:val="9"/>
              </w:numPr>
              <w:rPr>
                <w:i/>
                <w:sz w:val="22"/>
              </w:rPr>
            </w:pPr>
            <w:r>
              <w:rPr>
                <w:sz w:val="22"/>
                <w:szCs w:val="22"/>
              </w:rPr>
              <w:t>ZBS1: Wochenenddienste eingeteilt. Möglichkeit, Proben aus NRW zu testen besteht.</w:t>
            </w:r>
          </w:p>
          <w:p>
            <w:pPr>
              <w:pStyle w:val="Listenabsatz"/>
              <w:numPr>
                <w:ilvl w:val="0"/>
                <w:numId w:val="9"/>
              </w:numPr>
              <w:rPr>
                <w:i/>
                <w:sz w:val="22"/>
              </w:rPr>
            </w:pPr>
            <w:r>
              <w:rPr>
                <w:sz w:val="22"/>
                <w:szCs w:val="22"/>
              </w:rPr>
              <w:t xml:space="preserve">Frage, wie mehr Abstriche von Arztpraxen </w:t>
            </w:r>
            <w:proofErr w:type="spellStart"/>
            <w:r>
              <w:rPr>
                <w:sz w:val="22"/>
                <w:szCs w:val="22"/>
              </w:rPr>
              <w:t>eingeshcickt</w:t>
            </w:r>
            <w:proofErr w:type="spellEnd"/>
            <w:r>
              <w:rPr>
                <w:sz w:val="22"/>
                <w:szCs w:val="22"/>
              </w:rPr>
              <w:t xml:space="preserve"> werden können. Gäbe die Möglichkeit wie bei Grippeweb plus, dass die </w:t>
            </w:r>
            <w:proofErr w:type="spellStart"/>
            <w:r>
              <w:rPr>
                <w:sz w:val="22"/>
                <w:szCs w:val="22"/>
              </w:rPr>
              <w:t>Persoenen</w:t>
            </w:r>
            <w:proofErr w:type="spellEnd"/>
            <w:r>
              <w:rPr>
                <w:sz w:val="22"/>
                <w:szCs w:val="22"/>
              </w:rPr>
              <w:t xml:space="preserve"> selber einen Abstrich machen. Material für SARS-CoV-2 gibt es. FG36 wird AL1/FG17 die Anleitung zur Probenabnahme im Rahmen von Grippeweb plus als Vorlage schicken.  </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r>
              <w:rPr>
                <w:sz w:val="22"/>
                <w:szCs w:val="22"/>
              </w:rPr>
              <w:t>Presse</w:t>
            </w:r>
          </w:p>
        </w:tc>
      </w:tr>
      <w:tr>
        <w:tc>
          <w:tcPr>
            <w:tcW w:w="684" w:type="dxa"/>
          </w:tcPr>
          <w:p>
            <w:pPr>
              <w:rPr>
                <w:b/>
              </w:rPr>
            </w:pPr>
            <w:r>
              <w:rPr>
                <w:b/>
              </w:rPr>
              <w:t>7</w:t>
            </w:r>
          </w:p>
        </w:tc>
        <w:tc>
          <w:tcPr>
            <w:tcW w:w="6795" w:type="dxa"/>
          </w:tcPr>
          <w:p>
            <w:pPr>
              <w:rPr>
                <w:b/>
                <w:sz w:val="28"/>
              </w:rPr>
            </w:pPr>
            <w:r>
              <w:rPr>
                <w:b/>
                <w:sz w:val="28"/>
              </w:rPr>
              <w:t>Klinisches Management/Entlassungsmanagement</w:t>
            </w:r>
          </w:p>
          <w:p>
            <w:pPr>
              <w:pStyle w:val="Listenabsatz"/>
              <w:numPr>
                <w:ilvl w:val="0"/>
                <w:numId w:val="11"/>
              </w:numPr>
            </w:pPr>
            <w:r>
              <w:rPr>
                <w:sz w:val="22"/>
                <w:szCs w:val="22"/>
              </w:rPr>
              <w:t xml:space="preserve">Studien zur Therapie sind noch nicht abgeschlossen. 3 Medikamente stünden zur Verfügung: </w:t>
            </w:r>
            <w:proofErr w:type="spellStart"/>
            <w:r>
              <w:rPr>
                <w:iCs/>
                <w:sz w:val="22"/>
                <w:szCs w:val="22"/>
              </w:rPr>
              <w:t>Remdesivir</w:t>
            </w:r>
            <w:proofErr w:type="spellEnd"/>
            <w:r>
              <w:rPr>
                <w:sz w:val="22"/>
                <w:szCs w:val="22"/>
              </w:rPr>
              <w:t xml:space="preserve">, </w:t>
            </w:r>
            <w:proofErr w:type="spellStart"/>
            <w:r>
              <w:rPr>
                <w:sz w:val="22"/>
                <w:szCs w:val="22"/>
              </w:rPr>
              <w:t>Kaletra</w:t>
            </w:r>
            <w:proofErr w:type="spellEnd"/>
            <w:r>
              <w:rPr>
                <w:sz w:val="22"/>
                <w:szCs w:val="22"/>
              </w:rPr>
              <w:t xml:space="preserve"> und </w:t>
            </w:r>
            <w:r>
              <w:rPr>
                <w:iCs/>
                <w:sz w:val="22"/>
                <w:szCs w:val="22"/>
              </w:rPr>
              <w:t>Chloroquin</w:t>
            </w:r>
            <w:r>
              <w:rPr>
                <w:i/>
                <w:iCs/>
                <w:sz w:val="22"/>
                <w:szCs w:val="22"/>
              </w:rPr>
              <w:t>.</w:t>
            </w:r>
            <w:r>
              <w:rPr>
                <w:sz w:val="22"/>
                <w:szCs w:val="22"/>
              </w:rPr>
              <w:t xml:space="preserve"> Das BMG (Ref. 113) überprüft Bestände und bestellt ggf. nach.</w:t>
            </w:r>
            <w:r>
              <w:rPr>
                <w:sz w:val="22"/>
              </w:rPr>
              <w:t xml:space="preserve"> </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1"/>
              </w:numPr>
              <w:rPr>
                <w:sz w:val="22"/>
              </w:rPr>
            </w:pPr>
            <w:r>
              <w:rPr>
                <w:sz w:val="22"/>
                <w:szCs w:val="22"/>
              </w:rPr>
              <w:t>In der Außenkommunikation muss klar gestellt werden, dass die Containment Phase fließend in die Mitigation Phase übergeht und die bereits</w:t>
            </w:r>
            <w:r>
              <w:rPr>
                <w:b/>
                <w:sz w:val="22"/>
              </w:rPr>
              <w:t xml:space="preserve"> </w:t>
            </w:r>
            <w:r>
              <w:rPr>
                <w:sz w:val="22"/>
              </w:rPr>
              <w:t>eingeleiteten Maßnahmen soweit wie möglich weiter fortgesetzt werden sollten. Dazu zählt auch die Kontaktpersonennachverfolgung, die auch bei einem größeren Ausbruchsgeschehen weiterfortgeführt werden sollte.</w:t>
            </w:r>
          </w:p>
          <w:p>
            <w:pPr>
              <w:pStyle w:val="Listenabsatz"/>
              <w:numPr>
                <w:ilvl w:val="0"/>
                <w:numId w:val="11"/>
              </w:numPr>
              <w:rPr>
                <w:b/>
                <w:sz w:val="22"/>
              </w:rPr>
            </w:pPr>
            <w:r>
              <w:rPr>
                <w:sz w:val="22"/>
              </w:rPr>
              <w:t xml:space="preserve">Um die Kontaktpersonennachverfolgung personell zu unterstützen, könnte der BMG Sonderfortbestand genutzt werden. Sowohl die Bundesländer als auch das RKI selber könnte MA (z.B. Studierende aus relevanten Fächern wie </w:t>
            </w:r>
            <w:r>
              <w:rPr>
                <w:sz w:val="22"/>
              </w:rPr>
              <w:lastRenderedPageBreak/>
              <w:t>bspw. Medizin oder Public Health) ausbilden und zur Unterstützung aussenden. Arbeiten dieser mobilen Teams könnten u.a. die Durchführung von Interviews oder das Bedienen einer Hotline sein. Herr Schaade wird nächste Woche bei der AOLG die Länder ermutigen, mobile Teams aufzustellen und diese mit Hilfe des RKI auszubilden. In der AGI kann dies auch angesprochen werden.</w:t>
            </w:r>
          </w:p>
          <w:p>
            <w:pPr>
              <w:pStyle w:val="Listenabsatz"/>
              <w:numPr>
                <w:ilvl w:val="0"/>
                <w:numId w:val="11"/>
              </w:numPr>
              <w:rPr>
                <w:b/>
                <w:sz w:val="22"/>
              </w:rPr>
            </w:pPr>
            <w:r>
              <w:rPr>
                <w:sz w:val="22"/>
              </w:rPr>
              <w:t xml:space="preserve">Ggf. könnten Programme wie SORMAS oder </w:t>
            </w:r>
            <w:proofErr w:type="spellStart"/>
            <w:r>
              <w:rPr>
                <w:sz w:val="22"/>
              </w:rPr>
              <w:t>GoData</w:t>
            </w:r>
            <w:proofErr w:type="spellEnd"/>
            <w:r>
              <w:rPr>
                <w:sz w:val="22"/>
              </w:rPr>
              <w:t xml:space="preserve"> genutzt werden. Für </w:t>
            </w:r>
            <w:proofErr w:type="spellStart"/>
            <w:r>
              <w:rPr>
                <w:sz w:val="22"/>
              </w:rPr>
              <w:t>GoData</w:t>
            </w:r>
            <w:proofErr w:type="spellEnd"/>
            <w:r>
              <w:rPr>
                <w:sz w:val="22"/>
              </w:rPr>
              <w:t xml:space="preserve"> gibt es bereits einen 2-tägigen Trainingsworkshop. FG32 prüft momentan, welches der beiden Tools auch mit </w:t>
            </w:r>
            <w:proofErr w:type="spellStart"/>
            <w:r>
              <w:rPr>
                <w:sz w:val="22"/>
              </w:rPr>
              <w:t>SurvNet</w:t>
            </w:r>
            <w:proofErr w:type="spellEnd"/>
            <w:r>
              <w:rPr>
                <w:sz w:val="22"/>
              </w:rPr>
              <w:t xml:space="preserve"> kompatibel wäre.</w:t>
            </w:r>
          </w:p>
          <w:p>
            <w:pPr>
              <w:pStyle w:val="Listenabsatz"/>
              <w:numPr>
                <w:ilvl w:val="0"/>
                <w:numId w:val="11"/>
              </w:numPr>
              <w:rPr>
                <w:b/>
                <w:sz w:val="22"/>
              </w:rPr>
            </w:pPr>
            <w:r>
              <w:rPr>
                <w:sz w:val="22"/>
              </w:rPr>
              <w:t xml:space="preserve"> Die Akademie für Öffentliches Gesundheitswesen könnte auch (gerade für die Ausbildung) miteinbezogen werden. </w:t>
            </w:r>
          </w:p>
          <w:p>
            <w:pPr>
              <w:rPr>
                <w:i/>
                <w:sz w:val="22"/>
                <w:szCs w:val="22"/>
              </w:rPr>
            </w:pPr>
            <w:proofErr w:type="spellStart"/>
            <w:r>
              <w:rPr>
                <w:i/>
                <w:sz w:val="22"/>
                <w:szCs w:val="22"/>
              </w:rPr>
              <w:t>ToDo</w:t>
            </w:r>
            <w:proofErr w:type="spellEnd"/>
            <w:r>
              <w:rPr>
                <w:i/>
                <w:sz w:val="22"/>
                <w:szCs w:val="22"/>
              </w:rPr>
              <w:t>: Herr Eckmanns soll ein Konzept für die Etablierung und Ausbildung mobiler Teams erstellen. Abgestimmt wird dieses mit FG32, FG36, ZIG1 und ZV1 (bzgl. Vertrag, Arbeitsschutz etc.) und anschließend dem BMG präsentiert.</w:t>
            </w:r>
          </w:p>
          <w:p>
            <w:pPr>
              <w:pStyle w:val="Listenabsatz"/>
              <w:numPr>
                <w:ilvl w:val="0"/>
                <w:numId w:val="11"/>
              </w:numPr>
              <w:rPr>
                <w:sz w:val="22"/>
              </w:rPr>
            </w:pPr>
            <w:r>
              <w:rPr>
                <w:sz w:val="22"/>
              </w:rPr>
              <w:t>Die Kommunikation zur Fortsetzung der Maßnahmen über die Containment Phase hinaus soll schon vorher erfolgen.</w:t>
            </w:r>
          </w:p>
          <w:p>
            <w:pPr>
              <w:pStyle w:val="Listenabsatz"/>
              <w:numPr>
                <w:ilvl w:val="0"/>
                <w:numId w:val="11"/>
              </w:numPr>
              <w:rPr>
                <w:sz w:val="22"/>
              </w:rPr>
            </w:pPr>
            <w:r>
              <w:rPr>
                <w:sz w:val="22"/>
              </w:rPr>
              <w:t xml:space="preserve">IBBS hatte früher eine Kampagne zum „Präsentismus“ (Arbeiten trotz Krankheit). </w:t>
            </w:r>
          </w:p>
          <w:p>
            <w:pPr>
              <w:rPr>
                <w:i/>
                <w:sz w:val="22"/>
                <w:szCs w:val="22"/>
              </w:rPr>
            </w:pPr>
            <w:proofErr w:type="spellStart"/>
            <w:r>
              <w:rPr>
                <w:i/>
                <w:sz w:val="22"/>
                <w:szCs w:val="22"/>
              </w:rPr>
              <w:t>ToDo</w:t>
            </w:r>
            <w:proofErr w:type="spellEnd"/>
            <w:r>
              <w:rPr>
                <w:i/>
                <w:sz w:val="22"/>
                <w:szCs w:val="22"/>
              </w:rPr>
              <w:t xml:space="preserve">: IBBS wird dem BMG vorschlagen, die Materialien dieser Kampagne auch für die jetzige Lage zu nutzen. Bei Zustimmung soll sich die BZgA um die Umsetzung der Kampagne kümmern. </w:t>
            </w:r>
          </w:p>
          <w:p>
            <w:pPr>
              <w:pStyle w:val="Listenabsatz"/>
              <w:numPr>
                <w:ilvl w:val="0"/>
                <w:numId w:val="11"/>
              </w:numPr>
              <w:rPr>
                <w:sz w:val="22"/>
              </w:rPr>
            </w:pPr>
            <w:r>
              <w:rPr>
                <w:sz w:val="22"/>
              </w:rPr>
              <w:t xml:space="preserve">BMG fragt, wann Massenveranstaltungen abgesagt werden können. Dies muss im Einzelfall entschieden werden; eine Liste mit Kriterien zur Beurteilung wird auf Basis eines Dokuments der WHO durch FG32 erstellt und eine Zusammenfassung an das BMG geschickt </w:t>
            </w:r>
          </w:p>
          <w:p>
            <w:pPr>
              <w:pStyle w:val="Listenabsatz"/>
              <w:rPr>
                <w:sz w:val="22"/>
              </w:rPr>
            </w:pPr>
            <w:r>
              <w:rPr>
                <w:sz w:val="22"/>
              </w:rPr>
              <w:sym w:font="Wingdings" w:char="F0E0"/>
            </w:r>
            <w:r>
              <w:rPr>
                <w:sz w:val="22"/>
              </w:rPr>
              <w:t xml:space="preserve"> Wichtige Dokumente/Erlasse, wie dieses sollten auch mit dem Krisenstab geteilt werden.</w:t>
            </w:r>
          </w:p>
          <w:p>
            <w:pPr>
              <w:pStyle w:val="Listenabsatz"/>
              <w:numPr>
                <w:ilvl w:val="0"/>
                <w:numId w:val="11"/>
              </w:numPr>
              <w:rPr>
                <w:b/>
                <w:sz w:val="22"/>
              </w:rPr>
            </w:pPr>
            <w:r>
              <w:rPr>
                <w:sz w:val="22"/>
              </w:rPr>
              <w:t>Zur Evidenz der Wirksamkeit von Quarantänemaßnahmen (z.B. Abrieglungen) gibt es keine Informationen. Zwar wurde bei Ebolafieber in Westafrika ein Papier publiziert, aber die Situation in Afrika lässt sich nicht mit der in Deutschland vergleichen.</w:t>
            </w:r>
            <w:r>
              <w:rPr>
                <w:b/>
                <w:sz w:val="22"/>
              </w:rPr>
              <w:t xml:space="preserve"> </w:t>
            </w:r>
            <w:r>
              <w:rPr>
                <w:sz w:val="22"/>
              </w:rPr>
              <w:t xml:space="preserve">Der Fokus sollte auf die Kontaktpersonennachverfolgung gelegt werden, um die Infektionsketten zu unterbrechen. </w:t>
            </w:r>
            <w:r>
              <w:rPr>
                <w:b/>
                <w:sz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alle</w:t>
            </w:r>
          </w:p>
        </w:tc>
      </w:tr>
      <w:tr>
        <w:tc>
          <w:tcPr>
            <w:tcW w:w="684" w:type="dxa"/>
          </w:tcPr>
          <w:p>
            <w:pPr>
              <w:rPr>
                <w:b/>
              </w:rPr>
            </w:pPr>
            <w:r>
              <w:rPr>
                <w:b/>
              </w:rPr>
              <w:t>9</w:t>
            </w:r>
          </w:p>
        </w:tc>
        <w:tc>
          <w:tcPr>
            <w:tcW w:w="6795" w:type="dxa"/>
          </w:tcPr>
          <w:p>
            <w:pPr>
              <w:rPr>
                <w:b/>
                <w:sz w:val="28"/>
              </w:rPr>
            </w:pPr>
            <w:r>
              <w:rPr>
                <w:b/>
                <w:sz w:val="28"/>
              </w:rPr>
              <w:t>Surveillance</w:t>
            </w:r>
          </w:p>
          <w:p>
            <w:pPr>
              <w:pStyle w:val="Listenabsatz"/>
              <w:numPr>
                <w:ilvl w:val="0"/>
                <w:numId w:val="11"/>
              </w:numPr>
              <w:rPr>
                <w:b/>
                <w:sz w:val="28"/>
              </w:rPr>
            </w:pPr>
            <w:r>
              <w:rPr>
                <w:sz w:val="22"/>
                <w:szCs w:val="22"/>
              </w:rPr>
              <w:t>Nicht besprochen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sz w:val="22"/>
              </w:rPr>
            </w:pPr>
            <w:r>
              <w:rPr>
                <w:b/>
                <w:sz w:val="28"/>
              </w:rPr>
              <w:t>Transport und Grenzübergangsstellen</w:t>
            </w:r>
          </w:p>
          <w:p>
            <w:pPr>
              <w:pStyle w:val="Listenabsatz"/>
              <w:numPr>
                <w:ilvl w:val="0"/>
                <w:numId w:val="13"/>
              </w:numPr>
              <w:rPr>
                <w:sz w:val="22"/>
              </w:rPr>
            </w:pPr>
            <w:r>
              <w:rPr>
                <w:sz w:val="22"/>
                <w:szCs w:val="22"/>
              </w:rPr>
              <w:t>Nicht besprochen</w:t>
            </w:r>
          </w:p>
        </w:tc>
        <w:tc>
          <w:tcPr>
            <w:tcW w:w="1492" w:type="dxa"/>
          </w:tcPr>
          <w:p>
            <w:pPr>
              <w:rPr>
                <w:sz w:val="22"/>
                <w:szCs w:val="22"/>
              </w:rPr>
            </w:pPr>
            <w:r>
              <w:rPr>
                <w:sz w:val="22"/>
                <w:szCs w:val="22"/>
              </w:rPr>
              <w:t>FG32</w:t>
            </w: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p>
          <w:p>
            <w:pPr>
              <w:pStyle w:val="Listenabsatz"/>
              <w:numPr>
                <w:ilvl w:val="0"/>
                <w:numId w:val="9"/>
              </w:numPr>
              <w:rPr>
                <w:b/>
                <w:sz w:val="28"/>
              </w:rPr>
            </w:pPr>
            <w:r>
              <w:rPr>
                <w:sz w:val="22"/>
                <w:szCs w:val="22"/>
              </w:rPr>
              <w:t>Nichts zu ergänzen</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2"/>
              </w:rPr>
            </w:pPr>
            <w:r>
              <w:rPr>
                <w:b/>
                <w:sz w:val="28"/>
              </w:rPr>
              <w:t>Informationen aus dem Lagezentrum</w:t>
            </w:r>
          </w:p>
          <w:p>
            <w:pPr>
              <w:pStyle w:val="Listenabsatz"/>
              <w:numPr>
                <w:ilvl w:val="0"/>
                <w:numId w:val="7"/>
              </w:numPr>
            </w:pPr>
            <w:r>
              <w:rPr>
                <w:sz w:val="22"/>
                <w:szCs w:val="22"/>
              </w:rPr>
              <w:t>Nicht besprochen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sz w:val="22"/>
              </w:rPr>
            </w:pPr>
            <w:r>
              <w:rPr>
                <w:b/>
                <w:sz w:val="28"/>
              </w:rPr>
              <w:t>Andere Themen</w:t>
            </w:r>
          </w:p>
          <w:p>
            <w:pPr>
              <w:pStyle w:val="Listenabsatz"/>
              <w:numPr>
                <w:ilvl w:val="0"/>
                <w:numId w:val="3"/>
              </w:numPr>
              <w:rPr>
                <w:sz w:val="22"/>
              </w:rPr>
            </w:pPr>
            <w:r>
              <w:rPr>
                <w:sz w:val="22"/>
              </w:rPr>
              <w:t>Nächste Sitzung: Freitag 28.02.2020, 13:00-14:00 Uhr, Lagezentrum Besprechungsraum</w:t>
            </w:r>
          </w:p>
        </w:tc>
        <w:tc>
          <w:tcPr>
            <w:tcW w:w="1492" w:type="dxa"/>
          </w:tcPr>
          <w:p>
            <w:pPr>
              <w:rPr>
                <w:sz w:val="22"/>
                <w:szCs w:val="22"/>
              </w:rPr>
            </w:pPr>
          </w:p>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20C"/>
    <w:multiLevelType w:val="hybridMultilevel"/>
    <w:tmpl w:val="BC78BC0C"/>
    <w:lvl w:ilvl="0" w:tplc="8948F02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25993"/>
    <w:multiLevelType w:val="hybridMultilevel"/>
    <w:tmpl w:val="4E0EC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8D5A1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643E4"/>
    <w:multiLevelType w:val="hybridMultilevel"/>
    <w:tmpl w:val="613A83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5D326C"/>
    <w:multiLevelType w:val="hybridMultilevel"/>
    <w:tmpl w:val="0B787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181420"/>
    <w:multiLevelType w:val="hybridMultilevel"/>
    <w:tmpl w:val="74881F1E"/>
    <w:lvl w:ilvl="0" w:tplc="4C920166">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A812A6"/>
    <w:multiLevelType w:val="hybridMultilevel"/>
    <w:tmpl w:val="2324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CB1911"/>
    <w:multiLevelType w:val="hybridMultilevel"/>
    <w:tmpl w:val="12D034C8"/>
    <w:lvl w:ilvl="0" w:tplc="0EA63E0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4524A1"/>
    <w:multiLevelType w:val="hybridMultilevel"/>
    <w:tmpl w:val="F28CA2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6456F5"/>
    <w:multiLevelType w:val="hybridMultilevel"/>
    <w:tmpl w:val="C09CB620"/>
    <w:lvl w:ilvl="0" w:tplc="59F0C7C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DF13A1"/>
    <w:multiLevelType w:val="hybridMultilevel"/>
    <w:tmpl w:val="21F88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4F1F47"/>
    <w:multiLevelType w:val="hybridMultilevel"/>
    <w:tmpl w:val="5A20FF72"/>
    <w:lvl w:ilvl="0" w:tplc="1D5A4C2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C766B67"/>
    <w:multiLevelType w:val="hybridMultilevel"/>
    <w:tmpl w:val="DD7EC84C"/>
    <w:lvl w:ilvl="0" w:tplc="1D5A4C2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AD2D96"/>
    <w:multiLevelType w:val="hybridMultilevel"/>
    <w:tmpl w:val="410E1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232E85"/>
    <w:multiLevelType w:val="hybridMultilevel"/>
    <w:tmpl w:val="5C1AACB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640189"/>
    <w:multiLevelType w:val="hybridMultilevel"/>
    <w:tmpl w:val="37040B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A179B8"/>
    <w:multiLevelType w:val="hybridMultilevel"/>
    <w:tmpl w:val="0ACCB7B8"/>
    <w:lvl w:ilvl="0" w:tplc="AE381364">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6"/>
  </w:num>
  <w:num w:numId="4">
    <w:abstractNumId w:val="3"/>
  </w:num>
  <w:num w:numId="5">
    <w:abstractNumId w:val="15"/>
  </w:num>
  <w:num w:numId="6">
    <w:abstractNumId w:val="8"/>
  </w:num>
  <w:num w:numId="7">
    <w:abstractNumId w:val="17"/>
  </w:num>
  <w:num w:numId="8">
    <w:abstractNumId w:val="6"/>
  </w:num>
  <w:num w:numId="9">
    <w:abstractNumId w:val="14"/>
  </w:num>
  <w:num w:numId="10">
    <w:abstractNumId w:val="24"/>
  </w:num>
  <w:num w:numId="11">
    <w:abstractNumId w:val="9"/>
  </w:num>
  <w:num w:numId="12">
    <w:abstractNumId w:val="21"/>
  </w:num>
  <w:num w:numId="13">
    <w:abstractNumId w:val="2"/>
  </w:num>
  <w:num w:numId="14">
    <w:abstractNumId w:val="1"/>
  </w:num>
  <w:num w:numId="15">
    <w:abstractNumId w:val="10"/>
  </w:num>
  <w:num w:numId="16">
    <w:abstractNumId w:val="22"/>
  </w:num>
  <w:num w:numId="17">
    <w:abstractNumId w:val="23"/>
  </w:num>
  <w:num w:numId="18">
    <w:abstractNumId w:val="7"/>
  </w:num>
  <w:num w:numId="19">
    <w:abstractNumId w:val="4"/>
  </w:num>
  <w:num w:numId="20">
    <w:abstractNumId w:val="12"/>
  </w:num>
  <w:num w:numId="21">
    <w:abstractNumId w:val="13"/>
  </w:num>
  <w:num w:numId="22">
    <w:abstractNumId w:val="0"/>
  </w:num>
  <w:num w:numId="23">
    <w:abstractNumId w:val="20"/>
  </w:num>
  <w:num w:numId="24">
    <w:abstractNumId w:val="19"/>
  </w:num>
  <w:num w:numId="25">
    <w:abstractNumId w:val="18"/>
  </w:num>
  <w:num w:numId="26">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AD39B5E-6386-40DB-B9A1-993162B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979">
      <w:bodyDiv w:val="1"/>
      <w:marLeft w:val="0"/>
      <w:marRight w:val="0"/>
      <w:marTop w:val="0"/>
      <w:marBottom w:val="0"/>
      <w:divBdr>
        <w:top w:val="none" w:sz="0" w:space="0" w:color="auto"/>
        <w:left w:val="none" w:sz="0" w:space="0" w:color="auto"/>
        <w:bottom w:val="none" w:sz="0" w:space="0" w:color="auto"/>
        <w:right w:val="none" w:sz="0" w:space="0" w:color="auto"/>
      </w:divBdr>
    </w:div>
    <w:div w:id="172572226">
      <w:bodyDiv w:val="1"/>
      <w:marLeft w:val="0"/>
      <w:marRight w:val="0"/>
      <w:marTop w:val="0"/>
      <w:marBottom w:val="0"/>
      <w:divBdr>
        <w:top w:val="none" w:sz="0" w:space="0" w:color="auto"/>
        <w:left w:val="none" w:sz="0" w:space="0" w:color="auto"/>
        <w:bottom w:val="none" w:sz="0" w:space="0" w:color="auto"/>
        <w:right w:val="none" w:sz="0" w:space="0" w:color="auto"/>
      </w:divBdr>
    </w:div>
    <w:div w:id="570971521">
      <w:bodyDiv w:val="1"/>
      <w:marLeft w:val="0"/>
      <w:marRight w:val="0"/>
      <w:marTop w:val="0"/>
      <w:marBottom w:val="0"/>
      <w:divBdr>
        <w:top w:val="none" w:sz="0" w:space="0" w:color="auto"/>
        <w:left w:val="none" w:sz="0" w:space="0" w:color="auto"/>
        <w:bottom w:val="none" w:sz="0" w:space="0" w:color="auto"/>
        <w:right w:val="none" w:sz="0" w:space="0" w:color="auto"/>
      </w:divBdr>
    </w:div>
    <w:div w:id="64844188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94672434">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59133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ki.de/DE/Content/InfAZ/N/Neuartiges_Coronavirus/Fallzahlen.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D57CB-B1BB-4B3E-9159-665739E7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1651</Words>
  <Characters>10402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14</cp:revision>
  <dcterms:created xsi:type="dcterms:W3CDTF">2020-02-27T14:43:00Z</dcterms:created>
  <dcterms:modified xsi:type="dcterms:W3CDTF">2021-04-12T14:08:00Z</dcterms:modified>
</cp:coreProperties>
</file>