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keepNext/>
        <w:keepLines/>
        <w:spacing w:before="480" w:after="0"/>
        <w:outlineLvl w:val="0"/>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rPr>
      </w:pPr>
      <w:r>
        <w:rPr>
          <w:b/>
          <w:i/>
        </w:rPr>
        <w:t>Anlass:</w:t>
      </w:r>
      <w:r>
        <w:rPr>
          <w:i/>
        </w:rPr>
        <w:t xml:space="preserve"> </w:t>
      </w:r>
      <w:r>
        <w:rPr>
          <w:i/>
        </w:rPr>
        <w:tab/>
      </w:r>
      <w:r>
        <w:rPr>
          <w:i/>
        </w:rPr>
        <w:tab/>
      </w:r>
      <w:sdt>
        <w:sdtPr>
          <w:rPr>
            <w:i/>
          </w:rPr>
          <w:id w:val="-1069258484"/>
          <w:placeholder>
            <w:docPart w:val="FEFB0C666C5B410EB08D86A001776D4F"/>
          </w:placeholder>
        </w:sdtPr>
        <w:sdtContent>
          <w:sdt>
            <w:sdtPr>
              <w:rPr>
                <w:i/>
              </w:rPr>
              <w:id w:val="334350100"/>
              <w:placeholder>
                <w:docPart w:val="B7C498C2CAEF44BCBAEAA7AAEF36A80B"/>
              </w:placeholder>
            </w:sdtPr>
            <w:sdtContent>
              <w: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rPr>
      </w:pPr>
      <w:r>
        <w:rPr>
          <w:b/>
          <w:i/>
        </w:rPr>
        <w:t>Datum:</w:t>
      </w:r>
      <w:r>
        <w:rPr>
          <w:i/>
        </w:rPr>
        <w:t xml:space="preserve"> </w:t>
      </w:r>
      <w:r>
        <w:rPr>
          <w:i/>
        </w:rPr>
        <w:tab/>
      </w:r>
      <w:r>
        <w:rPr>
          <w:i/>
        </w:rPr>
        <w:tab/>
      </w:r>
      <w:sdt>
        <w:sdtPr>
          <w:rPr>
            <w:i/>
          </w:rPr>
          <w:id w:val="1092433924"/>
          <w:placeholder>
            <w:docPart w:val="FEFB0C666C5B410EB08D86A001776D4F"/>
          </w:placeholder>
        </w:sdtPr>
        <w:sdtContent>
          <w:r>
            <w:rPr>
              <w:i/>
            </w:rPr>
            <w:t>11.12.2020,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pPr>
      <w:r>
        <w:rPr>
          <w:b/>
          <w:i/>
        </w:rPr>
        <w:t>Sitzungsort:</w:t>
      </w:r>
      <w:r>
        <w:rPr>
          <w:b/>
          <w:i/>
        </w:rPr>
        <w:tab/>
      </w:r>
      <w:r>
        <w:rPr>
          <w:b/>
          <w:i/>
        </w:rPr>
        <w:tab/>
      </w:r>
      <w:sdt>
        <w:sdtPr>
          <w:id w:val="1344203332"/>
          <w:placeholder>
            <w:docPart w:val="D712AF289A574C42AD07CFC8EAF53E55"/>
          </w:placeholder>
        </w:sdtPr>
        <w:sdtContent>
          <w:r>
            <w:t>Webexkonferenz</w:t>
          </w:r>
        </w:sdtContent>
      </w:sdt>
    </w:p>
    <w:p>
      <w:pPr>
        <w:rPr>
          <w:b/>
        </w:rPr>
      </w:pPr>
      <w:r>
        <w:rPr>
          <w:b/>
        </w:rPr>
        <w:t xml:space="preserve">Moderation: </w:t>
      </w:r>
      <w:r>
        <w:t xml:space="preserve">Ute Rexroth, Maria </w:t>
      </w:r>
      <w:proofErr w:type="gramStart"/>
      <w:r>
        <w:t>an der Heiden</w:t>
      </w:r>
      <w:proofErr w:type="gramEnd"/>
    </w:p>
    <w:p>
      <w:pPr>
        <w:spacing w:after="0"/>
        <w:rPr>
          <w:b/>
        </w:rPr>
      </w:pPr>
      <w:r>
        <w:rPr>
          <w:b/>
        </w:rPr>
        <w:t xml:space="preserve">Teilnehmende: </w:t>
      </w:r>
    </w:p>
    <w:p>
      <w:pPr>
        <w:numPr>
          <w:ilvl w:val="0"/>
          <w:numId w:val="17"/>
        </w:numPr>
        <w:spacing w:after="0"/>
        <w:ind w:hanging="357"/>
        <w:rPr>
          <w:sz w:val="22"/>
          <w:szCs w:val="22"/>
        </w:rPr>
      </w:pPr>
      <w:r>
        <w:rPr>
          <w:sz w:val="22"/>
          <w:szCs w:val="22"/>
        </w:rPr>
        <w:t>Abt. 3</w:t>
      </w:r>
    </w:p>
    <w:p>
      <w:pPr>
        <w:numPr>
          <w:ilvl w:val="1"/>
          <w:numId w:val="17"/>
        </w:numPr>
        <w:spacing w:after="0"/>
        <w:rPr>
          <w:sz w:val="22"/>
          <w:szCs w:val="22"/>
        </w:rPr>
      </w:pPr>
      <w:r>
        <w:rPr>
          <w:sz w:val="22"/>
          <w:szCs w:val="22"/>
        </w:rPr>
        <w:t>Tanja Jung-Sendzikt</w:t>
      </w:r>
    </w:p>
    <w:p>
      <w:pPr>
        <w:numPr>
          <w:ilvl w:val="0"/>
          <w:numId w:val="18"/>
        </w:numPr>
        <w:spacing w:after="0"/>
        <w:rPr>
          <w:sz w:val="22"/>
          <w:szCs w:val="22"/>
        </w:rPr>
      </w:pPr>
      <w:r>
        <w:rPr>
          <w:sz w:val="22"/>
          <w:szCs w:val="22"/>
        </w:rPr>
        <w:t>FG14</w:t>
      </w:r>
    </w:p>
    <w:p>
      <w:pPr>
        <w:numPr>
          <w:ilvl w:val="1"/>
          <w:numId w:val="17"/>
        </w:numPr>
        <w:spacing w:after="0"/>
        <w:rPr>
          <w:sz w:val="22"/>
          <w:szCs w:val="22"/>
        </w:rPr>
      </w:pPr>
      <w:r>
        <w:rPr>
          <w:sz w:val="22"/>
          <w:szCs w:val="22"/>
        </w:rPr>
        <w:t>Melanie Brunke</w:t>
      </w:r>
    </w:p>
    <w:p>
      <w:pPr>
        <w:numPr>
          <w:ilvl w:val="0"/>
          <w:numId w:val="17"/>
        </w:numPr>
        <w:spacing w:after="0"/>
        <w:rPr>
          <w:sz w:val="22"/>
          <w:szCs w:val="22"/>
        </w:rPr>
      </w:pPr>
      <w:r>
        <w:rPr>
          <w:sz w:val="22"/>
          <w:szCs w:val="22"/>
        </w:rPr>
        <w:t>FG12</w:t>
      </w:r>
    </w:p>
    <w:p>
      <w:pPr>
        <w:numPr>
          <w:ilvl w:val="1"/>
          <w:numId w:val="17"/>
        </w:numPr>
        <w:spacing w:after="0"/>
        <w:rPr>
          <w:sz w:val="22"/>
          <w:szCs w:val="22"/>
        </w:rPr>
      </w:pPr>
      <w:r>
        <w:rPr>
          <w:sz w:val="22"/>
          <w:szCs w:val="22"/>
        </w:rPr>
        <w:t>Annette Mankertz</w:t>
      </w:r>
    </w:p>
    <w:p>
      <w:pPr>
        <w:numPr>
          <w:ilvl w:val="0"/>
          <w:numId w:val="17"/>
        </w:numPr>
        <w:spacing w:after="0"/>
        <w:rPr>
          <w:sz w:val="22"/>
          <w:szCs w:val="22"/>
        </w:rPr>
      </w:pPr>
      <w:r>
        <w:rPr>
          <w:sz w:val="22"/>
          <w:szCs w:val="22"/>
        </w:rPr>
        <w:t>FG17</w:t>
      </w:r>
    </w:p>
    <w:p>
      <w:pPr>
        <w:numPr>
          <w:ilvl w:val="1"/>
          <w:numId w:val="17"/>
        </w:numPr>
        <w:spacing w:after="0"/>
        <w:rPr>
          <w:sz w:val="22"/>
          <w:szCs w:val="22"/>
        </w:rPr>
      </w:pPr>
      <w:r>
        <w:rPr>
          <w:sz w:val="22"/>
          <w:szCs w:val="22"/>
        </w:rPr>
        <w:t>Djin-Ye Oh</w:t>
      </w:r>
    </w:p>
    <w:p>
      <w:pPr>
        <w:numPr>
          <w:ilvl w:val="0"/>
          <w:numId w:val="17"/>
        </w:numPr>
        <w:spacing w:after="0"/>
        <w:rPr>
          <w:sz w:val="22"/>
          <w:szCs w:val="22"/>
        </w:rPr>
      </w:pPr>
      <w:r>
        <w:rPr>
          <w:sz w:val="22"/>
          <w:szCs w:val="22"/>
        </w:rPr>
        <w:t xml:space="preserve">FG21 </w:t>
      </w:r>
    </w:p>
    <w:p>
      <w:pPr>
        <w:numPr>
          <w:ilvl w:val="1"/>
          <w:numId w:val="17"/>
        </w:numPr>
        <w:spacing w:after="0"/>
        <w:rPr>
          <w:sz w:val="22"/>
          <w:szCs w:val="22"/>
        </w:rPr>
      </w:pPr>
      <w:r>
        <w:rPr>
          <w:sz w:val="22"/>
          <w:szCs w:val="22"/>
        </w:rPr>
        <w:t>Patrick Schmich</w:t>
      </w:r>
    </w:p>
    <w:p>
      <w:pPr>
        <w:numPr>
          <w:ilvl w:val="0"/>
          <w:numId w:val="17"/>
        </w:numPr>
        <w:spacing w:after="0"/>
        <w:rPr>
          <w:sz w:val="22"/>
          <w:szCs w:val="22"/>
        </w:rPr>
      </w:pPr>
      <w:r>
        <w:rPr>
          <w:sz w:val="22"/>
          <w:szCs w:val="22"/>
        </w:rPr>
        <w:t>FG36</w:t>
      </w:r>
    </w:p>
    <w:p>
      <w:pPr>
        <w:numPr>
          <w:ilvl w:val="1"/>
          <w:numId w:val="17"/>
        </w:numPr>
        <w:spacing w:after="0"/>
        <w:rPr>
          <w:sz w:val="22"/>
          <w:szCs w:val="22"/>
        </w:rPr>
      </w:pPr>
      <w:r>
        <w:rPr>
          <w:sz w:val="22"/>
          <w:szCs w:val="22"/>
        </w:rPr>
        <w:t>Walter Haas</w:t>
      </w:r>
    </w:p>
    <w:p>
      <w:pPr>
        <w:numPr>
          <w:ilvl w:val="1"/>
          <w:numId w:val="17"/>
        </w:numPr>
        <w:spacing w:after="0"/>
        <w:rPr>
          <w:sz w:val="22"/>
          <w:szCs w:val="22"/>
        </w:rPr>
      </w:pPr>
      <w:r>
        <w:rPr>
          <w:sz w:val="22"/>
          <w:szCs w:val="22"/>
        </w:rPr>
        <w:t>Silke Buda</w:t>
      </w:r>
    </w:p>
    <w:p>
      <w:pPr>
        <w:numPr>
          <w:ilvl w:val="1"/>
          <w:numId w:val="17"/>
        </w:numPr>
        <w:spacing w:after="0"/>
        <w:rPr>
          <w:sz w:val="22"/>
          <w:szCs w:val="22"/>
        </w:rPr>
      </w:pPr>
      <w:r>
        <w:rPr>
          <w:sz w:val="22"/>
          <w:szCs w:val="22"/>
        </w:rPr>
        <w:t>Stefan Kröger</w:t>
      </w:r>
    </w:p>
    <w:p>
      <w:pPr>
        <w:numPr>
          <w:ilvl w:val="0"/>
          <w:numId w:val="17"/>
        </w:numPr>
        <w:spacing w:after="0"/>
        <w:rPr>
          <w:sz w:val="22"/>
          <w:szCs w:val="22"/>
        </w:rPr>
      </w:pPr>
      <w:r>
        <w:rPr>
          <w:sz w:val="22"/>
          <w:szCs w:val="22"/>
        </w:rPr>
        <w:t>FG37</w:t>
      </w:r>
    </w:p>
    <w:p>
      <w:pPr>
        <w:numPr>
          <w:ilvl w:val="1"/>
          <w:numId w:val="17"/>
        </w:numPr>
        <w:spacing w:after="0"/>
        <w:rPr>
          <w:sz w:val="22"/>
          <w:szCs w:val="22"/>
        </w:rPr>
      </w:pPr>
      <w:r>
        <w:rPr>
          <w:sz w:val="22"/>
          <w:szCs w:val="22"/>
        </w:rPr>
        <w:t>Tim Eckmanns</w:t>
      </w:r>
    </w:p>
    <w:p>
      <w:pPr>
        <w:numPr>
          <w:ilvl w:val="0"/>
          <w:numId w:val="19"/>
        </w:numPr>
        <w:spacing w:after="0"/>
        <w:rPr>
          <w:sz w:val="22"/>
          <w:szCs w:val="22"/>
        </w:rPr>
      </w:pPr>
      <w:r>
        <w:rPr>
          <w:sz w:val="22"/>
          <w:szCs w:val="22"/>
        </w:rPr>
        <w:t>FG 38</w:t>
      </w:r>
    </w:p>
    <w:p>
      <w:pPr>
        <w:numPr>
          <w:ilvl w:val="1"/>
          <w:numId w:val="17"/>
        </w:numPr>
        <w:spacing w:after="0"/>
        <w:rPr>
          <w:sz w:val="22"/>
          <w:szCs w:val="22"/>
        </w:rPr>
      </w:pPr>
      <w:r>
        <w:rPr>
          <w:sz w:val="22"/>
          <w:szCs w:val="22"/>
        </w:rPr>
        <w:t>Ute Rexroth</w:t>
      </w:r>
    </w:p>
    <w:p>
      <w:pPr>
        <w:numPr>
          <w:ilvl w:val="1"/>
          <w:numId w:val="17"/>
        </w:numPr>
        <w:spacing w:after="0"/>
        <w:rPr>
          <w:sz w:val="22"/>
          <w:szCs w:val="22"/>
        </w:rPr>
      </w:pPr>
      <w:r>
        <w:rPr>
          <w:sz w:val="22"/>
          <w:szCs w:val="22"/>
        </w:rPr>
        <w:t xml:space="preserve">Maria </w:t>
      </w:r>
      <w:proofErr w:type="gramStart"/>
      <w:r>
        <w:rPr>
          <w:sz w:val="22"/>
          <w:szCs w:val="22"/>
        </w:rPr>
        <w:t>an der Heiden</w:t>
      </w:r>
      <w:proofErr w:type="gramEnd"/>
    </w:p>
    <w:p>
      <w:pPr>
        <w:numPr>
          <w:ilvl w:val="1"/>
          <w:numId w:val="17"/>
        </w:numPr>
        <w:spacing w:after="0"/>
        <w:rPr>
          <w:sz w:val="22"/>
          <w:szCs w:val="22"/>
        </w:rPr>
      </w:pPr>
      <w:r>
        <w:rPr>
          <w:sz w:val="22"/>
          <w:szCs w:val="22"/>
        </w:rPr>
        <w:t>Kirsten Pörtner (Protokoll)</w:t>
      </w:r>
    </w:p>
    <w:p>
      <w:pPr>
        <w:numPr>
          <w:ilvl w:val="0"/>
          <w:numId w:val="18"/>
        </w:numPr>
        <w:spacing w:after="0"/>
        <w:rPr>
          <w:sz w:val="22"/>
          <w:szCs w:val="22"/>
        </w:rPr>
      </w:pPr>
      <w:r>
        <w:rPr>
          <w:sz w:val="22"/>
          <w:szCs w:val="22"/>
        </w:rPr>
        <w:t>Presse</w:t>
      </w:r>
    </w:p>
    <w:p>
      <w:pPr>
        <w:numPr>
          <w:ilvl w:val="1"/>
          <w:numId w:val="18"/>
        </w:numPr>
        <w:spacing w:after="0"/>
        <w:rPr>
          <w:sz w:val="22"/>
          <w:szCs w:val="22"/>
        </w:rPr>
      </w:pPr>
      <w:r>
        <w:rPr>
          <w:sz w:val="22"/>
          <w:szCs w:val="22"/>
        </w:rPr>
        <w:t>Marieke Degen</w:t>
      </w:r>
    </w:p>
    <w:p>
      <w:pPr>
        <w:numPr>
          <w:ilvl w:val="0"/>
          <w:numId w:val="17"/>
        </w:numPr>
        <w:spacing w:after="0"/>
        <w:rPr>
          <w:sz w:val="22"/>
          <w:szCs w:val="22"/>
        </w:rPr>
      </w:pPr>
      <w:r>
        <w:rPr>
          <w:sz w:val="22"/>
          <w:szCs w:val="22"/>
        </w:rPr>
        <w:t>IBBS</w:t>
      </w:r>
    </w:p>
    <w:p>
      <w:pPr>
        <w:numPr>
          <w:ilvl w:val="1"/>
          <w:numId w:val="17"/>
        </w:numPr>
        <w:spacing w:after="0"/>
        <w:rPr>
          <w:sz w:val="22"/>
          <w:szCs w:val="22"/>
        </w:rPr>
      </w:pPr>
      <w:r>
        <w:rPr>
          <w:sz w:val="22"/>
          <w:szCs w:val="22"/>
        </w:rPr>
        <w:t>Christian Herzog</w:t>
      </w:r>
    </w:p>
    <w:p>
      <w:pPr>
        <w:numPr>
          <w:ilvl w:val="0"/>
          <w:numId w:val="17"/>
        </w:numPr>
        <w:spacing w:after="0"/>
        <w:rPr>
          <w:sz w:val="22"/>
          <w:szCs w:val="22"/>
        </w:rPr>
      </w:pPr>
      <w:r>
        <w:rPr>
          <w:sz w:val="22"/>
          <w:szCs w:val="22"/>
        </w:rPr>
        <w:t>P1</w:t>
      </w:r>
    </w:p>
    <w:p>
      <w:pPr>
        <w:numPr>
          <w:ilvl w:val="1"/>
          <w:numId w:val="17"/>
        </w:numPr>
        <w:spacing w:after="0"/>
        <w:rPr>
          <w:sz w:val="22"/>
          <w:szCs w:val="22"/>
        </w:rPr>
      </w:pPr>
      <w:r>
        <w:rPr>
          <w:sz w:val="22"/>
          <w:szCs w:val="22"/>
        </w:rPr>
        <w:t>Esther-Maria Antao</w:t>
      </w:r>
    </w:p>
    <w:p>
      <w:pPr>
        <w:numPr>
          <w:ilvl w:val="1"/>
          <w:numId w:val="17"/>
        </w:numPr>
        <w:spacing w:after="0"/>
        <w:rPr>
          <w:sz w:val="22"/>
          <w:szCs w:val="22"/>
        </w:rPr>
      </w:pPr>
      <w:r>
        <w:rPr>
          <w:sz w:val="22"/>
          <w:szCs w:val="22"/>
        </w:rPr>
        <w:t>Ines Lein</w:t>
      </w:r>
    </w:p>
    <w:p>
      <w:pPr>
        <w:numPr>
          <w:ilvl w:val="1"/>
          <w:numId w:val="17"/>
        </w:numPr>
        <w:spacing w:after="0"/>
        <w:rPr>
          <w:sz w:val="22"/>
          <w:szCs w:val="22"/>
        </w:rPr>
      </w:pPr>
      <w:r>
        <w:rPr>
          <w:sz w:val="22"/>
          <w:szCs w:val="22"/>
        </w:rPr>
        <w:t>Mirjam Jenny</w:t>
      </w:r>
    </w:p>
    <w:p>
      <w:pPr>
        <w:numPr>
          <w:ilvl w:val="0"/>
          <w:numId w:val="17"/>
        </w:numPr>
        <w:spacing w:after="0"/>
        <w:rPr>
          <w:sz w:val="22"/>
          <w:szCs w:val="22"/>
        </w:rPr>
      </w:pPr>
      <w:r>
        <w:rPr>
          <w:sz w:val="22"/>
          <w:szCs w:val="22"/>
        </w:rPr>
        <w:t>ZBS1</w:t>
      </w:r>
    </w:p>
    <w:p>
      <w:pPr>
        <w:numPr>
          <w:ilvl w:val="1"/>
          <w:numId w:val="17"/>
        </w:numPr>
        <w:spacing w:after="0"/>
        <w:rPr>
          <w:sz w:val="22"/>
          <w:szCs w:val="22"/>
        </w:rPr>
      </w:pPr>
      <w:r>
        <w:rPr>
          <w:sz w:val="22"/>
          <w:szCs w:val="22"/>
        </w:rPr>
        <w:t>Janine Michel</w:t>
      </w:r>
    </w:p>
    <w:p/>
    <w:p/>
    <w:p/>
    <w:p>
      <w:bookmarkStart w:id="0" w:name="_GoBack"/>
      <w:bookmarkEnd w:id="0"/>
    </w:p>
    <w:tbl>
      <w:tblPr>
        <w:tblStyle w:val="Tabellenraster"/>
        <w:tblW w:w="8901" w:type="dxa"/>
        <w:tblLook w:val="00A0" w:firstRow="1" w:lastRow="0" w:firstColumn="1" w:lastColumn="0" w:noHBand="0" w:noVBand="0"/>
      </w:tblPr>
      <w:tblGrid>
        <w:gridCol w:w="684"/>
        <w:gridCol w:w="6408"/>
        <w:gridCol w:w="1809"/>
      </w:tblGrid>
      <w:tr>
        <w:tc>
          <w:tcPr>
            <w:tcW w:w="684" w:type="dxa"/>
          </w:tcPr>
          <w:p>
            <w:pPr>
              <w:rPr>
                <w:b/>
              </w:rPr>
            </w:pPr>
            <w:r>
              <w:rPr>
                <w:b/>
              </w:rPr>
              <w:lastRenderedPageBreak/>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r>
              <w:t>1</w:t>
            </w:r>
          </w:p>
        </w:tc>
        <w:tc>
          <w:tcPr>
            <w:tcW w:w="6408" w:type="dxa"/>
          </w:tcPr>
          <w:p>
            <w:pPr>
              <w:rPr>
                <w:b/>
              </w:rPr>
            </w:pPr>
            <w:r>
              <w:rPr>
                <w:b/>
              </w:rPr>
              <w:t>Aktuelle Lage</w:t>
            </w:r>
          </w:p>
          <w:p>
            <w:pPr>
              <w:spacing w:line="276" w:lineRule="auto"/>
              <w:rPr>
                <w:b/>
              </w:rPr>
            </w:pPr>
            <w:r>
              <w:rPr>
                <w:b/>
              </w:rPr>
              <w:t xml:space="preserve">International </w:t>
            </w:r>
          </w:p>
          <w:p>
            <w:pPr>
              <w:pStyle w:val="Listenabsatz"/>
              <w:numPr>
                <w:ilvl w:val="0"/>
                <w:numId w:val="22"/>
              </w:numPr>
              <w:spacing w:line="276" w:lineRule="auto"/>
            </w:pPr>
            <w:r>
              <w:t>Nicht besprochen</w:t>
            </w:r>
          </w:p>
          <w:p>
            <w:pPr>
              <w:spacing w:before="120" w:line="276" w:lineRule="auto"/>
              <w:rPr>
                <w:b/>
              </w:rPr>
            </w:pPr>
            <w:r>
              <w:rPr>
                <w:b/>
              </w:rPr>
              <w:t xml:space="preserve">National </w:t>
            </w:r>
          </w:p>
          <w:p>
            <w:pPr>
              <w:pStyle w:val="Listenabsatz"/>
              <w:numPr>
                <w:ilvl w:val="0"/>
                <w:numId w:val="20"/>
              </w:numPr>
              <w:ind w:left="453" w:hanging="340"/>
            </w:pPr>
            <w:r>
              <w:t xml:space="preserve">Fallzahlen, Todesfälle, Trend (Folien </w:t>
            </w:r>
            <w:hyperlink r:id="rId7" w:history="1">
              <w:r>
                <w:rPr>
                  <w:rStyle w:val="Hyperlink"/>
                </w:rPr>
                <w:t>hier</w:t>
              </w:r>
            </w:hyperlink>
            <w:r>
              <w:t xml:space="preserve">) </w:t>
            </w:r>
          </w:p>
          <w:p>
            <w:pPr>
              <w:pStyle w:val="Listenabsatz"/>
              <w:numPr>
                <w:ilvl w:val="0"/>
                <w:numId w:val="25"/>
              </w:numPr>
            </w:pPr>
            <w:r>
              <w:t>SurvNet übermittelt: 1.272.078 (+29.875), 20.970</w:t>
            </w:r>
          </w:p>
          <w:p>
            <w:pPr>
              <w:pStyle w:val="Listenabsatz"/>
              <w:numPr>
                <w:ilvl w:val="0"/>
                <w:numId w:val="25"/>
              </w:numPr>
            </w:pPr>
            <w:r>
              <w:t>(1,6 %) Verstorbene (+598), Zahlen auf neuem Höchstwert</w:t>
            </w:r>
          </w:p>
          <w:p>
            <w:pPr>
              <w:pStyle w:val="Listenabsatz"/>
              <w:numPr>
                <w:ilvl w:val="0"/>
                <w:numId w:val="25"/>
              </w:numPr>
            </w:pPr>
            <w:r>
              <w:t>7-Tage-Inzidenz 156/100.000 Einw.; R-Werte ausstehend; ITS (Datenstand 10.12.2020): 4.339 (+61), invasiv beatmet: 2.505 (-16)</w:t>
            </w:r>
          </w:p>
          <w:p>
            <w:pPr>
              <w:pStyle w:val="Listenabsatz"/>
              <w:numPr>
                <w:ilvl w:val="0"/>
                <w:numId w:val="25"/>
              </w:numPr>
            </w:pPr>
            <w:r>
              <w:t>Weiterhin hohe Fallzahlen und Todesfälle, hohe ITS-Zahlen, keine Entspannung der Lage</w:t>
            </w:r>
          </w:p>
          <w:p>
            <w:pPr>
              <w:pStyle w:val="Listenabsatz"/>
              <w:numPr>
                <w:ilvl w:val="0"/>
                <w:numId w:val="25"/>
              </w:numPr>
            </w:pPr>
            <w:r>
              <w:t>7-Tage-Inzidenz der Bundesländer: Sachsen und Thüringen weiterhin führend, Aufwärtstrend aber bundesweit, auch z.B. in MV, Lage angespannt</w:t>
            </w:r>
          </w:p>
          <w:p>
            <w:pPr>
              <w:pStyle w:val="Listenabsatz"/>
              <w:numPr>
                <w:ilvl w:val="0"/>
                <w:numId w:val="24"/>
              </w:numPr>
            </w:pPr>
            <w:r>
              <w:t>7-Tage-Inzidenz nach geographischer Verteilung: 2 LK &gt; 500-1000/100.000, 35 LK mit &gt; 250-500/100.000</w:t>
            </w:r>
          </w:p>
          <w:p>
            <w:pPr>
              <w:pStyle w:val="Listenabsatz"/>
              <w:numPr>
                <w:ilvl w:val="0"/>
                <w:numId w:val="24"/>
              </w:numPr>
            </w:pPr>
            <w:r>
              <w:t xml:space="preserve">Mortalitätssurveillance hinkt hinterher, in KW 45 aktuell ca. 3% über dem Durchschnitt der Vorjahre 2016-19 </w:t>
            </w:r>
          </w:p>
          <w:p>
            <w:pPr>
              <w:pStyle w:val="Listenabsatz"/>
              <w:numPr>
                <w:ilvl w:val="0"/>
                <w:numId w:val="24"/>
              </w:numPr>
            </w:pPr>
            <w:r>
              <w:t>Nachgemeldet wurden von gestern ca. 1000 Fälle aus NRW, kein qualitativer Unterschied, nur quantitativer</w:t>
            </w:r>
          </w:p>
          <w:p>
            <w:pPr>
              <w:pStyle w:val="Listenabsatz"/>
              <w:numPr>
                <w:ilvl w:val="0"/>
                <w:numId w:val="24"/>
              </w:numPr>
            </w:pPr>
            <w:r>
              <w:t>In EUROMOMO Mortalitätssurveillance gibt es aktuell EU-weit keine relevante Übersterblichkeit, ab der Altersgruppe 45. LJ jedoch Anstieg zu sehen auch im Vergleich zu bisherigen Influenzawellen, Unterschiede in den einzelnen Ländern zu sehen, Österreich z.B. erst in der 2. Welle betroffen, Spanien aktuell im Vergleich zum Frühjahr weniger betroffen, da im Frühjahr unvorbereitet</w:t>
            </w:r>
          </w:p>
          <w:p>
            <w:pPr>
              <w:pStyle w:val="Listenabsatz"/>
              <w:numPr>
                <w:ilvl w:val="0"/>
                <w:numId w:val="24"/>
              </w:numPr>
            </w:pPr>
            <w:r>
              <w:t>Fazit: deutliche Schwere im Vergleich zu Influenza hinsichtlich Mortalität, Übersterblichkeit kann ohne präventive Maßnahmen wie im Frühjahr extrem hoch sein, selbst mit Maßnahmen höher als bei Influenza</w:t>
            </w:r>
          </w:p>
        </w:tc>
        <w:tc>
          <w:tcPr>
            <w:tcW w:w="1809" w:type="dxa"/>
          </w:tcPr>
          <w:p/>
          <w:p>
            <w:pPr>
              <w:tabs>
                <w:tab w:val="left" w:pos="1365"/>
              </w:tabs>
            </w:pPr>
            <w:r>
              <w:tab/>
            </w:r>
          </w:p>
          <w:p>
            <w:r>
              <w:br/>
            </w:r>
          </w:p>
          <w:p>
            <w:r>
              <w:t>Ute Rexroth/Silke Buda</w:t>
            </w:r>
          </w:p>
        </w:tc>
      </w:tr>
      <w:tr>
        <w:tc>
          <w:tcPr>
            <w:tcW w:w="684" w:type="dxa"/>
          </w:tcPr>
          <w:p>
            <w:r>
              <w:t>2</w:t>
            </w:r>
          </w:p>
        </w:tc>
        <w:tc>
          <w:tcPr>
            <w:tcW w:w="6408" w:type="dxa"/>
          </w:tcPr>
          <w:p>
            <w:pPr>
              <w:rPr>
                <w:b/>
                <w:color w:val="FF0000"/>
              </w:rPr>
            </w:pPr>
            <w:r>
              <w:rPr>
                <w:b/>
              </w:rPr>
              <w:t xml:space="preserve">Internationales </w:t>
            </w:r>
            <w:r>
              <w:rPr>
                <w:b/>
                <w:color w:val="FF0000"/>
              </w:rPr>
              <w:t>(nur freitags)</w:t>
            </w:r>
          </w:p>
          <w:p>
            <w:pPr>
              <w:pStyle w:val="Listenabsatz"/>
              <w:numPr>
                <w:ilvl w:val="0"/>
                <w:numId w:val="12"/>
              </w:numPr>
            </w:pPr>
            <w:r>
              <w:t>Nicht besprochen</w:t>
            </w:r>
          </w:p>
        </w:tc>
        <w:tc>
          <w:tcPr>
            <w:tcW w:w="1809" w:type="dxa"/>
          </w:tcPr>
          <w:p/>
        </w:tc>
      </w:tr>
      <w:tr>
        <w:tc>
          <w:tcPr>
            <w:tcW w:w="684" w:type="dxa"/>
          </w:tcPr>
          <w:p>
            <w:r>
              <w:t>3</w:t>
            </w:r>
          </w:p>
        </w:tc>
        <w:tc>
          <w:tcPr>
            <w:tcW w:w="6408" w:type="dxa"/>
          </w:tcPr>
          <w:p>
            <w:pPr>
              <w:rPr>
                <w:b/>
                <w:color w:val="FF0000"/>
              </w:rPr>
            </w:pPr>
            <w:r>
              <w:rPr>
                <w:b/>
              </w:rPr>
              <w:t xml:space="preserve">Update Digitale Projekte </w:t>
            </w:r>
            <w:r>
              <w:rPr>
                <w:b/>
                <w:color w:val="FF0000"/>
              </w:rPr>
              <w:t>(nur montags)</w:t>
            </w:r>
          </w:p>
          <w:p>
            <w:pPr>
              <w:rPr>
                <w:b/>
              </w:rPr>
            </w:pPr>
          </w:p>
        </w:tc>
        <w:tc>
          <w:tcPr>
            <w:tcW w:w="1809" w:type="dxa"/>
          </w:tcPr>
          <w:p>
            <w:r>
              <w:t>Schmich</w:t>
            </w:r>
          </w:p>
        </w:tc>
      </w:tr>
      <w:tr>
        <w:trPr>
          <w:trHeight w:val="319"/>
        </w:trPr>
        <w:tc>
          <w:tcPr>
            <w:tcW w:w="684" w:type="dxa"/>
          </w:tcPr>
          <w:p>
            <w:r>
              <w:t>4</w:t>
            </w:r>
          </w:p>
        </w:tc>
        <w:tc>
          <w:tcPr>
            <w:tcW w:w="6408" w:type="dxa"/>
          </w:tcPr>
          <w:p>
            <w:pPr>
              <w:rPr>
                <w:b/>
              </w:rPr>
            </w:pPr>
            <w:r>
              <w:rPr>
                <w:b/>
              </w:rPr>
              <w:t>Aktuelle Risikobewertung</w:t>
            </w:r>
          </w:p>
          <w:p>
            <w:pPr>
              <w:pStyle w:val="Listenabsatz"/>
              <w:numPr>
                <w:ilvl w:val="0"/>
                <w:numId w:val="11"/>
              </w:numPr>
            </w:pPr>
            <w:r>
              <w:t xml:space="preserve">Folien siehe </w:t>
            </w:r>
            <w:hyperlink r:id="rId8" w:history="1">
              <w:r>
                <w:rPr>
                  <w:rStyle w:val="Hyperlink"/>
                </w:rPr>
                <w:t>hier</w:t>
              </w:r>
            </w:hyperlink>
          </w:p>
          <w:p>
            <w:pPr>
              <w:pStyle w:val="Listenabsatz"/>
              <w:numPr>
                <w:ilvl w:val="0"/>
                <w:numId w:val="11"/>
              </w:numPr>
            </w:pPr>
            <w:r>
              <w:t xml:space="preserve">Qualitative bundesweite Bewertung von „hoch“ auf „sehr hoch“ gestuft, wurde bereits dem BMG vorgelegt zur Kenntnis, wird heute umgesetzt, auch der Rest des </w:t>
            </w:r>
            <w:r>
              <w:lastRenderedPageBreak/>
              <w:t>Textes ist etwas angepasst, aus „deutlichem Anstieg“ wird „starker Anstieg“ im Lagebericht</w:t>
            </w:r>
          </w:p>
          <w:p>
            <w:pPr>
              <w:pStyle w:val="Listenabsatz"/>
              <w:numPr>
                <w:ilvl w:val="0"/>
                <w:numId w:val="11"/>
              </w:numPr>
            </w:pPr>
            <w:r>
              <w:t>Insgesamt wird in Unterüberschrift deutlicher auf Neubewertung und Verschärfung der Risikobewertung hingewiesen, heute auch im Lagebericht prominentere Darstellung geplant</w:t>
            </w:r>
          </w:p>
          <w:p>
            <w:pPr>
              <w:pStyle w:val="Listenabsatz"/>
              <w:numPr>
                <w:ilvl w:val="0"/>
                <w:numId w:val="11"/>
              </w:numPr>
            </w:pPr>
            <w:commentRangeStart w:id="1"/>
            <w:r>
              <w:t xml:space="preserve">Initiativbericht </w:t>
            </w:r>
            <w:commentRangeEnd w:id="1"/>
            <w:r>
              <w:rPr>
                <w:rStyle w:val="Kommentarzeichen"/>
              </w:rPr>
              <w:commentReference w:id="1"/>
            </w:r>
            <w:r>
              <w:t xml:space="preserve">(Folien </w:t>
            </w:r>
            <w:hyperlink r:id="rId10" w:history="1">
              <w:r>
                <w:rPr>
                  <w:rStyle w:val="Hyperlink"/>
                </w:rPr>
                <w:t>hier</w:t>
              </w:r>
            </w:hyperlink>
            <w:r>
              <w:t>) mit Verschärfung der Maßnahmen wurde erneut an Länder/AGI verschickt mit dem Hinweis, dass Punkt 7 revidiert wird (Schulen sollen neuerdings schnellstmöglich geschlossen werden)</w:t>
            </w:r>
          </w:p>
          <w:p>
            <w:pPr>
              <w:pStyle w:val="Listenabsatz"/>
            </w:pPr>
            <w:r>
              <w:rPr>
                <w:i/>
              </w:rPr>
              <w:t>Diskussion:</w:t>
            </w:r>
            <w:r>
              <w:t xml:space="preserve"> </w:t>
            </w:r>
          </w:p>
          <w:p>
            <w:pPr>
              <w:pStyle w:val="Listenabsatz"/>
              <w:numPr>
                <w:ilvl w:val="0"/>
                <w:numId w:val="23"/>
              </w:numPr>
            </w:pPr>
            <w:r>
              <w:t>ausführliche Diskussion zur Rolle der Schulen ausstehend</w:t>
            </w:r>
          </w:p>
          <w:p>
            <w:pPr>
              <w:pStyle w:val="Listenabsatz"/>
              <w:numPr>
                <w:ilvl w:val="0"/>
                <w:numId w:val="23"/>
              </w:numPr>
            </w:pPr>
            <w:r>
              <w:t>aktuell eher als Vorquarantäne (indirekter Effekt) gedacht, zudem ist eine Perspektive für nach Weihnachten noch zu formulieren</w:t>
            </w:r>
          </w:p>
          <w:p>
            <w:pPr>
              <w:pStyle w:val="Listenabsatz"/>
              <w:numPr>
                <w:ilvl w:val="0"/>
                <w:numId w:val="23"/>
              </w:numPr>
            </w:pPr>
            <w:r>
              <w:t xml:space="preserve">Hygienekonzepte werden nicht umgesetzt (Stichwort Wechselunterreicht), ansonsten könnten Schulen vermutlich auch </w:t>
            </w:r>
            <w:proofErr w:type="gramStart"/>
            <w:r>
              <w:t>offen bleiben</w:t>
            </w:r>
            <w:proofErr w:type="gramEnd"/>
            <w:r>
              <w:t xml:space="preserve"> </w:t>
            </w:r>
          </w:p>
          <w:p>
            <w:pPr>
              <w:pStyle w:val="Listenabsatz"/>
              <w:numPr>
                <w:ilvl w:val="0"/>
                <w:numId w:val="23"/>
              </w:numPr>
            </w:pPr>
            <w:r>
              <w:t xml:space="preserve">in anderen Ländern konnten Zahlen im Rahmen eines harten Lockdowns bei offenen Schulen gedrückt werden </w:t>
            </w:r>
          </w:p>
          <w:p>
            <w:pPr>
              <w:pStyle w:val="Listenabsatz"/>
              <w:numPr>
                <w:ilvl w:val="0"/>
                <w:numId w:val="23"/>
              </w:numPr>
            </w:pPr>
            <w:r>
              <w:t>Rolle/Ausfall der betroffenen Eltern (die ggf. in Pflegeberufen tätig sind) wird nicht mitberücksichtigt</w:t>
            </w:r>
          </w:p>
          <w:p/>
          <w:p>
            <w:r>
              <w:rPr>
                <w:i/>
              </w:rPr>
              <w:t>Todo:</w:t>
            </w:r>
            <w:r>
              <w:t xml:space="preserve"> Walter Haas macht Ergänzungsvorschlag zum Initiativbericht, geht an Krisenstab und Leitung</w:t>
            </w:r>
          </w:p>
        </w:tc>
        <w:tc>
          <w:tcPr>
            <w:tcW w:w="1809" w:type="dxa"/>
          </w:tcPr>
          <w:p/>
          <w:p>
            <w:r>
              <w:t>Ute Rexroth/alle</w:t>
            </w:r>
          </w:p>
          <w:p/>
          <w:p/>
          <w:p/>
          <w:p/>
          <w:p/>
          <w:p/>
          <w:p/>
          <w:p/>
          <w:p/>
          <w:p/>
          <w:p>
            <w:r>
              <w:t>Im Auftrag der Leitung</w:t>
            </w:r>
          </w:p>
          <w:p/>
          <w:p/>
          <w:p>
            <w:r>
              <w:t>alle</w:t>
            </w:r>
          </w:p>
        </w:tc>
      </w:tr>
      <w:tr>
        <w:tc>
          <w:tcPr>
            <w:tcW w:w="684" w:type="dxa"/>
          </w:tcPr>
          <w:p>
            <w:r>
              <w:lastRenderedPageBreak/>
              <w:t>5</w:t>
            </w:r>
          </w:p>
        </w:tc>
        <w:tc>
          <w:tcPr>
            <w:tcW w:w="6408" w:type="dxa"/>
          </w:tcPr>
          <w:p>
            <w:pPr>
              <w:rPr>
                <w:b/>
              </w:rPr>
            </w:pPr>
            <w:r>
              <w:rPr>
                <w:b/>
              </w:rPr>
              <w:t>Kommunikation</w:t>
            </w:r>
          </w:p>
          <w:p>
            <w:pPr>
              <w:pStyle w:val="Listenabsatz"/>
              <w:numPr>
                <w:ilvl w:val="0"/>
                <w:numId w:val="5"/>
              </w:numPr>
            </w:pPr>
            <w:r>
              <w:t xml:space="preserve">Am Dienstag, 15.12. findet wahrscheinlich Bundespressekonferenz (u.a. mit J. Spahn und L. Wieler) statt, ob am Donnerstag RKI-Pressekonferenz stattfindet ist von RKI-Leitung noch nicht entschieden </w:t>
            </w:r>
          </w:p>
          <w:p>
            <w:pPr>
              <w:pStyle w:val="Listenabsatz"/>
              <w:numPr>
                <w:ilvl w:val="0"/>
                <w:numId w:val="5"/>
              </w:numPr>
            </w:pPr>
            <w:commentRangeStart w:id="2"/>
            <w:proofErr w:type="spellStart"/>
            <w:r>
              <w:t>Social</w:t>
            </w:r>
            <w:proofErr w:type="spellEnd"/>
            <w:r>
              <w:t xml:space="preserve"> </w:t>
            </w:r>
            <w:proofErr w:type="spellStart"/>
            <w:r>
              <w:t>Bubbles</w:t>
            </w:r>
            <w:commentRangeEnd w:id="2"/>
            <w:proofErr w:type="spellEnd"/>
            <w:r>
              <w:rPr>
                <w:rStyle w:val="Kommentarzeichen"/>
              </w:rPr>
              <w:commentReference w:id="2"/>
            </w:r>
            <w:r>
              <w:t xml:space="preserve">, Folien </w:t>
            </w:r>
            <w:hyperlink r:id="rId11" w:history="1">
              <w:r>
                <w:rPr>
                  <w:rStyle w:val="Hyperlink"/>
                </w:rPr>
                <w:t>hier</w:t>
              </w:r>
            </w:hyperlink>
            <w:r>
              <w:t xml:space="preserve">: Handlungsempfehlung für Bevölkerung für die Vor-/Weihnachtszeit, innerhalb der social bubble kann im besten Fall auf AHA-L verzichtet werden bei wirklich strikter Vorquarantäne (keine Schule, kein Einkaufen oder ÖPNV) und fehlenden Krankheitszeichen, außerhalb aber auf keinen Fall, einfache Faustregeln werden zeitnah kommuniziert </w:t>
            </w:r>
          </w:p>
          <w:p>
            <w:pPr>
              <w:ind w:left="720"/>
              <w:rPr>
                <w:i/>
              </w:rPr>
            </w:pPr>
            <w:r>
              <w:rPr>
                <w:i/>
              </w:rPr>
              <w:t>Diskussion:</w:t>
            </w:r>
          </w:p>
          <w:p>
            <w:pPr>
              <w:pStyle w:val="Listenabsatz"/>
              <w:numPr>
                <w:ilvl w:val="1"/>
                <w:numId w:val="27"/>
              </w:numPr>
            </w:pPr>
            <w:r>
              <w:t>Vorquarantäne muss besser definiert werden um sich von aktuellem Verhalten abzuheben</w:t>
            </w:r>
          </w:p>
          <w:p>
            <w:pPr>
              <w:pStyle w:val="Listenabsatz"/>
              <w:numPr>
                <w:ilvl w:val="1"/>
                <w:numId w:val="27"/>
              </w:numPr>
            </w:pPr>
            <w:r>
              <w:t>Lebensmittel nicht einzukaufen für einen langen Zeitraum ist nicht praktikabel aber Weihnachtsshopping kann z.B. gezielt gemieden werden</w:t>
            </w:r>
          </w:p>
          <w:p>
            <w:pPr>
              <w:pStyle w:val="Listenabsatz"/>
              <w:numPr>
                <w:ilvl w:val="1"/>
                <w:numId w:val="27"/>
              </w:numPr>
            </w:pPr>
            <w:r>
              <w:t>Social bubble muss im Vorfeld festgelegt werden, wird aktuell wahrscheinlich von Bevölkerung noch nicht umgesetzt</w:t>
            </w:r>
          </w:p>
          <w:p>
            <w:pPr>
              <w:pStyle w:val="Listenabsatz"/>
              <w:numPr>
                <w:ilvl w:val="1"/>
                <w:numId w:val="27"/>
              </w:numPr>
            </w:pPr>
            <w:r>
              <w:lastRenderedPageBreak/>
              <w:t>Besser nicht nur „Don´ts</w:t>
            </w:r>
            <w:proofErr w:type="gramStart"/>
            <w:r>
              <w:t>“</w:t>
            </w:r>
            <w:proofErr w:type="gramEnd"/>
            <w:r>
              <w:t xml:space="preserve"> sondern auch „Dos“ vorgeben</w:t>
            </w:r>
          </w:p>
          <w:p>
            <w:pPr>
              <w:pStyle w:val="Listenabsatz"/>
              <w:numPr>
                <w:ilvl w:val="1"/>
                <w:numId w:val="27"/>
              </w:numPr>
            </w:pPr>
            <w:r>
              <w:t>Ggf. Begriff „soziale Blase“ überdenken, vielleicht besser „Kontaktgruppe“ oder weniger technischer Begriff, der auch nicht auf das „soziale</w:t>
            </w:r>
            <w:proofErr w:type="gramStart"/>
            <w:r>
              <w:t>“</w:t>
            </w:r>
            <w:proofErr w:type="gramEnd"/>
            <w:r>
              <w:t xml:space="preserve"> sondern das „körperliche“ abzielt</w:t>
            </w:r>
          </w:p>
          <w:p>
            <w:pPr>
              <w:pStyle w:val="Listenabsatz"/>
              <w:numPr>
                <w:ilvl w:val="1"/>
                <w:numId w:val="27"/>
              </w:numPr>
            </w:pPr>
            <w:r>
              <w:t>Zeitplan: Kommunikation ab Montag, 14.12. gemeinsam mit BMG und über RKI-Homepage</w:t>
            </w:r>
          </w:p>
          <w:p>
            <w:pPr>
              <w:pStyle w:val="Listenabsatz"/>
            </w:pPr>
          </w:p>
          <w:p>
            <w:r>
              <w:rPr>
                <w:i/>
              </w:rPr>
              <w:t>Todo:</w:t>
            </w:r>
            <w:r>
              <w:t xml:space="preserve"> Überarbeitung am Wochenende (Fr. Jenny, Hr. Haas, Leitung)</w:t>
            </w:r>
          </w:p>
        </w:tc>
        <w:tc>
          <w:tcPr>
            <w:tcW w:w="1809" w:type="dxa"/>
          </w:tcPr>
          <w:p/>
          <w:p>
            <w:r>
              <w:t>Presse</w:t>
            </w:r>
          </w:p>
          <w:p/>
          <w:p/>
          <w:p/>
          <w:p>
            <w:r>
              <w:t>P1/Mirjam Jenny/alle</w:t>
            </w:r>
          </w:p>
        </w:tc>
      </w:tr>
      <w:tr>
        <w:tc>
          <w:tcPr>
            <w:tcW w:w="684" w:type="dxa"/>
          </w:tcPr>
          <w:p>
            <w:r>
              <w:t>6</w:t>
            </w:r>
          </w:p>
        </w:tc>
        <w:tc>
          <w:tcPr>
            <w:tcW w:w="6408" w:type="dxa"/>
          </w:tcPr>
          <w:p>
            <w:pPr>
              <w:rPr>
                <w:b/>
              </w:rPr>
            </w:pPr>
            <w:r>
              <w:rPr>
                <w:b/>
              </w:rPr>
              <w:t>Strategie Fragen</w:t>
            </w:r>
          </w:p>
          <w:p>
            <w:pPr>
              <w:pStyle w:val="Listenabsatz"/>
              <w:numPr>
                <w:ilvl w:val="0"/>
                <w:numId w:val="15"/>
              </w:numPr>
              <w:rPr>
                <w:b/>
              </w:rPr>
            </w:pPr>
            <w:r>
              <w:rPr>
                <w:b/>
              </w:rPr>
              <w:t>Allgemein</w:t>
            </w:r>
          </w:p>
          <w:p>
            <w:pPr>
              <w:pStyle w:val="Listenabsatz"/>
              <w:numPr>
                <w:ilvl w:val="0"/>
                <w:numId w:val="15"/>
              </w:numPr>
              <w:rPr>
                <w:b/>
              </w:rPr>
            </w:pPr>
            <w:r>
              <w:rPr>
                <w:b/>
              </w:rPr>
              <w:t>RKI-intern</w:t>
            </w:r>
          </w:p>
        </w:tc>
        <w:tc>
          <w:tcPr>
            <w:tcW w:w="1809" w:type="dxa"/>
          </w:tcPr>
          <w:p>
            <w:r>
              <w:t>Alle</w:t>
            </w:r>
          </w:p>
        </w:tc>
      </w:tr>
      <w:tr>
        <w:tc>
          <w:tcPr>
            <w:tcW w:w="684" w:type="dxa"/>
          </w:tcPr>
          <w:p>
            <w:r>
              <w:t>7</w:t>
            </w:r>
          </w:p>
        </w:tc>
        <w:tc>
          <w:tcPr>
            <w:tcW w:w="6408" w:type="dxa"/>
          </w:tcPr>
          <w:p>
            <w:pPr>
              <w:rPr>
                <w:b/>
              </w:rPr>
            </w:pPr>
            <w:r>
              <w:rPr>
                <w:b/>
              </w:rPr>
              <w:t>Dokumente</w:t>
            </w:r>
          </w:p>
          <w:p>
            <w:pPr>
              <w:pStyle w:val="Listenabsatz"/>
              <w:numPr>
                <w:ilvl w:val="0"/>
                <w:numId w:val="5"/>
              </w:numPr>
            </w:pPr>
            <w:r>
              <w:t>Nicht besprochen</w:t>
            </w:r>
          </w:p>
        </w:tc>
        <w:tc>
          <w:tcPr>
            <w:tcW w:w="1809" w:type="dxa"/>
          </w:tcPr>
          <w:p>
            <w:r>
              <w:t>Alle</w:t>
            </w:r>
          </w:p>
          <w:p/>
        </w:tc>
      </w:tr>
      <w:tr>
        <w:tc>
          <w:tcPr>
            <w:tcW w:w="684" w:type="dxa"/>
          </w:tcPr>
          <w:p>
            <w:r>
              <w:t>8</w:t>
            </w:r>
          </w:p>
        </w:tc>
        <w:tc>
          <w:tcPr>
            <w:tcW w:w="6408" w:type="dxa"/>
          </w:tcPr>
          <w:p>
            <w:pPr>
              <w:rPr>
                <w:b/>
                <w:color w:val="FF0000"/>
              </w:rPr>
            </w:pPr>
            <w:r>
              <w:rPr>
                <w:b/>
              </w:rPr>
              <w:t xml:space="preserve">Update Impfen </w:t>
            </w:r>
            <w:r>
              <w:rPr>
                <w:b/>
                <w:color w:val="FF0000"/>
              </w:rPr>
              <w:t>(nur freitags)</w:t>
            </w:r>
          </w:p>
          <w:p>
            <w:pPr>
              <w:pStyle w:val="Listenabsatz"/>
              <w:numPr>
                <w:ilvl w:val="0"/>
                <w:numId w:val="5"/>
              </w:numPr>
            </w:pPr>
            <w:r>
              <w:t>Nach Veröffentlichung von interner Stellungnahme bezüglich Priorisierung in BILD-Zeitung erfolgte Flutwelle von Emails an FG33 mit hoher Arbeitsbelastung</w:t>
            </w:r>
          </w:p>
          <w:p>
            <w:pPr>
              <w:pStyle w:val="Listenabsatz"/>
              <w:numPr>
                <w:ilvl w:val="0"/>
                <w:numId w:val="5"/>
              </w:numPr>
            </w:pPr>
            <w:r>
              <w:t>Impfstoff-Zulassung voraussichtlich Ende Dezember</w:t>
            </w:r>
          </w:p>
          <w:p>
            <w:pPr>
              <w:pStyle w:val="Listenabsatz"/>
              <w:numPr>
                <w:ilvl w:val="0"/>
                <w:numId w:val="5"/>
              </w:numPr>
            </w:pPr>
            <w:r>
              <w:t>Erste Auslieferung Anfang Januar, ggf. erste Impfungen ab 04.01.2021, vorausgesetzt die Impfzentren sind bereit, zur Verfügung stehende Impfmengen sind jedoch niedriger als geplant</w:t>
            </w:r>
          </w:p>
          <w:p>
            <w:pPr>
              <w:pStyle w:val="Listenabsatz"/>
              <w:numPr>
                <w:ilvl w:val="0"/>
                <w:numId w:val="5"/>
              </w:numPr>
            </w:pPr>
            <w:r>
              <w:t>Allergische Reaktionen von HCW wurden vom PEI berichtet (2-3 Fälle in UK, dies wohl Personen mit heftigsten allerg. Reaktionen in Anamnese), Personen mit allerg. Prädisposition sollen nun hintenangestellt werden (Definition Prädisposition?)</w:t>
            </w:r>
          </w:p>
          <w:p>
            <w:pPr>
              <w:pStyle w:val="Listenabsatz"/>
              <w:numPr>
                <w:ilvl w:val="0"/>
                <w:numId w:val="5"/>
              </w:numPr>
            </w:pPr>
            <w:r>
              <w:t>Kontraindikationen sind prinzipiell noch nicht festgelegt, abschließende Bewertung der allergischen Vorfälle steht ebenfalls noch aus</w:t>
            </w:r>
          </w:p>
          <w:p>
            <w:pPr>
              <w:pStyle w:val="Listenabsatz"/>
              <w:numPr>
                <w:ilvl w:val="0"/>
                <w:numId w:val="5"/>
              </w:numPr>
            </w:pPr>
            <w:r>
              <w:t>Hamburg schickt ein Team nach UK zur weiteren Aufarbeitung und wird danach informieren</w:t>
            </w:r>
          </w:p>
        </w:tc>
        <w:tc>
          <w:tcPr>
            <w:tcW w:w="1809" w:type="dxa"/>
          </w:tcPr>
          <w:p>
            <w:r>
              <w:t>FG33/Ole Wichmann</w:t>
            </w:r>
          </w:p>
          <w:p/>
          <w:p/>
          <w:p/>
          <w:p/>
          <w:p/>
          <w:p/>
          <w:p/>
          <w:p/>
          <w:p>
            <w:r>
              <w:t>alle</w:t>
            </w:r>
          </w:p>
          <w:p/>
        </w:tc>
      </w:tr>
      <w:tr>
        <w:tc>
          <w:tcPr>
            <w:tcW w:w="684" w:type="dxa"/>
          </w:tcPr>
          <w:p>
            <w:r>
              <w:t>9</w:t>
            </w:r>
          </w:p>
        </w:tc>
        <w:tc>
          <w:tcPr>
            <w:tcW w:w="6408" w:type="dxa"/>
          </w:tcPr>
          <w:p>
            <w:pPr>
              <w:rPr>
                <w:b/>
              </w:rPr>
            </w:pPr>
            <w:r>
              <w:rPr>
                <w:b/>
              </w:rPr>
              <w:t>Labordiagnostik</w:t>
            </w:r>
          </w:p>
          <w:p>
            <w:pPr>
              <w:pStyle w:val="Listenabsatz"/>
              <w:numPr>
                <w:ilvl w:val="0"/>
                <w:numId w:val="5"/>
              </w:numPr>
            </w:pPr>
            <w:r>
              <w:t>ZBS1: Leichter bundesweiter Probenrückgang, Positivenquote bei 22%</w:t>
            </w:r>
          </w:p>
          <w:p>
            <w:pPr>
              <w:pStyle w:val="Listenabsatz"/>
              <w:numPr>
                <w:ilvl w:val="0"/>
                <w:numId w:val="5"/>
              </w:numPr>
            </w:pPr>
            <w:r>
              <w:t>FG17: 564 Einsendungen, 129 Rhinoviren (25%) und 43 SARS-CoV-2 positiv (10%), Anstieg an SARS-CoV-2-Nachweisen zu vermerken</w:t>
            </w:r>
          </w:p>
        </w:tc>
        <w:tc>
          <w:tcPr>
            <w:tcW w:w="1809" w:type="dxa"/>
          </w:tcPr>
          <w:p>
            <w:r>
              <w:t>FG17/ZBS1</w:t>
            </w:r>
          </w:p>
        </w:tc>
      </w:tr>
      <w:tr>
        <w:tc>
          <w:tcPr>
            <w:tcW w:w="684" w:type="dxa"/>
          </w:tcPr>
          <w:p>
            <w:r>
              <w:t>10</w:t>
            </w:r>
          </w:p>
        </w:tc>
        <w:tc>
          <w:tcPr>
            <w:tcW w:w="6408" w:type="dxa"/>
          </w:tcPr>
          <w:p>
            <w:pPr>
              <w:rPr>
                <w:b/>
              </w:rPr>
            </w:pPr>
            <w:r>
              <w:rPr>
                <w:b/>
              </w:rPr>
              <w:t>Klinisches Management/Entlassungsmanagement</w:t>
            </w:r>
          </w:p>
          <w:p>
            <w:pPr>
              <w:pStyle w:val="Listenabsatz"/>
              <w:numPr>
                <w:ilvl w:val="0"/>
                <w:numId w:val="5"/>
              </w:numPr>
            </w:pPr>
            <w:r>
              <w:t>Hohe Auslastung der ITS-Stationen, strategische Patientenverlegung wird konzipiert, ggf. über Traumanetzwerk</w:t>
            </w:r>
          </w:p>
          <w:p>
            <w:pPr>
              <w:pStyle w:val="Listenabsatz"/>
              <w:numPr>
                <w:ilvl w:val="0"/>
                <w:numId w:val="5"/>
              </w:numPr>
            </w:pPr>
            <w:r>
              <w:t>Weitere Therapiemöglichkeiten werden überarbeitet, wenig erfolgversprechend</w:t>
            </w:r>
          </w:p>
        </w:tc>
        <w:tc>
          <w:tcPr>
            <w:tcW w:w="1809" w:type="dxa"/>
          </w:tcPr>
          <w:p>
            <w:r>
              <w:t>IBBS/C. Herzog</w:t>
            </w:r>
          </w:p>
        </w:tc>
      </w:tr>
      <w:tr>
        <w:tc>
          <w:tcPr>
            <w:tcW w:w="684" w:type="dxa"/>
          </w:tcPr>
          <w:p>
            <w:r>
              <w:t>11</w:t>
            </w:r>
          </w:p>
        </w:tc>
        <w:tc>
          <w:tcPr>
            <w:tcW w:w="6408" w:type="dxa"/>
          </w:tcPr>
          <w:p>
            <w:pPr>
              <w:rPr>
                <w:b/>
              </w:rPr>
            </w:pPr>
            <w:r>
              <w:rPr>
                <w:b/>
              </w:rPr>
              <w:t>Maßnahmen zum Infektionsschutz</w:t>
            </w:r>
          </w:p>
          <w:p>
            <w:pPr>
              <w:pStyle w:val="Listenabsatz"/>
              <w:numPr>
                <w:ilvl w:val="0"/>
                <w:numId w:val="5"/>
              </w:numPr>
            </w:pPr>
            <w:r>
              <w:t>Nicht besprochen</w:t>
            </w:r>
          </w:p>
        </w:tc>
        <w:tc>
          <w:tcPr>
            <w:tcW w:w="1809" w:type="dxa"/>
          </w:tcPr>
          <w:p>
            <w:r>
              <w:t>Alle</w:t>
            </w:r>
          </w:p>
        </w:tc>
      </w:tr>
      <w:tr>
        <w:tc>
          <w:tcPr>
            <w:tcW w:w="684" w:type="dxa"/>
          </w:tcPr>
          <w:p>
            <w:r>
              <w:lastRenderedPageBreak/>
              <w:t>12</w:t>
            </w:r>
          </w:p>
        </w:tc>
        <w:tc>
          <w:tcPr>
            <w:tcW w:w="6408" w:type="dxa"/>
          </w:tcPr>
          <w:p>
            <w:pPr>
              <w:rPr>
                <w:b/>
              </w:rPr>
            </w:pPr>
            <w:r>
              <w:rPr>
                <w:b/>
              </w:rPr>
              <w:t>Surveillance</w:t>
            </w:r>
          </w:p>
          <w:p>
            <w:pPr>
              <w:pStyle w:val="Listenabsatz"/>
              <w:numPr>
                <w:ilvl w:val="0"/>
                <w:numId w:val="5"/>
              </w:numPr>
            </w:pPr>
            <w:r>
              <w:t xml:space="preserve">Corona-KiTa-Studie </w:t>
            </w:r>
            <w:r>
              <w:rPr>
                <w:b/>
                <w:color w:val="FF0000"/>
              </w:rPr>
              <w:t>(nur montags)</w:t>
            </w:r>
          </w:p>
          <w:p>
            <w:pPr>
              <w:pStyle w:val="Listenabsatz"/>
              <w:numPr>
                <w:ilvl w:val="0"/>
                <w:numId w:val="5"/>
              </w:numPr>
            </w:pPr>
            <w:r>
              <w:t>Schulleitungen sind bei positivem Ag-Nachweis nicht für meldepflichtig befunden worden aber Diskussion läuft noch</w:t>
            </w:r>
          </w:p>
        </w:tc>
        <w:tc>
          <w:tcPr>
            <w:tcW w:w="1809" w:type="dxa"/>
          </w:tcPr>
          <w:p>
            <w:r>
              <w:t>FG38</w:t>
            </w:r>
            <w:r>
              <w:br/>
              <w:t>FG36</w:t>
            </w:r>
          </w:p>
        </w:tc>
      </w:tr>
      <w:tr>
        <w:tc>
          <w:tcPr>
            <w:tcW w:w="684" w:type="dxa"/>
          </w:tcPr>
          <w:p>
            <w:r>
              <w:t>13</w:t>
            </w:r>
          </w:p>
        </w:tc>
        <w:tc>
          <w:tcPr>
            <w:tcW w:w="6408" w:type="dxa"/>
          </w:tcPr>
          <w:p>
            <w:pPr>
              <w:rPr>
                <w:b/>
              </w:rPr>
            </w:pPr>
            <w:r>
              <w:rPr>
                <w:b/>
              </w:rPr>
              <w:t xml:space="preserve">Transport und Grenzübergangsstellen </w:t>
            </w:r>
            <w:r>
              <w:rPr>
                <w:b/>
                <w:color w:val="FF0000"/>
              </w:rPr>
              <w:t>(nur freitags)</w:t>
            </w:r>
          </w:p>
          <w:p>
            <w:pPr>
              <w:pStyle w:val="Listenabsatz"/>
              <w:numPr>
                <w:ilvl w:val="0"/>
                <w:numId w:val="5"/>
              </w:numPr>
            </w:pPr>
            <w:r>
              <w:t>Digitalisierung für EU-Passagierdaten geplant, Deutschland nimmt ggf. an Pilotierung teil, Entscheidung vom BMG diesbezüglich ausstehend</w:t>
            </w:r>
          </w:p>
          <w:p>
            <w:pPr>
              <w:pStyle w:val="Listenabsatz"/>
              <w:numPr>
                <w:ilvl w:val="0"/>
                <w:numId w:val="5"/>
              </w:numPr>
            </w:pPr>
            <w:r>
              <w:t>300 Gesundheitsämter sind in DEA (Digitale Einreiseanmeldung) eingeschlossen</w:t>
            </w:r>
          </w:p>
        </w:tc>
        <w:tc>
          <w:tcPr>
            <w:tcW w:w="1809" w:type="dxa"/>
          </w:tcPr>
          <w:p>
            <w:r>
              <w:t>FG38</w:t>
            </w:r>
          </w:p>
        </w:tc>
      </w:tr>
      <w:tr>
        <w:tc>
          <w:tcPr>
            <w:tcW w:w="684" w:type="dxa"/>
          </w:tcPr>
          <w:p>
            <w:r>
              <w:t>14</w:t>
            </w:r>
          </w:p>
        </w:tc>
        <w:tc>
          <w:tcPr>
            <w:tcW w:w="6408" w:type="dxa"/>
          </w:tcPr>
          <w:p>
            <w:pPr>
              <w:rPr>
                <w:b/>
              </w:rPr>
            </w:pPr>
            <w:r>
              <w:rPr>
                <w:b/>
              </w:rPr>
              <w:t xml:space="preserve">Information aus dem Lagezentrum </w:t>
            </w:r>
            <w:r>
              <w:rPr>
                <w:b/>
                <w:color w:val="FF0000"/>
              </w:rPr>
              <w:t>(nur freitags)</w:t>
            </w:r>
          </w:p>
          <w:p>
            <w:pPr>
              <w:pStyle w:val="Listenabsatz"/>
              <w:numPr>
                <w:ilvl w:val="0"/>
                <w:numId w:val="5"/>
              </w:numPr>
            </w:pPr>
            <w:r>
              <w:t xml:space="preserve">Nichts </w:t>
            </w:r>
            <w:proofErr w:type="gramStart"/>
            <w:r>
              <w:t>besonderes</w:t>
            </w:r>
            <w:proofErr w:type="gramEnd"/>
          </w:p>
        </w:tc>
        <w:tc>
          <w:tcPr>
            <w:tcW w:w="1809" w:type="dxa"/>
          </w:tcPr>
          <w:p>
            <w:r>
              <w:t>FG38</w:t>
            </w:r>
          </w:p>
        </w:tc>
      </w:tr>
      <w:tr>
        <w:tc>
          <w:tcPr>
            <w:tcW w:w="684" w:type="dxa"/>
          </w:tcPr>
          <w:p>
            <w:r>
              <w:t>15</w:t>
            </w:r>
          </w:p>
        </w:tc>
        <w:tc>
          <w:tcPr>
            <w:tcW w:w="6408" w:type="dxa"/>
          </w:tcPr>
          <w:p>
            <w:pPr>
              <w:rPr>
                <w:b/>
              </w:rPr>
            </w:pPr>
            <w:r>
              <w:rPr>
                <w:b/>
              </w:rPr>
              <w:t>Wichtige Termine</w:t>
            </w:r>
          </w:p>
          <w:p>
            <w:pPr>
              <w:rPr>
                <w:b/>
              </w:rPr>
            </w:pPr>
          </w:p>
        </w:tc>
        <w:tc>
          <w:tcPr>
            <w:tcW w:w="1809" w:type="dxa"/>
          </w:tcPr>
          <w:p>
            <w:r>
              <w:t>Alle</w:t>
            </w:r>
          </w:p>
        </w:tc>
      </w:tr>
      <w:tr>
        <w:tc>
          <w:tcPr>
            <w:tcW w:w="684" w:type="dxa"/>
          </w:tcPr>
          <w:p>
            <w:r>
              <w:t>16</w:t>
            </w:r>
          </w:p>
        </w:tc>
        <w:tc>
          <w:tcPr>
            <w:tcW w:w="6408" w:type="dxa"/>
          </w:tcPr>
          <w:p>
            <w:pPr>
              <w:rPr>
                <w:b/>
              </w:rPr>
            </w:pPr>
            <w:r>
              <w:rPr>
                <w:b/>
              </w:rPr>
              <w:t>Andere Themen</w:t>
            </w:r>
          </w:p>
          <w:p>
            <w:pPr>
              <w:pStyle w:val="Listenabsatz"/>
              <w:numPr>
                <w:ilvl w:val="0"/>
                <w:numId w:val="5"/>
              </w:numPr>
            </w:pPr>
            <w:r>
              <w:t>Wie bereitet sich RKI auf Lockdown mit Konsequenzen für Mitarbeiter vor?</w:t>
            </w:r>
          </w:p>
          <w:p>
            <w:pPr>
              <w:pStyle w:val="Listenabsatz"/>
            </w:pPr>
          </w:p>
          <w:p>
            <w:r>
              <w:rPr>
                <w:i/>
              </w:rPr>
              <w:t>Todo</w:t>
            </w:r>
            <w:r>
              <w:t>: Konzept für RKI-Mitarbeiter für Lockdown (Leitung)</w:t>
            </w:r>
          </w:p>
          <w:p>
            <w:pPr>
              <w:rPr>
                <w:b/>
              </w:rPr>
            </w:pPr>
          </w:p>
          <w:p>
            <w:pPr>
              <w:pStyle w:val="Listenabsatz"/>
              <w:numPr>
                <w:ilvl w:val="0"/>
                <w:numId w:val="5"/>
              </w:numPr>
              <w:rPr>
                <w:b/>
              </w:rPr>
            </w:pPr>
            <w:r>
              <w:t>Nächste Sitzung: Montag 14.12.2020, 13:00 Uhr</w:t>
            </w:r>
          </w:p>
          <w:p>
            <w:pPr>
              <w:pStyle w:val="Listenabsatz"/>
              <w:rPr>
                <w:b/>
              </w:rPr>
            </w:pPr>
          </w:p>
        </w:tc>
        <w:tc>
          <w:tcPr>
            <w:tcW w:w="1809" w:type="dxa"/>
          </w:tcPr>
          <w:p/>
        </w:tc>
      </w:tr>
    </w:tbl>
    <w:p>
      <w:pPr>
        <w:spacing w:after="240" w:line="360" w:lineRule="auto"/>
      </w:pPr>
    </w:p>
    <w:sectPr>
      <w:headerReference w:type="default" r:id="rId12"/>
      <w:footerReference w:type="even" r:id="rId13"/>
      <w:footerReference w:type="default" r:id="rId14"/>
      <w:pgSz w:w="11900" w:h="16840"/>
      <w:pgMar w:top="851" w:right="1797" w:bottom="964" w:left="1418"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hfeld, Ann-Sophie" w:date="2020-12-11T14:33:00Z" w:initials="ASL">
    <w:p>
      <w:pPr>
        <w:pStyle w:val="Kommentartext"/>
      </w:pPr>
      <w:r>
        <w:rPr>
          <w:rStyle w:val="Kommentarzeichen"/>
        </w:rPr>
        <w:annotationRef/>
      </w:r>
      <w:r>
        <w:t>ID 2367</w:t>
      </w:r>
    </w:p>
  </w:comment>
  <w:comment w:id="2" w:author="Lehfeld, Ann-Sophie" w:date="2020-12-11T14:33:00Z" w:initials="ASL">
    <w:p>
      <w:pPr>
        <w:pStyle w:val="Kommentartext"/>
      </w:pPr>
      <w:r>
        <w:rPr>
          <w:rStyle w:val="Kommentarzeichen"/>
        </w:rPr>
        <w:annotationRef/>
      </w:r>
      <w:r>
        <w:t xml:space="preserve"> ID 2359</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color w:val="1F497D" w:themeColor="text2"/>
      </w:rPr>
      <w:tab/>
    </w: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E71C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B51EBF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D26218"/>
    <w:multiLevelType w:val="hybridMultilevel"/>
    <w:tmpl w:val="FB6017E6"/>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07BD7"/>
    <w:multiLevelType w:val="hybridMultilevel"/>
    <w:tmpl w:val="925C5E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3">
      <w:start w:val="1"/>
      <w:numFmt w:val="bullet"/>
      <w:lvlText w:val="o"/>
      <w:lvlJc w:val="left"/>
      <w:pPr>
        <w:ind w:left="1800" w:hanging="360"/>
      </w:pPr>
      <w:rPr>
        <w:rFonts w:ascii="Courier New" w:hAnsi="Courier New" w:cs="Courier New"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397807"/>
    <w:multiLevelType w:val="hybridMultilevel"/>
    <w:tmpl w:val="13DE7F2E"/>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E55E17"/>
    <w:multiLevelType w:val="hybridMultilevel"/>
    <w:tmpl w:val="D1DED270"/>
    <w:lvl w:ilvl="0" w:tplc="04070003">
      <w:start w:val="1"/>
      <w:numFmt w:val="bullet"/>
      <w:lvlText w:val="o"/>
      <w:lvlJc w:val="left"/>
      <w:pPr>
        <w:ind w:left="813" w:hanging="360"/>
      </w:pPr>
      <w:rPr>
        <w:rFonts w:ascii="Courier New" w:hAnsi="Courier New" w:cs="Courier New" w:hint="default"/>
      </w:rPr>
    </w:lvl>
    <w:lvl w:ilvl="1" w:tplc="04070003">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240B22"/>
    <w:multiLevelType w:val="hybridMultilevel"/>
    <w:tmpl w:val="DB8AC60E"/>
    <w:lvl w:ilvl="0" w:tplc="04070001">
      <w:start w:val="1"/>
      <w:numFmt w:val="bullet"/>
      <w:lvlText w:val=""/>
      <w:lvlJc w:val="left"/>
      <w:pPr>
        <w:ind w:left="1080" w:hanging="360"/>
      </w:pPr>
      <w:rPr>
        <w:rFonts w:ascii="Symbol" w:hAnsi="Symbol" w:hint="default"/>
        <w:color w:val="auto"/>
      </w:rPr>
    </w:lvl>
    <w:lvl w:ilvl="1" w:tplc="9FB46534">
      <w:start w:val="1"/>
      <w:numFmt w:val="bullet"/>
      <w:lvlText w:val="o"/>
      <w:lvlJc w:val="left"/>
      <w:pPr>
        <w:ind w:left="1800" w:hanging="360"/>
      </w:pPr>
      <w:rPr>
        <w:rFonts w:ascii="Courier New" w:hAnsi="Courier New" w:cs="Courier New" w:hint="default"/>
        <w:color w:val="auto"/>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3" w15:restartNumberingAfterBreak="0">
    <w:nsid w:val="45F21567"/>
    <w:multiLevelType w:val="hybridMultilevel"/>
    <w:tmpl w:val="BE5092D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0C26D5"/>
    <w:multiLevelType w:val="hybridMultilevel"/>
    <w:tmpl w:val="E8E406AA"/>
    <w:lvl w:ilvl="0" w:tplc="04070003">
      <w:start w:val="1"/>
      <w:numFmt w:val="bullet"/>
      <w:lvlText w:val="o"/>
      <w:lvlJc w:val="left"/>
      <w:pPr>
        <w:ind w:left="813" w:hanging="360"/>
      </w:pPr>
      <w:rPr>
        <w:rFonts w:ascii="Courier New" w:hAnsi="Courier New" w:cs="Courier New"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17"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C14BC3"/>
    <w:multiLevelType w:val="hybridMultilevel"/>
    <w:tmpl w:val="9DF41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2A190E"/>
    <w:multiLevelType w:val="hybridMultilevel"/>
    <w:tmpl w:val="A4CCCD3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25"/>
  </w:num>
  <w:num w:numId="3">
    <w:abstractNumId w:val="24"/>
  </w:num>
  <w:num w:numId="4">
    <w:abstractNumId w:val="11"/>
  </w:num>
  <w:num w:numId="5">
    <w:abstractNumId w:val="13"/>
  </w:num>
  <w:num w:numId="6">
    <w:abstractNumId w:val="5"/>
  </w:num>
  <w:num w:numId="7">
    <w:abstractNumId w:val="18"/>
  </w:num>
  <w:num w:numId="8">
    <w:abstractNumId w:val="10"/>
  </w:num>
  <w:num w:numId="9">
    <w:abstractNumId w:val="17"/>
  </w:num>
  <w:num w:numId="10">
    <w:abstractNumId w:val="19"/>
  </w:num>
  <w:num w:numId="11">
    <w:abstractNumId w:val="26"/>
  </w:num>
  <w:num w:numId="12">
    <w:abstractNumId w:val="22"/>
  </w:num>
  <w:num w:numId="13">
    <w:abstractNumId w:val="6"/>
  </w:num>
  <w:num w:numId="14">
    <w:abstractNumId w:val="20"/>
  </w:num>
  <w:num w:numId="15">
    <w:abstractNumId w:val="8"/>
  </w:num>
  <w:num w:numId="16">
    <w:abstractNumId w:val="14"/>
  </w:num>
  <w:num w:numId="17">
    <w:abstractNumId w:val="1"/>
  </w:num>
  <w:num w:numId="18">
    <w:abstractNumId w:val="0"/>
  </w:num>
  <w:num w:numId="19">
    <w:abstractNumId w:val="15"/>
  </w:num>
  <w:num w:numId="20">
    <w:abstractNumId w:val="7"/>
  </w:num>
  <w:num w:numId="21">
    <w:abstractNumId w:val="12"/>
  </w:num>
  <w:num w:numId="22">
    <w:abstractNumId w:val="21"/>
  </w:num>
  <w:num w:numId="23">
    <w:abstractNumId w:val="23"/>
  </w:num>
  <w:num w:numId="24">
    <w:abstractNumId w:val="16"/>
  </w:num>
  <w:num w:numId="25">
    <w:abstractNumId w:val="9"/>
  </w:num>
  <w:num w:numId="26">
    <w:abstractNumId w:val="2"/>
  </w:num>
  <w:num w:numId="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hfeld, Ann-Sophie">
    <w15:presenceInfo w15:providerId="None" w15:userId="Lehfeld, Ann-Soph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8FB24-A8A5-4E66-95EA-71EF59CA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400636783">
      <w:bodyDiv w:val="1"/>
      <w:marLeft w:val="0"/>
      <w:marRight w:val="0"/>
      <w:marTop w:val="0"/>
      <w:marBottom w:val="0"/>
      <w:divBdr>
        <w:top w:val="none" w:sz="0" w:space="0" w:color="auto"/>
        <w:left w:val="none" w:sz="0" w:space="0" w:color="auto"/>
        <w:bottom w:val="none" w:sz="0" w:space="0" w:color="auto"/>
        <w:right w:val="none" w:sz="0" w:space="0" w:color="auto"/>
      </w:divBdr>
    </w:div>
    <w:div w:id="447698886">
      <w:bodyDiv w:val="1"/>
      <w:marLeft w:val="0"/>
      <w:marRight w:val="0"/>
      <w:marTop w:val="0"/>
      <w:marBottom w:val="0"/>
      <w:divBdr>
        <w:top w:val="none" w:sz="0" w:space="0" w:color="auto"/>
        <w:left w:val="none" w:sz="0" w:space="0" w:color="auto"/>
        <w:bottom w:val="none" w:sz="0" w:space="0" w:color="auto"/>
        <w:right w:val="none" w:sz="0" w:space="0" w:color="auto"/>
      </w:divBdr>
    </w:div>
    <w:div w:id="1167474616">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934315605">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Aktualisierung_Risikobewertung_2020-12-11_KS-clean.doc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age-National_2020_12_11.pptx" TargetMode="Externa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D-2347_Social%20Bubbles_11122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2020-12-06_Aufgabe_ID%202346_Initiativbericht%20(2).docx"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FB0C666C5B410EB08D86A001776D4F"/>
        <w:category>
          <w:name w:val="Allgemein"/>
          <w:gallery w:val="placeholder"/>
        </w:category>
        <w:types>
          <w:type w:val="bbPlcHdr"/>
        </w:types>
        <w:behaviors>
          <w:behavior w:val="content"/>
        </w:behaviors>
        <w:guid w:val="{D145C8D8-84AF-4C3C-A773-26EFEC5C83D4}"/>
      </w:docPartPr>
      <w:docPartBody>
        <w:p>
          <w:pPr>
            <w:pStyle w:val="FEFB0C666C5B410EB08D86A001776D4F"/>
          </w:pPr>
          <w:r>
            <w:rPr>
              <w:rStyle w:val="Platzhaltertext"/>
            </w:rPr>
            <w:t>Klicken Sie hier, um Text einzugeben.</w:t>
          </w:r>
        </w:p>
      </w:docPartBody>
    </w:docPart>
    <w:docPart>
      <w:docPartPr>
        <w:name w:val="B7C498C2CAEF44BCBAEAA7AAEF36A80B"/>
        <w:category>
          <w:name w:val="Allgemein"/>
          <w:gallery w:val="placeholder"/>
        </w:category>
        <w:types>
          <w:type w:val="bbPlcHdr"/>
        </w:types>
        <w:behaviors>
          <w:behavior w:val="content"/>
        </w:behaviors>
        <w:guid w:val="{3AF7E637-5614-4018-AD6B-8C9029D25EEA}"/>
      </w:docPartPr>
      <w:docPartBody>
        <w:p>
          <w:pPr>
            <w:pStyle w:val="B7C498C2CAEF44BCBAEAA7AAEF36A80B"/>
          </w:pPr>
          <w:r>
            <w:rPr>
              <w:rStyle w:val="Platzhaltertext"/>
            </w:rPr>
            <w:t>Klicken Sie hier, um Text einzugeben.</w:t>
          </w:r>
        </w:p>
      </w:docPartBody>
    </w:docPart>
    <w:docPart>
      <w:docPartPr>
        <w:name w:val="D712AF289A574C42AD07CFC8EAF53E55"/>
        <w:category>
          <w:name w:val="Allgemein"/>
          <w:gallery w:val="placeholder"/>
        </w:category>
        <w:types>
          <w:type w:val="bbPlcHdr"/>
        </w:types>
        <w:behaviors>
          <w:behavior w:val="content"/>
        </w:behaviors>
        <w:guid w:val="{B4C584E6-12E9-41E6-A679-B572B781285A}"/>
      </w:docPartPr>
      <w:docPartBody>
        <w:p>
          <w:pPr>
            <w:pStyle w:val="D712AF289A574C42AD07CFC8EAF53E55"/>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EFB0C666C5B410EB08D86A001776D4F">
    <w:name w:val="FEFB0C666C5B410EB08D86A001776D4F"/>
    <w:pPr>
      <w:spacing w:after="160" w:line="259" w:lineRule="auto"/>
    </w:pPr>
  </w:style>
  <w:style w:type="paragraph" w:customStyle="1" w:styleId="B7C498C2CAEF44BCBAEAA7AAEF36A80B">
    <w:name w:val="B7C498C2CAEF44BCBAEAA7AAEF36A80B"/>
    <w:pPr>
      <w:spacing w:after="160" w:line="259" w:lineRule="auto"/>
    </w:pPr>
  </w:style>
  <w:style w:type="paragraph" w:customStyle="1" w:styleId="D712AF289A574C42AD07CFC8EAF53E55">
    <w:name w:val="D712AF289A574C42AD07CFC8EAF53E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6439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cp:revision>
  <cp:lastPrinted>2020-03-13T12:00:00Z</cp:lastPrinted>
  <dcterms:created xsi:type="dcterms:W3CDTF">2020-12-11T09:04:00Z</dcterms:created>
  <dcterms:modified xsi:type="dcterms:W3CDTF">2021-05-10T14:34:00Z</dcterms:modified>
</cp:coreProperties>
</file>