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keepNext/>
        <w:keepLines/>
        <w:spacing w:before="480" w:after="0"/>
        <w:outlineLvl w:val="0"/>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rPr>
      </w:pPr>
      <w:r>
        <w:rPr>
          <w:b/>
          <w:i/>
        </w:rPr>
        <w:t>Anlass:</w:t>
      </w:r>
      <w:r>
        <w:rPr>
          <w:i/>
        </w:rPr>
        <w:t xml:space="preserve"> </w:t>
      </w:r>
      <w:r>
        <w:rPr>
          <w:i/>
        </w:rPr>
        <w:tab/>
      </w:r>
      <w:r>
        <w:rPr>
          <w:i/>
        </w:rPr>
        <w:tab/>
      </w:r>
      <w:sdt>
        <w:sdtPr>
          <w:rPr>
            <w:i/>
          </w:rPr>
          <w:id w:val="-1069258484"/>
          <w:placeholder>
            <w:docPart w:val="FEFB0C666C5B410EB08D86A001776D4F"/>
          </w:placeholder>
        </w:sdtPr>
        <w:sdtContent>
          <w:sdt>
            <w:sdtPr>
              <w:rPr>
                <w:i/>
              </w:rPr>
              <w:id w:val="334350100"/>
              <w:placeholder>
                <w:docPart w:val="B7C498C2CAEF44BCBAEAA7AAEF36A80B"/>
              </w:placeholder>
            </w:sdtPr>
            <w:sdtContent>
              <w: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rPr>
      </w:pPr>
      <w:r>
        <w:rPr>
          <w:b/>
          <w:i/>
        </w:rPr>
        <w:t>Datum:</w:t>
      </w:r>
      <w:r>
        <w:rPr>
          <w:i/>
        </w:rPr>
        <w:t xml:space="preserve"> </w:t>
      </w:r>
      <w:r>
        <w:rPr>
          <w:i/>
        </w:rPr>
        <w:tab/>
      </w:r>
      <w:r>
        <w:rPr>
          <w:i/>
        </w:rPr>
        <w:tab/>
      </w:r>
      <w:sdt>
        <w:sdtPr>
          <w:rPr>
            <w:i/>
          </w:rPr>
          <w:id w:val="1092433924"/>
          <w:placeholder>
            <w:docPart w:val="FEFB0C666C5B410EB08D86A001776D4F"/>
          </w:placeholder>
        </w:sdtPr>
        <w:sdtContent>
          <w:r>
            <w:rPr>
              <w:i/>
            </w:rPr>
            <w:t>14.12.2020,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pPr>
      <w:r>
        <w:rPr>
          <w:b/>
          <w:i/>
        </w:rPr>
        <w:t>Sitzungsort:</w:t>
      </w:r>
      <w:r>
        <w:rPr>
          <w:b/>
          <w:i/>
        </w:rPr>
        <w:tab/>
      </w:r>
      <w:r>
        <w:rPr>
          <w:b/>
          <w:i/>
        </w:rPr>
        <w:tab/>
      </w:r>
      <w:sdt>
        <w:sdtPr>
          <w:id w:val="1344203332"/>
          <w:placeholder>
            <w:docPart w:val="D712AF289A574C42AD07CFC8EAF53E55"/>
          </w:placeholder>
        </w:sdtPr>
        <w:sdtContent>
          <w:r>
            <w:t>Webexkonferenz</w:t>
          </w:r>
        </w:sdtContent>
      </w:sdt>
    </w:p>
    <w:p>
      <w:pPr>
        <w:rPr>
          <w:b/>
        </w:rPr>
      </w:pPr>
      <w:r>
        <w:rPr>
          <w:b/>
        </w:rPr>
        <w:t xml:space="preserve">Moderation: </w:t>
      </w:r>
      <w:r>
        <w:t>Lars Schaade</w:t>
      </w:r>
    </w:p>
    <w:p>
      <w:pPr>
        <w:spacing w:after="0"/>
        <w:rPr>
          <w:b/>
        </w:rPr>
      </w:pPr>
      <w:r>
        <w:rPr>
          <w:b/>
        </w:rPr>
        <w:t xml:space="preserve">Teilnehmende: </w:t>
      </w:r>
    </w:p>
    <w:p>
      <w:pPr>
        <w:pStyle w:val="Listenabsatz"/>
        <w:numPr>
          <w:ilvl w:val="0"/>
          <w:numId w:val="18"/>
        </w:numPr>
        <w:spacing w:after="0"/>
        <w:contextualSpacing w:val="0"/>
        <w:rPr>
          <w:sz w:val="20"/>
          <w:szCs w:val="20"/>
        </w:rPr>
        <w:sectPr>
          <w:headerReference w:type="even" r:id="rId8"/>
          <w:headerReference w:type="default" r:id="rId9"/>
          <w:footerReference w:type="even" r:id="rId10"/>
          <w:footerReference w:type="default" r:id="rId11"/>
          <w:headerReference w:type="first" r:id="rId12"/>
          <w:footerReference w:type="first" r:id="rId13"/>
          <w:pgSz w:w="11900" w:h="16840"/>
          <w:pgMar w:top="851" w:right="1797" w:bottom="964" w:left="1418" w:header="709" w:footer="709" w:gutter="0"/>
          <w:cols w:space="708"/>
        </w:sectPr>
      </w:pPr>
    </w:p>
    <w:p>
      <w:pPr>
        <w:pStyle w:val="Listenabsatz"/>
        <w:numPr>
          <w:ilvl w:val="0"/>
          <w:numId w:val="18"/>
        </w:numPr>
        <w:spacing w:after="0"/>
        <w:contextualSpacing w:val="0"/>
        <w:rPr>
          <w:sz w:val="20"/>
          <w:szCs w:val="20"/>
        </w:rPr>
      </w:pPr>
      <w:r>
        <w:rPr>
          <w:sz w:val="20"/>
          <w:szCs w:val="20"/>
        </w:rPr>
        <w:t>Institutsleitung</w:t>
      </w:r>
    </w:p>
    <w:p>
      <w:pPr>
        <w:pStyle w:val="Listenabsatz"/>
        <w:numPr>
          <w:ilvl w:val="1"/>
          <w:numId w:val="18"/>
        </w:numPr>
        <w:spacing w:after="0"/>
        <w:contextualSpacing w:val="0"/>
        <w:rPr>
          <w:sz w:val="20"/>
          <w:szCs w:val="20"/>
        </w:rPr>
      </w:pPr>
      <w:r>
        <w:rPr>
          <w:sz w:val="20"/>
          <w:szCs w:val="20"/>
        </w:rPr>
        <w:t>Lothar Wieler</w:t>
      </w:r>
    </w:p>
    <w:p>
      <w:pPr>
        <w:pStyle w:val="Listenabsatz"/>
        <w:numPr>
          <w:ilvl w:val="1"/>
          <w:numId w:val="18"/>
        </w:numPr>
        <w:spacing w:after="0"/>
        <w:contextualSpacing w:val="0"/>
        <w:rPr>
          <w:sz w:val="20"/>
          <w:szCs w:val="20"/>
        </w:rPr>
      </w:pPr>
      <w:r>
        <w:rPr>
          <w:sz w:val="20"/>
          <w:szCs w:val="20"/>
        </w:rPr>
        <w:t>Lars Schaade</w:t>
      </w:r>
    </w:p>
    <w:p>
      <w:pPr>
        <w:pStyle w:val="Listenabsatz"/>
        <w:numPr>
          <w:ilvl w:val="0"/>
          <w:numId w:val="18"/>
        </w:numPr>
        <w:spacing w:after="0"/>
        <w:contextualSpacing w:val="0"/>
        <w:rPr>
          <w:sz w:val="20"/>
          <w:szCs w:val="20"/>
        </w:rPr>
      </w:pPr>
      <w:r>
        <w:rPr>
          <w:sz w:val="20"/>
          <w:szCs w:val="20"/>
        </w:rPr>
        <w:t>Abt. 1</w:t>
      </w:r>
    </w:p>
    <w:p>
      <w:pPr>
        <w:pStyle w:val="Listenabsatz"/>
        <w:numPr>
          <w:ilvl w:val="1"/>
          <w:numId w:val="18"/>
        </w:numPr>
        <w:spacing w:after="0"/>
        <w:contextualSpacing w:val="0"/>
        <w:rPr>
          <w:sz w:val="20"/>
          <w:szCs w:val="20"/>
        </w:rPr>
      </w:pPr>
      <w:r>
        <w:rPr>
          <w:sz w:val="20"/>
          <w:szCs w:val="20"/>
        </w:rPr>
        <w:t>Martin Mielke</w:t>
      </w:r>
    </w:p>
    <w:p>
      <w:pPr>
        <w:pStyle w:val="Listenabsatz"/>
        <w:numPr>
          <w:ilvl w:val="0"/>
          <w:numId w:val="17"/>
        </w:numPr>
        <w:spacing w:after="0"/>
        <w:ind w:hanging="357"/>
        <w:contextualSpacing w:val="0"/>
        <w:rPr>
          <w:sz w:val="20"/>
          <w:szCs w:val="20"/>
        </w:rPr>
      </w:pPr>
      <w:r>
        <w:rPr>
          <w:sz w:val="20"/>
          <w:szCs w:val="20"/>
        </w:rPr>
        <w:t>Abt. 3</w:t>
      </w:r>
    </w:p>
    <w:p>
      <w:pPr>
        <w:pStyle w:val="Listenabsatz"/>
        <w:numPr>
          <w:ilvl w:val="1"/>
          <w:numId w:val="17"/>
        </w:numPr>
        <w:spacing w:after="0"/>
        <w:contextualSpacing w:val="0"/>
        <w:rPr>
          <w:sz w:val="20"/>
          <w:szCs w:val="20"/>
        </w:rPr>
      </w:pPr>
      <w:r>
        <w:rPr>
          <w:sz w:val="20"/>
          <w:szCs w:val="20"/>
        </w:rPr>
        <w:t>Osamah Hamouda</w:t>
      </w:r>
    </w:p>
    <w:p>
      <w:pPr>
        <w:numPr>
          <w:ilvl w:val="1"/>
          <w:numId w:val="17"/>
        </w:numPr>
        <w:spacing w:after="0"/>
        <w:rPr>
          <w:sz w:val="20"/>
          <w:szCs w:val="20"/>
        </w:rPr>
      </w:pPr>
      <w:r>
        <w:rPr>
          <w:sz w:val="20"/>
          <w:szCs w:val="20"/>
        </w:rPr>
        <w:t>Tanja Jung-</w:t>
      </w:r>
      <w:proofErr w:type="spellStart"/>
      <w:r>
        <w:rPr>
          <w:sz w:val="20"/>
          <w:szCs w:val="20"/>
        </w:rPr>
        <w:t>Sendzikt</w:t>
      </w:r>
      <w:proofErr w:type="spellEnd"/>
    </w:p>
    <w:p>
      <w:pPr>
        <w:pStyle w:val="Listenabsatz"/>
        <w:numPr>
          <w:ilvl w:val="0"/>
          <w:numId w:val="17"/>
        </w:numPr>
        <w:spacing w:after="0"/>
        <w:ind w:hanging="357"/>
        <w:contextualSpacing w:val="0"/>
        <w:rPr>
          <w:sz w:val="20"/>
          <w:szCs w:val="20"/>
        </w:rPr>
      </w:pPr>
      <w:r>
        <w:rPr>
          <w:sz w:val="20"/>
          <w:szCs w:val="20"/>
        </w:rPr>
        <w:t>ZIG</w:t>
      </w:r>
    </w:p>
    <w:p>
      <w:pPr>
        <w:pStyle w:val="Listenabsatz"/>
        <w:numPr>
          <w:ilvl w:val="1"/>
          <w:numId w:val="17"/>
        </w:numPr>
        <w:spacing w:after="0"/>
        <w:contextualSpacing w:val="0"/>
        <w:rPr>
          <w:sz w:val="20"/>
          <w:szCs w:val="20"/>
        </w:rPr>
      </w:pPr>
      <w:r>
        <w:rPr>
          <w:sz w:val="20"/>
          <w:szCs w:val="20"/>
        </w:rPr>
        <w:t>Johanna Hanefeld</w:t>
      </w:r>
    </w:p>
    <w:p>
      <w:pPr>
        <w:numPr>
          <w:ilvl w:val="0"/>
          <w:numId w:val="18"/>
        </w:numPr>
        <w:spacing w:after="0"/>
        <w:rPr>
          <w:sz w:val="20"/>
          <w:szCs w:val="20"/>
        </w:rPr>
      </w:pPr>
      <w:r>
        <w:rPr>
          <w:sz w:val="20"/>
          <w:szCs w:val="20"/>
        </w:rPr>
        <w:t>L1</w:t>
      </w:r>
    </w:p>
    <w:p>
      <w:pPr>
        <w:numPr>
          <w:ilvl w:val="1"/>
          <w:numId w:val="18"/>
        </w:numPr>
        <w:spacing w:after="0"/>
        <w:rPr>
          <w:sz w:val="20"/>
          <w:szCs w:val="20"/>
        </w:rPr>
      </w:pPr>
      <w:r>
        <w:rPr>
          <w:sz w:val="20"/>
          <w:szCs w:val="20"/>
        </w:rPr>
        <w:t>Joachim-Martin Mehlitz</w:t>
      </w:r>
    </w:p>
    <w:p>
      <w:pPr>
        <w:numPr>
          <w:ilvl w:val="0"/>
          <w:numId w:val="17"/>
        </w:numPr>
        <w:spacing w:after="0"/>
        <w:rPr>
          <w:sz w:val="20"/>
          <w:szCs w:val="20"/>
        </w:rPr>
      </w:pPr>
      <w:r>
        <w:rPr>
          <w:sz w:val="20"/>
          <w:szCs w:val="20"/>
        </w:rPr>
        <w:t>FG12</w:t>
      </w:r>
    </w:p>
    <w:p>
      <w:pPr>
        <w:numPr>
          <w:ilvl w:val="1"/>
          <w:numId w:val="17"/>
        </w:numPr>
        <w:spacing w:after="0"/>
        <w:rPr>
          <w:sz w:val="20"/>
          <w:szCs w:val="20"/>
        </w:rPr>
      </w:pPr>
      <w:r>
        <w:rPr>
          <w:sz w:val="20"/>
          <w:szCs w:val="20"/>
        </w:rPr>
        <w:t>Annette Mankertz</w:t>
      </w:r>
    </w:p>
    <w:p>
      <w:pPr>
        <w:numPr>
          <w:ilvl w:val="0"/>
          <w:numId w:val="17"/>
        </w:numPr>
        <w:spacing w:after="0"/>
        <w:rPr>
          <w:sz w:val="20"/>
          <w:szCs w:val="20"/>
        </w:rPr>
      </w:pPr>
      <w:r>
        <w:rPr>
          <w:sz w:val="20"/>
          <w:szCs w:val="20"/>
        </w:rPr>
        <w:t>FG14</w:t>
      </w:r>
    </w:p>
    <w:p>
      <w:pPr>
        <w:numPr>
          <w:ilvl w:val="1"/>
          <w:numId w:val="17"/>
        </w:numPr>
        <w:spacing w:after="0"/>
        <w:rPr>
          <w:sz w:val="20"/>
          <w:szCs w:val="20"/>
        </w:rPr>
      </w:pPr>
      <w:r>
        <w:rPr>
          <w:sz w:val="20"/>
          <w:szCs w:val="20"/>
        </w:rPr>
        <w:t>Melanie Brunke</w:t>
      </w:r>
    </w:p>
    <w:p>
      <w:pPr>
        <w:numPr>
          <w:ilvl w:val="0"/>
          <w:numId w:val="17"/>
        </w:numPr>
        <w:spacing w:after="0"/>
        <w:rPr>
          <w:sz w:val="20"/>
          <w:szCs w:val="20"/>
        </w:rPr>
      </w:pPr>
      <w:r>
        <w:rPr>
          <w:sz w:val="20"/>
          <w:szCs w:val="20"/>
        </w:rPr>
        <w:t>FG17</w:t>
      </w:r>
    </w:p>
    <w:p>
      <w:pPr>
        <w:pStyle w:val="Listenabsatz"/>
        <w:numPr>
          <w:ilvl w:val="1"/>
          <w:numId w:val="17"/>
        </w:numPr>
        <w:spacing w:after="0"/>
        <w:contextualSpacing w:val="0"/>
        <w:rPr>
          <w:sz w:val="20"/>
          <w:szCs w:val="20"/>
        </w:rPr>
      </w:pPr>
      <w:r>
        <w:rPr>
          <w:sz w:val="20"/>
          <w:szCs w:val="20"/>
        </w:rPr>
        <w:t>Thorsten Wolff</w:t>
      </w:r>
    </w:p>
    <w:p>
      <w:pPr>
        <w:numPr>
          <w:ilvl w:val="0"/>
          <w:numId w:val="17"/>
        </w:numPr>
        <w:spacing w:after="0"/>
        <w:rPr>
          <w:sz w:val="20"/>
          <w:szCs w:val="20"/>
        </w:rPr>
      </w:pPr>
      <w:r>
        <w:rPr>
          <w:sz w:val="20"/>
          <w:szCs w:val="20"/>
        </w:rPr>
        <w:t xml:space="preserve">FG21 </w:t>
      </w:r>
    </w:p>
    <w:p>
      <w:pPr>
        <w:numPr>
          <w:ilvl w:val="1"/>
          <w:numId w:val="17"/>
        </w:numPr>
        <w:spacing w:after="0"/>
        <w:rPr>
          <w:sz w:val="20"/>
          <w:szCs w:val="20"/>
        </w:rPr>
      </w:pPr>
      <w:r>
        <w:rPr>
          <w:sz w:val="20"/>
          <w:szCs w:val="20"/>
        </w:rPr>
        <w:t>Wolfgang Scheida</w:t>
      </w:r>
    </w:p>
    <w:p>
      <w:pPr>
        <w:numPr>
          <w:ilvl w:val="1"/>
          <w:numId w:val="17"/>
        </w:numPr>
        <w:spacing w:after="0"/>
        <w:rPr>
          <w:sz w:val="20"/>
          <w:szCs w:val="20"/>
        </w:rPr>
      </w:pPr>
      <w:r>
        <w:rPr>
          <w:sz w:val="20"/>
          <w:szCs w:val="20"/>
        </w:rPr>
        <w:t>Patrick Schmich</w:t>
      </w:r>
    </w:p>
    <w:p>
      <w:pPr>
        <w:pStyle w:val="Listenabsatz"/>
        <w:numPr>
          <w:ilvl w:val="0"/>
          <w:numId w:val="17"/>
        </w:numPr>
        <w:spacing w:after="0"/>
        <w:contextualSpacing w:val="0"/>
        <w:rPr>
          <w:sz w:val="20"/>
          <w:szCs w:val="20"/>
        </w:rPr>
      </w:pPr>
      <w:r>
        <w:rPr>
          <w:sz w:val="20"/>
          <w:szCs w:val="20"/>
        </w:rPr>
        <w:t>FG23</w:t>
      </w:r>
    </w:p>
    <w:p>
      <w:pPr>
        <w:pStyle w:val="Listenabsatz"/>
        <w:numPr>
          <w:ilvl w:val="1"/>
          <w:numId w:val="17"/>
        </w:numPr>
        <w:spacing w:after="0"/>
        <w:contextualSpacing w:val="0"/>
        <w:rPr>
          <w:sz w:val="20"/>
          <w:szCs w:val="20"/>
        </w:rPr>
      </w:pPr>
      <w:r>
        <w:rPr>
          <w:sz w:val="20"/>
          <w:szCs w:val="20"/>
        </w:rPr>
        <w:t xml:space="preserve">Antje </w:t>
      </w:r>
      <w:proofErr w:type="spellStart"/>
      <w:r>
        <w:rPr>
          <w:sz w:val="20"/>
          <w:szCs w:val="20"/>
        </w:rPr>
        <w:t>Gößwald</w:t>
      </w:r>
      <w:proofErr w:type="spellEnd"/>
    </w:p>
    <w:p>
      <w:pPr>
        <w:pStyle w:val="Listenabsatz"/>
        <w:numPr>
          <w:ilvl w:val="0"/>
          <w:numId w:val="17"/>
        </w:numPr>
        <w:spacing w:after="0"/>
        <w:contextualSpacing w:val="0"/>
        <w:rPr>
          <w:sz w:val="20"/>
          <w:szCs w:val="20"/>
        </w:rPr>
      </w:pPr>
      <w:r>
        <w:rPr>
          <w:sz w:val="20"/>
          <w:szCs w:val="20"/>
        </w:rPr>
        <w:t xml:space="preserve">FG24 </w:t>
      </w:r>
    </w:p>
    <w:p>
      <w:pPr>
        <w:pStyle w:val="Listenabsatz"/>
        <w:numPr>
          <w:ilvl w:val="1"/>
          <w:numId w:val="17"/>
        </w:numPr>
        <w:spacing w:after="0"/>
        <w:contextualSpacing w:val="0"/>
        <w:rPr>
          <w:sz w:val="20"/>
          <w:szCs w:val="20"/>
        </w:rPr>
      </w:pPr>
      <w:r>
        <w:rPr>
          <w:sz w:val="20"/>
          <w:szCs w:val="20"/>
        </w:rPr>
        <w:t>Thomas Ziese</w:t>
      </w:r>
    </w:p>
    <w:p>
      <w:pPr>
        <w:numPr>
          <w:ilvl w:val="0"/>
          <w:numId w:val="17"/>
        </w:numPr>
        <w:spacing w:after="0"/>
        <w:rPr>
          <w:sz w:val="20"/>
          <w:szCs w:val="20"/>
        </w:rPr>
      </w:pPr>
      <w:r>
        <w:rPr>
          <w:sz w:val="20"/>
          <w:szCs w:val="20"/>
        </w:rPr>
        <w:t>FG32</w:t>
      </w:r>
    </w:p>
    <w:p>
      <w:pPr>
        <w:numPr>
          <w:ilvl w:val="1"/>
          <w:numId w:val="17"/>
        </w:numPr>
        <w:spacing w:after="0"/>
        <w:rPr>
          <w:sz w:val="20"/>
          <w:szCs w:val="20"/>
        </w:rPr>
      </w:pPr>
      <w:r>
        <w:rPr>
          <w:sz w:val="20"/>
          <w:szCs w:val="20"/>
        </w:rPr>
        <w:t>Michaela Diercke</w:t>
      </w:r>
    </w:p>
    <w:p>
      <w:pPr>
        <w:numPr>
          <w:ilvl w:val="0"/>
          <w:numId w:val="17"/>
        </w:numPr>
        <w:spacing w:after="0"/>
        <w:rPr>
          <w:sz w:val="20"/>
          <w:szCs w:val="20"/>
        </w:rPr>
      </w:pPr>
      <w:r>
        <w:rPr>
          <w:sz w:val="20"/>
          <w:szCs w:val="20"/>
        </w:rPr>
        <w:t>FG34</w:t>
      </w:r>
    </w:p>
    <w:p>
      <w:pPr>
        <w:numPr>
          <w:ilvl w:val="1"/>
          <w:numId w:val="17"/>
        </w:numPr>
        <w:spacing w:after="0"/>
        <w:rPr>
          <w:sz w:val="20"/>
          <w:szCs w:val="20"/>
        </w:rPr>
      </w:pPr>
      <w:r>
        <w:rPr>
          <w:sz w:val="20"/>
          <w:szCs w:val="20"/>
        </w:rPr>
        <w:t>Viviane Bremer</w:t>
      </w:r>
    </w:p>
    <w:p>
      <w:pPr>
        <w:spacing w:after="0"/>
        <w:ind w:left="1080"/>
        <w:rPr>
          <w:sz w:val="20"/>
          <w:szCs w:val="20"/>
        </w:rPr>
      </w:pPr>
    </w:p>
    <w:p>
      <w:pPr>
        <w:numPr>
          <w:ilvl w:val="0"/>
          <w:numId w:val="17"/>
        </w:numPr>
        <w:spacing w:after="0"/>
        <w:rPr>
          <w:sz w:val="20"/>
          <w:szCs w:val="20"/>
        </w:rPr>
      </w:pPr>
      <w:bookmarkStart w:id="1" w:name="_Hlk58834953"/>
      <w:r>
        <w:rPr>
          <w:sz w:val="20"/>
          <w:szCs w:val="20"/>
        </w:rPr>
        <w:t>FG36</w:t>
      </w:r>
    </w:p>
    <w:p>
      <w:pPr>
        <w:numPr>
          <w:ilvl w:val="1"/>
          <w:numId w:val="17"/>
        </w:numPr>
        <w:spacing w:after="0"/>
        <w:rPr>
          <w:sz w:val="20"/>
          <w:szCs w:val="20"/>
        </w:rPr>
      </w:pPr>
      <w:r>
        <w:rPr>
          <w:sz w:val="20"/>
          <w:szCs w:val="20"/>
        </w:rPr>
        <w:t>Silke Buda</w:t>
      </w:r>
    </w:p>
    <w:p>
      <w:pPr>
        <w:numPr>
          <w:ilvl w:val="1"/>
          <w:numId w:val="17"/>
        </w:numPr>
        <w:spacing w:after="0"/>
        <w:rPr>
          <w:sz w:val="20"/>
          <w:szCs w:val="20"/>
        </w:rPr>
      </w:pPr>
      <w:r>
        <w:rPr>
          <w:sz w:val="20"/>
          <w:szCs w:val="20"/>
        </w:rPr>
        <w:t>Stefan Kröger</w:t>
      </w:r>
    </w:p>
    <w:p>
      <w:pPr>
        <w:numPr>
          <w:ilvl w:val="1"/>
          <w:numId w:val="17"/>
        </w:numPr>
        <w:spacing w:after="0"/>
        <w:rPr>
          <w:sz w:val="20"/>
          <w:szCs w:val="20"/>
        </w:rPr>
      </w:pPr>
      <w:r>
        <w:rPr>
          <w:sz w:val="20"/>
          <w:szCs w:val="20"/>
        </w:rPr>
        <w:t>Walter Haas</w:t>
      </w:r>
    </w:p>
    <w:bookmarkEnd w:id="1"/>
    <w:p>
      <w:pPr>
        <w:numPr>
          <w:ilvl w:val="0"/>
          <w:numId w:val="17"/>
        </w:numPr>
        <w:spacing w:after="0"/>
        <w:rPr>
          <w:sz w:val="20"/>
          <w:szCs w:val="20"/>
        </w:rPr>
      </w:pPr>
      <w:r>
        <w:rPr>
          <w:sz w:val="20"/>
          <w:szCs w:val="20"/>
        </w:rPr>
        <w:t>FG37</w:t>
      </w:r>
    </w:p>
    <w:p>
      <w:pPr>
        <w:numPr>
          <w:ilvl w:val="1"/>
          <w:numId w:val="17"/>
        </w:numPr>
        <w:spacing w:after="0"/>
        <w:rPr>
          <w:sz w:val="20"/>
          <w:szCs w:val="20"/>
        </w:rPr>
      </w:pPr>
      <w:r>
        <w:rPr>
          <w:sz w:val="20"/>
          <w:szCs w:val="20"/>
        </w:rPr>
        <w:t>Muna Abu Sin</w:t>
      </w:r>
    </w:p>
    <w:p>
      <w:pPr>
        <w:numPr>
          <w:ilvl w:val="0"/>
          <w:numId w:val="19"/>
        </w:numPr>
        <w:spacing w:after="0"/>
        <w:rPr>
          <w:sz w:val="20"/>
          <w:szCs w:val="20"/>
        </w:rPr>
      </w:pPr>
      <w:r>
        <w:rPr>
          <w:sz w:val="20"/>
          <w:szCs w:val="20"/>
        </w:rPr>
        <w:t>FG 38</w:t>
      </w:r>
    </w:p>
    <w:p>
      <w:pPr>
        <w:numPr>
          <w:ilvl w:val="1"/>
          <w:numId w:val="17"/>
        </w:numPr>
        <w:spacing w:after="0"/>
        <w:rPr>
          <w:sz w:val="20"/>
          <w:szCs w:val="20"/>
        </w:rPr>
      </w:pPr>
      <w:r>
        <w:rPr>
          <w:sz w:val="20"/>
          <w:szCs w:val="20"/>
        </w:rPr>
        <w:t>Ute Rexroth</w:t>
      </w:r>
    </w:p>
    <w:p>
      <w:pPr>
        <w:numPr>
          <w:ilvl w:val="1"/>
          <w:numId w:val="17"/>
        </w:numPr>
        <w:spacing w:after="0"/>
        <w:rPr>
          <w:sz w:val="20"/>
          <w:szCs w:val="20"/>
        </w:rPr>
      </w:pPr>
      <w:r>
        <w:rPr>
          <w:sz w:val="20"/>
          <w:szCs w:val="20"/>
        </w:rPr>
        <w:t>Meike Schöll (Protokoll)</w:t>
      </w:r>
    </w:p>
    <w:p>
      <w:pPr>
        <w:numPr>
          <w:ilvl w:val="0"/>
          <w:numId w:val="18"/>
        </w:numPr>
        <w:spacing w:after="0"/>
        <w:rPr>
          <w:sz w:val="20"/>
          <w:szCs w:val="20"/>
        </w:rPr>
      </w:pPr>
      <w:r>
        <w:rPr>
          <w:sz w:val="20"/>
          <w:szCs w:val="20"/>
        </w:rPr>
        <w:t>Presse</w:t>
      </w:r>
    </w:p>
    <w:p>
      <w:pPr>
        <w:pStyle w:val="Listenabsatz"/>
        <w:numPr>
          <w:ilvl w:val="1"/>
          <w:numId w:val="18"/>
        </w:numPr>
        <w:spacing w:after="0"/>
        <w:contextualSpacing w:val="0"/>
        <w:rPr>
          <w:sz w:val="20"/>
          <w:szCs w:val="20"/>
        </w:rPr>
      </w:pPr>
      <w:r>
        <w:rPr>
          <w:sz w:val="20"/>
          <w:szCs w:val="20"/>
        </w:rPr>
        <w:t>Ronja Wenchel</w:t>
      </w:r>
    </w:p>
    <w:p>
      <w:pPr>
        <w:numPr>
          <w:ilvl w:val="0"/>
          <w:numId w:val="17"/>
        </w:numPr>
        <w:spacing w:after="0"/>
        <w:rPr>
          <w:sz w:val="20"/>
          <w:szCs w:val="20"/>
        </w:rPr>
      </w:pPr>
      <w:r>
        <w:rPr>
          <w:sz w:val="20"/>
          <w:szCs w:val="20"/>
        </w:rPr>
        <w:t>IBBS</w:t>
      </w:r>
    </w:p>
    <w:p>
      <w:pPr>
        <w:numPr>
          <w:ilvl w:val="1"/>
          <w:numId w:val="17"/>
        </w:numPr>
        <w:spacing w:after="0"/>
        <w:rPr>
          <w:sz w:val="20"/>
          <w:szCs w:val="20"/>
        </w:rPr>
      </w:pPr>
      <w:r>
        <w:rPr>
          <w:sz w:val="20"/>
          <w:szCs w:val="20"/>
        </w:rPr>
        <w:t>Christian Herzog</w:t>
      </w:r>
    </w:p>
    <w:p>
      <w:pPr>
        <w:numPr>
          <w:ilvl w:val="0"/>
          <w:numId w:val="17"/>
        </w:numPr>
        <w:spacing w:after="0"/>
        <w:rPr>
          <w:sz w:val="20"/>
          <w:szCs w:val="20"/>
        </w:rPr>
      </w:pPr>
      <w:r>
        <w:rPr>
          <w:sz w:val="20"/>
          <w:szCs w:val="20"/>
        </w:rPr>
        <w:t>P1</w:t>
      </w:r>
    </w:p>
    <w:p>
      <w:pPr>
        <w:numPr>
          <w:ilvl w:val="1"/>
          <w:numId w:val="17"/>
        </w:numPr>
        <w:spacing w:after="0"/>
        <w:rPr>
          <w:sz w:val="20"/>
          <w:szCs w:val="20"/>
        </w:rPr>
      </w:pPr>
      <w:r>
        <w:rPr>
          <w:sz w:val="20"/>
          <w:szCs w:val="20"/>
        </w:rPr>
        <w:t>Mirjam Jenny</w:t>
      </w:r>
    </w:p>
    <w:p>
      <w:pPr>
        <w:numPr>
          <w:ilvl w:val="1"/>
          <w:numId w:val="17"/>
        </w:numPr>
        <w:spacing w:after="0"/>
        <w:rPr>
          <w:sz w:val="20"/>
          <w:szCs w:val="20"/>
        </w:rPr>
      </w:pPr>
      <w:r>
        <w:rPr>
          <w:sz w:val="20"/>
          <w:szCs w:val="20"/>
        </w:rPr>
        <w:t>Ines Lein</w:t>
      </w:r>
    </w:p>
    <w:p>
      <w:pPr>
        <w:numPr>
          <w:ilvl w:val="0"/>
          <w:numId w:val="17"/>
        </w:numPr>
        <w:spacing w:after="0"/>
        <w:rPr>
          <w:sz w:val="20"/>
          <w:szCs w:val="20"/>
        </w:rPr>
      </w:pPr>
      <w:r>
        <w:rPr>
          <w:sz w:val="20"/>
          <w:szCs w:val="20"/>
        </w:rPr>
        <w:t>P4</w:t>
      </w:r>
    </w:p>
    <w:p>
      <w:pPr>
        <w:numPr>
          <w:ilvl w:val="1"/>
          <w:numId w:val="17"/>
        </w:numPr>
        <w:spacing w:after="0"/>
        <w:rPr>
          <w:sz w:val="20"/>
          <w:szCs w:val="20"/>
        </w:rPr>
      </w:pPr>
      <w:r>
        <w:rPr>
          <w:sz w:val="20"/>
          <w:szCs w:val="20"/>
        </w:rPr>
        <w:t>Dirk Brockmann</w:t>
      </w:r>
    </w:p>
    <w:p>
      <w:pPr>
        <w:numPr>
          <w:ilvl w:val="1"/>
          <w:numId w:val="17"/>
        </w:numPr>
        <w:spacing w:after="0"/>
        <w:rPr>
          <w:sz w:val="20"/>
          <w:szCs w:val="20"/>
        </w:rPr>
      </w:pPr>
      <w:r>
        <w:rPr>
          <w:sz w:val="20"/>
          <w:szCs w:val="20"/>
        </w:rPr>
        <w:t>Susanne Gottwald</w:t>
      </w:r>
    </w:p>
    <w:p>
      <w:pPr>
        <w:numPr>
          <w:ilvl w:val="0"/>
          <w:numId w:val="17"/>
        </w:numPr>
        <w:spacing w:after="0"/>
        <w:rPr>
          <w:sz w:val="20"/>
          <w:szCs w:val="20"/>
        </w:rPr>
      </w:pPr>
      <w:r>
        <w:rPr>
          <w:sz w:val="20"/>
          <w:szCs w:val="20"/>
        </w:rPr>
        <w:t>ZBS1</w:t>
      </w:r>
    </w:p>
    <w:p>
      <w:pPr>
        <w:numPr>
          <w:ilvl w:val="1"/>
          <w:numId w:val="17"/>
        </w:numPr>
        <w:spacing w:after="0"/>
        <w:rPr>
          <w:sz w:val="20"/>
          <w:szCs w:val="20"/>
        </w:rPr>
      </w:pPr>
      <w:r>
        <w:rPr>
          <w:sz w:val="20"/>
          <w:szCs w:val="20"/>
        </w:rPr>
        <w:t>Janine Michel</w:t>
      </w:r>
    </w:p>
    <w:p>
      <w:pPr>
        <w:pStyle w:val="Listenabsatz"/>
        <w:numPr>
          <w:ilvl w:val="0"/>
          <w:numId w:val="17"/>
        </w:numPr>
        <w:spacing w:after="0"/>
        <w:contextualSpacing w:val="0"/>
        <w:rPr>
          <w:sz w:val="20"/>
          <w:szCs w:val="20"/>
        </w:rPr>
      </w:pPr>
      <w:r>
        <w:rPr>
          <w:sz w:val="20"/>
          <w:szCs w:val="20"/>
        </w:rPr>
        <w:t>ZIG1</w:t>
      </w:r>
    </w:p>
    <w:p>
      <w:pPr>
        <w:pStyle w:val="Listenabsatz"/>
        <w:numPr>
          <w:ilvl w:val="1"/>
          <w:numId w:val="17"/>
        </w:numPr>
        <w:spacing w:after="0"/>
        <w:contextualSpacing w:val="0"/>
        <w:rPr>
          <w:sz w:val="20"/>
          <w:szCs w:val="20"/>
        </w:rPr>
      </w:pPr>
      <w:r>
        <w:rPr>
          <w:sz w:val="20"/>
          <w:szCs w:val="20"/>
        </w:rPr>
        <w:t xml:space="preserve">Eugenia </w:t>
      </w:r>
      <w:proofErr w:type="spellStart"/>
      <w:r>
        <w:rPr>
          <w:sz w:val="20"/>
          <w:szCs w:val="20"/>
        </w:rPr>
        <w:t>Romo</w:t>
      </w:r>
      <w:proofErr w:type="spellEnd"/>
      <w:r>
        <w:rPr>
          <w:sz w:val="20"/>
          <w:szCs w:val="20"/>
        </w:rPr>
        <w:t xml:space="preserve"> Ventura </w:t>
      </w:r>
    </w:p>
    <w:p>
      <w:pPr>
        <w:pStyle w:val="Listenabsatz"/>
        <w:numPr>
          <w:ilvl w:val="0"/>
          <w:numId w:val="17"/>
        </w:numPr>
        <w:spacing w:after="0"/>
        <w:contextualSpacing w:val="0"/>
        <w:rPr>
          <w:sz w:val="20"/>
          <w:szCs w:val="20"/>
        </w:rPr>
      </w:pPr>
      <w:r>
        <w:rPr>
          <w:sz w:val="20"/>
          <w:szCs w:val="20"/>
        </w:rPr>
        <w:t>BZgA</w:t>
      </w:r>
    </w:p>
    <w:p>
      <w:pPr>
        <w:pStyle w:val="Listenabsatz"/>
        <w:numPr>
          <w:ilvl w:val="1"/>
          <w:numId w:val="17"/>
        </w:numPr>
        <w:spacing w:after="0"/>
        <w:contextualSpacing w:val="0"/>
        <w:rPr>
          <w:sz w:val="20"/>
          <w:szCs w:val="20"/>
        </w:rPr>
      </w:pPr>
      <w:r>
        <w:rPr>
          <w:sz w:val="20"/>
          <w:szCs w:val="20"/>
        </w:rPr>
        <w:t xml:space="preserve">Heidrun </w:t>
      </w:r>
      <w:proofErr w:type="spellStart"/>
      <w:r>
        <w:rPr>
          <w:sz w:val="20"/>
          <w:szCs w:val="20"/>
        </w:rPr>
        <w:t>Thaiss</w:t>
      </w:r>
      <w:proofErr w:type="spellEnd"/>
    </w:p>
    <w:p>
      <w:pPr>
        <w:pStyle w:val="Listenabsatz"/>
        <w:numPr>
          <w:ilvl w:val="0"/>
          <w:numId w:val="17"/>
        </w:numPr>
        <w:spacing w:after="0"/>
        <w:contextualSpacing w:val="0"/>
        <w:rPr>
          <w:sz w:val="20"/>
          <w:szCs w:val="20"/>
        </w:rPr>
      </w:pPr>
      <w:r>
        <w:rPr>
          <w:sz w:val="20"/>
          <w:szCs w:val="20"/>
        </w:rPr>
        <w:t>BMG</w:t>
      </w:r>
    </w:p>
    <w:p>
      <w:pPr>
        <w:pStyle w:val="Listenabsatz"/>
        <w:numPr>
          <w:ilvl w:val="1"/>
          <w:numId w:val="17"/>
        </w:numPr>
        <w:spacing w:after="0"/>
        <w:contextualSpacing w:val="0"/>
        <w:rPr>
          <w:sz w:val="20"/>
          <w:szCs w:val="20"/>
        </w:rPr>
      </w:pPr>
      <w:r>
        <w:rPr>
          <w:sz w:val="20"/>
          <w:szCs w:val="20"/>
        </w:rPr>
        <w:t>Christophe Bayer</w:t>
      </w:r>
    </w:p>
    <w:p>
      <w:pPr>
        <w:pStyle w:val="Listenabsatz"/>
        <w:spacing w:after="0"/>
        <w:ind w:left="1440"/>
        <w:contextualSpacing w:val="0"/>
        <w:rPr>
          <w:sz w:val="20"/>
          <w:szCs w:val="20"/>
        </w:rPr>
        <w:sectPr>
          <w:type w:val="continuous"/>
          <w:pgSz w:w="11900" w:h="16840"/>
          <w:pgMar w:top="851" w:right="1797" w:bottom="964" w:left="1418" w:header="709" w:footer="709" w:gutter="0"/>
          <w:cols w:num="2" w:space="708"/>
        </w:sectPr>
      </w:pPr>
    </w:p>
    <w:p>
      <w:pPr>
        <w:spacing w:after="0"/>
        <w:rPr>
          <w:sz w:val="20"/>
          <w:szCs w:val="20"/>
        </w:rPr>
      </w:pPr>
    </w:p>
    <w:tbl>
      <w:tblPr>
        <w:tblStyle w:val="Tabellenraster"/>
        <w:tblW w:w="9861" w:type="dxa"/>
        <w:tblLayout w:type="fixed"/>
        <w:tblLook w:val="00A0" w:firstRow="1" w:lastRow="0" w:firstColumn="1" w:lastColumn="0" w:noHBand="0" w:noVBand="0"/>
      </w:tblPr>
      <w:tblGrid>
        <w:gridCol w:w="684"/>
        <w:gridCol w:w="7533"/>
        <w:gridCol w:w="1644"/>
      </w:tblGrid>
      <w:tr>
        <w:tc>
          <w:tcPr>
            <w:tcW w:w="684" w:type="dxa"/>
          </w:tcPr>
          <w:p>
            <w:pPr>
              <w:rPr>
                <w:b/>
              </w:rPr>
            </w:pPr>
            <w:r>
              <w:rPr>
                <w:b/>
              </w:rPr>
              <w:t>TOP</w:t>
            </w:r>
          </w:p>
        </w:tc>
        <w:tc>
          <w:tcPr>
            <w:tcW w:w="7533" w:type="dxa"/>
          </w:tcPr>
          <w:p>
            <w:pPr>
              <w:rPr>
                <w:b/>
              </w:rPr>
            </w:pPr>
            <w:r>
              <w:rPr>
                <w:b/>
              </w:rPr>
              <w:t>Beitrag/Thema</w:t>
            </w:r>
          </w:p>
        </w:tc>
        <w:tc>
          <w:tcPr>
            <w:tcW w:w="1644" w:type="dxa"/>
          </w:tcPr>
          <w:p>
            <w:pPr>
              <w:rPr>
                <w:b/>
              </w:rPr>
            </w:pPr>
            <w:r>
              <w:rPr>
                <w:b/>
              </w:rPr>
              <w:t>eingebracht von</w:t>
            </w:r>
          </w:p>
        </w:tc>
      </w:tr>
      <w:tr>
        <w:tc>
          <w:tcPr>
            <w:tcW w:w="684" w:type="dxa"/>
          </w:tcPr>
          <w:p>
            <w:r>
              <w:t>1</w:t>
            </w:r>
          </w:p>
        </w:tc>
        <w:tc>
          <w:tcPr>
            <w:tcW w:w="7533" w:type="dxa"/>
          </w:tcPr>
          <w:p>
            <w:pPr>
              <w:rPr>
                <w:b/>
                <w:sz w:val="22"/>
                <w:szCs w:val="22"/>
              </w:rPr>
            </w:pPr>
            <w:r>
              <w:rPr>
                <w:b/>
                <w:sz w:val="22"/>
                <w:szCs w:val="22"/>
              </w:rPr>
              <w:t>Aktuelle Lage</w:t>
            </w:r>
          </w:p>
          <w:p>
            <w:pPr>
              <w:spacing w:line="276" w:lineRule="auto"/>
              <w:rPr>
                <w:b/>
                <w:sz w:val="22"/>
                <w:szCs w:val="22"/>
              </w:rPr>
            </w:pPr>
            <w:r>
              <w:rPr>
                <w:b/>
                <w:sz w:val="22"/>
                <w:szCs w:val="22"/>
              </w:rPr>
              <w:t xml:space="preserve">International </w:t>
            </w:r>
          </w:p>
          <w:p>
            <w:pPr>
              <w:pStyle w:val="Listenabsatz"/>
              <w:numPr>
                <w:ilvl w:val="0"/>
                <w:numId w:val="24"/>
              </w:numPr>
              <w:rPr>
                <w:sz w:val="22"/>
                <w:szCs w:val="22"/>
              </w:rPr>
            </w:pPr>
            <w:r>
              <w:rPr>
                <w:sz w:val="22"/>
                <w:szCs w:val="22"/>
              </w:rPr>
              <w:t xml:space="preserve">Fälle, Ausbreitung (Folien </w:t>
            </w:r>
            <w:hyperlink r:id="rId14" w:history="1">
              <w:r>
                <w:rPr>
                  <w:rStyle w:val="Hyperlink"/>
                  <w:sz w:val="22"/>
                  <w:szCs w:val="22"/>
                </w:rPr>
                <w:t>hier</w:t>
              </w:r>
            </w:hyperlink>
            <w:r>
              <w:rPr>
                <w:sz w:val="22"/>
                <w:szCs w:val="22"/>
              </w:rPr>
              <w:t>)</w:t>
            </w:r>
          </w:p>
          <w:p>
            <w:pPr>
              <w:pStyle w:val="Listenabsatz"/>
              <w:numPr>
                <w:ilvl w:val="1"/>
                <w:numId w:val="24"/>
              </w:numPr>
              <w:rPr>
                <w:sz w:val="22"/>
                <w:szCs w:val="22"/>
              </w:rPr>
            </w:pPr>
            <w:r>
              <w:rPr>
                <w:sz w:val="22"/>
                <w:szCs w:val="22"/>
              </w:rPr>
              <w:t>&gt; 70,96 Millionen Fälle, &gt; 1,6 Mio. Todesfälle (2,3%)</w:t>
            </w:r>
          </w:p>
          <w:p>
            <w:pPr>
              <w:pStyle w:val="Listenabsatz"/>
              <w:numPr>
                <w:ilvl w:val="0"/>
                <w:numId w:val="24"/>
              </w:numPr>
              <w:rPr>
                <w:sz w:val="22"/>
                <w:szCs w:val="22"/>
              </w:rPr>
            </w:pPr>
            <w:r>
              <w:rPr>
                <w:sz w:val="22"/>
                <w:szCs w:val="22"/>
              </w:rPr>
              <w:t>Top 10 Länder nach Anzahl neuer Fälle / letzte 7 Tage: USA, Brasilien, Indien, Russische Föderation, Türkei, Deutschland, Großbritannien, Italien, Frankreich, Ukraine. Einige Länder (Indien, Türkei, Italien, Ukraine) weisen abnehmende Trends auf.</w:t>
            </w:r>
          </w:p>
          <w:p>
            <w:pPr>
              <w:pStyle w:val="Listenabsatz"/>
              <w:numPr>
                <w:ilvl w:val="0"/>
                <w:numId w:val="24"/>
              </w:numPr>
              <w:rPr>
                <w:sz w:val="22"/>
                <w:szCs w:val="22"/>
              </w:rPr>
            </w:pPr>
            <w:r>
              <w:rPr>
                <w:sz w:val="22"/>
                <w:szCs w:val="22"/>
              </w:rPr>
              <w:lastRenderedPageBreak/>
              <w:t xml:space="preserve">7-Tage-Inzidenz &gt; 50 pro 100.000 </w:t>
            </w:r>
            <w:proofErr w:type="spellStart"/>
            <w:r>
              <w:rPr>
                <w:sz w:val="22"/>
                <w:szCs w:val="22"/>
              </w:rPr>
              <w:t>Einw</w:t>
            </w:r>
            <w:proofErr w:type="spellEnd"/>
            <w:r>
              <w:rPr>
                <w:sz w:val="22"/>
                <w:szCs w:val="22"/>
              </w:rPr>
              <w:t>.</w:t>
            </w:r>
          </w:p>
          <w:p>
            <w:pPr>
              <w:pStyle w:val="Listenabsatz"/>
              <w:numPr>
                <w:ilvl w:val="1"/>
                <w:numId w:val="24"/>
              </w:numPr>
              <w:rPr>
                <w:sz w:val="22"/>
                <w:szCs w:val="22"/>
              </w:rPr>
            </w:pPr>
            <w:r>
              <w:rPr>
                <w:sz w:val="22"/>
                <w:szCs w:val="22"/>
              </w:rPr>
              <w:t>82 Länder überschreiten diesen Schwellenwert</w:t>
            </w:r>
          </w:p>
          <w:p>
            <w:pPr>
              <w:pStyle w:val="Listenabsatz"/>
              <w:numPr>
                <w:ilvl w:val="1"/>
                <w:numId w:val="24"/>
              </w:numPr>
              <w:rPr>
                <w:sz w:val="22"/>
                <w:szCs w:val="22"/>
              </w:rPr>
            </w:pPr>
            <w:r>
              <w:rPr>
                <w:sz w:val="22"/>
                <w:szCs w:val="22"/>
              </w:rPr>
              <w:t>Neu hinzugekommen:  Südafrika, Namibia, Uruguay, Falkland Islands, Dominikanische Republik</w:t>
            </w:r>
          </w:p>
          <w:p>
            <w:pPr>
              <w:pStyle w:val="Listenabsatz"/>
              <w:numPr>
                <w:ilvl w:val="1"/>
                <w:numId w:val="24"/>
              </w:numPr>
              <w:rPr>
                <w:sz w:val="22"/>
                <w:szCs w:val="22"/>
              </w:rPr>
            </w:pPr>
            <w:r>
              <w:rPr>
                <w:sz w:val="22"/>
                <w:szCs w:val="22"/>
              </w:rPr>
              <w:t>Länder herausgefallen: Botswana, Cabo Verde</w:t>
            </w:r>
          </w:p>
          <w:p>
            <w:pPr>
              <w:pStyle w:val="Listenabsatz"/>
              <w:numPr>
                <w:ilvl w:val="0"/>
                <w:numId w:val="24"/>
              </w:numPr>
              <w:rPr>
                <w:sz w:val="22"/>
                <w:szCs w:val="22"/>
              </w:rPr>
            </w:pPr>
            <w:r>
              <w:rPr>
                <w:sz w:val="22"/>
                <w:szCs w:val="22"/>
              </w:rPr>
              <w:t xml:space="preserve">7-Tages-Inzidenz pro 100.000 </w:t>
            </w:r>
            <w:proofErr w:type="spellStart"/>
            <w:r>
              <w:rPr>
                <w:sz w:val="22"/>
                <w:szCs w:val="22"/>
              </w:rPr>
              <w:t>Einw</w:t>
            </w:r>
            <w:proofErr w:type="spellEnd"/>
            <w:r>
              <w:rPr>
                <w:sz w:val="22"/>
                <w:szCs w:val="22"/>
              </w:rPr>
              <w:t>. – EU/EWR/UK/CH</w:t>
            </w:r>
          </w:p>
          <w:p>
            <w:pPr>
              <w:pStyle w:val="Listenabsatz"/>
              <w:numPr>
                <w:ilvl w:val="1"/>
                <w:numId w:val="24"/>
              </w:numPr>
              <w:rPr>
                <w:sz w:val="22"/>
                <w:szCs w:val="22"/>
              </w:rPr>
            </w:pPr>
            <w:r>
              <w:rPr>
                <w:sz w:val="22"/>
                <w:szCs w:val="22"/>
              </w:rPr>
              <w:t>Keine Veränderung seit 09.12.2020</w:t>
            </w:r>
          </w:p>
          <w:p>
            <w:pPr>
              <w:pStyle w:val="Listenabsatz"/>
              <w:numPr>
                <w:ilvl w:val="1"/>
                <w:numId w:val="24"/>
              </w:numPr>
              <w:rPr>
                <w:sz w:val="22"/>
                <w:szCs w:val="22"/>
              </w:rPr>
            </w:pPr>
            <w:r>
              <w:rPr>
                <w:sz w:val="22"/>
                <w:szCs w:val="22"/>
              </w:rPr>
              <w:t xml:space="preserve">3 Länder mit &lt;50/100.000 </w:t>
            </w:r>
            <w:proofErr w:type="spellStart"/>
            <w:r>
              <w:rPr>
                <w:sz w:val="22"/>
                <w:szCs w:val="22"/>
              </w:rPr>
              <w:t>Einw</w:t>
            </w:r>
            <w:proofErr w:type="spellEnd"/>
            <w:proofErr w:type="gramStart"/>
            <w:r>
              <w:rPr>
                <w:sz w:val="22"/>
                <w:szCs w:val="22"/>
              </w:rPr>
              <w:t>. :</w:t>
            </w:r>
            <w:proofErr w:type="gramEnd"/>
            <w:r>
              <w:rPr>
                <w:sz w:val="22"/>
                <w:szCs w:val="22"/>
              </w:rPr>
              <w:t xml:space="preserve"> Norwegen, Irland, Island</w:t>
            </w:r>
          </w:p>
          <w:p>
            <w:pPr>
              <w:pStyle w:val="Listenabsatz"/>
              <w:numPr>
                <w:ilvl w:val="0"/>
                <w:numId w:val="24"/>
              </w:numPr>
              <w:rPr>
                <w:sz w:val="22"/>
                <w:szCs w:val="22"/>
              </w:rPr>
            </w:pPr>
            <w:r>
              <w:rPr>
                <w:sz w:val="22"/>
                <w:szCs w:val="22"/>
              </w:rPr>
              <w:t>Zusammenfassung: &gt;4 Mio. Fälle in den letzten 7 Tagen, davon in Afrika 2,6% (v.a. Südafrika, Marokko, Tunesien, Uganda, Libyen), in Amerika fast 50% aller Fälle (v.a. USA, Brasilien, Mexiko, Kolumbien, Kanada), in Asien 12% (Indien, Iran, Indonesien, Pakistan, Jordanien) und in Europa fast 40% (Russland, Türkei, Deutschland, Großbritannien, Italien)</w:t>
            </w:r>
          </w:p>
          <w:p>
            <w:pPr>
              <w:pStyle w:val="Listenabsatz"/>
              <w:numPr>
                <w:ilvl w:val="0"/>
                <w:numId w:val="24"/>
              </w:numPr>
              <w:rPr>
                <w:sz w:val="22"/>
                <w:szCs w:val="22"/>
              </w:rPr>
            </w:pPr>
            <w:r>
              <w:rPr>
                <w:sz w:val="22"/>
                <w:szCs w:val="22"/>
              </w:rPr>
              <w:t>Ab nächster Woche keine Präsentation zur internationalen Lage mittwochs mehr.</w:t>
            </w:r>
          </w:p>
          <w:p>
            <w:pPr>
              <w:spacing w:before="120"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15" w:history="1">
              <w:r>
                <w:rPr>
                  <w:rStyle w:val="Hyperlink"/>
                  <w:sz w:val="22"/>
                  <w:szCs w:val="22"/>
                </w:rPr>
                <w:t>hier</w:t>
              </w:r>
            </w:hyperlink>
            <w:r>
              <w:rPr>
                <w:sz w:val="22"/>
                <w:szCs w:val="22"/>
              </w:rPr>
              <w:t xml:space="preserve">) </w:t>
            </w:r>
          </w:p>
          <w:p>
            <w:pPr>
              <w:pStyle w:val="Listenabsatz"/>
              <w:numPr>
                <w:ilvl w:val="0"/>
                <w:numId w:val="24"/>
              </w:numPr>
              <w:rPr>
                <w:sz w:val="22"/>
                <w:szCs w:val="22"/>
              </w:rPr>
            </w:pPr>
            <w:proofErr w:type="spellStart"/>
            <w:r>
              <w:rPr>
                <w:sz w:val="22"/>
                <w:szCs w:val="22"/>
              </w:rPr>
              <w:t>SurvNet</w:t>
            </w:r>
            <w:proofErr w:type="spellEnd"/>
            <w:r>
              <w:rPr>
                <w:sz w:val="22"/>
                <w:szCs w:val="22"/>
              </w:rPr>
              <w:t xml:space="preserve"> übermittelt: 1.337.078 (+16.362), 21.975</w:t>
            </w:r>
          </w:p>
          <w:p>
            <w:pPr>
              <w:pStyle w:val="Listenabsatz"/>
              <w:ind w:left="813"/>
              <w:rPr>
                <w:sz w:val="22"/>
                <w:szCs w:val="22"/>
              </w:rPr>
            </w:pPr>
            <w:r>
              <w:rPr>
                <w:sz w:val="22"/>
                <w:szCs w:val="22"/>
              </w:rPr>
              <w:t>(1,6 %) Verstorbene (+188)</w:t>
            </w:r>
          </w:p>
          <w:p>
            <w:pPr>
              <w:pStyle w:val="Listenabsatz"/>
              <w:ind w:left="813"/>
              <w:rPr>
                <w:sz w:val="22"/>
                <w:szCs w:val="22"/>
              </w:rPr>
            </w:pPr>
            <w:r>
              <w:rPr>
                <w:sz w:val="22"/>
                <w:szCs w:val="22"/>
              </w:rPr>
              <w:t>50 GÄ haben am WE nicht ermittelt, für einen Sonntag hohe Fallzahlen</w:t>
            </w:r>
          </w:p>
          <w:p>
            <w:pPr>
              <w:pStyle w:val="Listenabsatz"/>
              <w:numPr>
                <w:ilvl w:val="0"/>
                <w:numId w:val="24"/>
              </w:numPr>
              <w:rPr>
                <w:sz w:val="22"/>
                <w:szCs w:val="22"/>
              </w:rPr>
            </w:pPr>
            <w:r>
              <w:rPr>
                <w:sz w:val="22"/>
                <w:szCs w:val="22"/>
              </w:rPr>
              <w:t xml:space="preserve">7-Tage-Inzidenz 176/100.000 </w:t>
            </w:r>
            <w:proofErr w:type="spellStart"/>
            <w:r>
              <w:rPr>
                <w:sz w:val="22"/>
                <w:szCs w:val="22"/>
              </w:rPr>
              <w:t>Einw</w:t>
            </w:r>
            <w:proofErr w:type="spellEnd"/>
            <w:r>
              <w:rPr>
                <w:sz w:val="22"/>
                <w:szCs w:val="22"/>
              </w:rPr>
              <w:t xml:space="preserve">.; </w:t>
            </w:r>
          </w:p>
          <w:p>
            <w:pPr>
              <w:pStyle w:val="Listenabsatz"/>
              <w:numPr>
                <w:ilvl w:val="0"/>
                <w:numId w:val="24"/>
              </w:numPr>
              <w:rPr>
                <w:sz w:val="22"/>
                <w:szCs w:val="22"/>
              </w:rPr>
            </w:pPr>
            <w:r>
              <w:rPr>
                <w:sz w:val="22"/>
                <w:szCs w:val="22"/>
              </w:rPr>
              <w:t>4-Tage-R: 1,12 (0,96 – 1,33</w:t>
            </w:r>
            <w:proofErr w:type="gramStart"/>
            <w:r>
              <w:rPr>
                <w:sz w:val="22"/>
                <w:szCs w:val="22"/>
              </w:rPr>
              <w:t>) ,</w:t>
            </w:r>
            <w:proofErr w:type="gramEnd"/>
            <w:r>
              <w:rPr>
                <w:sz w:val="22"/>
                <w:szCs w:val="22"/>
              </w:rPr>
              <w:t xml:space="preserve"> 7-Tage-R: 1,06 (0,98-1,17), R steigt an</w:t>
            </w:r>
          </w:p>
          <w:p>
            <w:pPr>
              <w:pStyle w:val="Listenabsatz"/>
              <w:numPr>
                <w:ilvl w:val="0"/>
                <w:numId w:val="24"/>
              </w:numPr>
              <w:rPr>
                <w:sz w:val="22"/>
                <w:szCs w:val="22"/>
              </w:rPr>
            </w:pPr>
            <w:r>
              <w:rPr>
                <w:sz w:val="22"/>
                <w:szCs w:val="22"/>
              </w:rPr>
              <w:t>ITS (Datenstand 13.12.2020): 4.552 (+61), invasiv beatmet: 2.602 (+60)</w:t>
            </w:r>
          </w:p>
          <w:p>
            <w:pPr>
              <w:pStyle w:val="Listenabsatz"/>
              <w:numPr>
                <w:ilvl w:val="0"/>
                <w:numId w:val="24"/>
              </w:numPr>
              <w:rPr>
                <w:sz w:val="22"/>
                <w:szCs w:val="22"/>
              </w:rPr>
            </w:pPr>
            <w:r>
              <w:rPr>
                <w:sz w:val="22"/>
                <w:szCs w:val="22"/>
              </w:rPr>
              <w:t>Weiterhin hohe Fallzahlen und Todesfälle, hohe ITS-Zahlen, keine Entspannung der Lage</w:t>
            </w:r>
          </w:p>
          <w:p>
            <w:pPr>
              <w:pStyle w:val="Listenabsatz"/>
              <w:numPr>
                <w:ilvl w:val="0"/>
                <w:numId w:val="24"/>
              </w:numPr>
              <w:rPr>
                <w:sz w:val="22"/>
                <w:szCs w:val="22"/>
              </w:rPr>
            </w:pPr>
            <w:r>
              <w:rPr>
                <w:sz w:val="22"/>
                <w:szCs w:val="22"/>
              </w:rPr>
              <w:t>7-Tage-Inzidenz der Bundesländer: Sachsen stark führend mit Anstieg, gefolgt von Thüringen, steigende Inzidenzen bundesweit (auch MV und SH hatten letzte Woche steilen Anstieg), lange ein Plateau im November, seit letzter Woche sichtbarer Anstieg</w:t>
            </w:r>
          </w:p>
          <w:p>
            <w:pPr>
              <w:pStyle w:val="Listenabsatz"/>
              <w:numPr>
                <w:ilvl w:val="0"/>
                <w:numId w:val="24"/>
              </w:numPr>
              <w:rPr>
                <w:sz w:val="22"/>
                <w:szCs w:val="22"/>
              </w:rPr>
            </w:pPr>
            <w:r>
              <w:rPr>
                <w:sz w:val="22"/>
                <w:szCs w:val="22"/>
              </w:rPr>
              <w:t>7-Tage-Inzidenz nach geographischer Verteilung: 7 LK &gt; 500-1000/100.000, 49 LK mit &gt; 250-500/100.000; nur noch 1 LK 7-Tage-Inzidenz von 5 bis 25/100.000, die meisten LK (290) mit 7-Tage-Inzidenz &gt;100-250/100.000.</w:t>
            </w:r>
          </w:p>
          <w:p>
            <w:pPr>
              <w:pStyle w:val="Listenabsatz"/>
              <w:numPr>
                <w:ilvl w:val="0"/>
                <w:numId w:val="24"/>
              </w:numPr>
              <w:rPr>
                <w:sz w:val="22"/>
                <w:szCs w:val="22"/>
              </w:rPr>
            </w:pPr>
            <w:r>
              <w:rPr>
                <w:sz w:val="22"/>
                <w:szCs w:val="22"/>
              </w:rPr>
              <w:t xml:space="preserve">Verteilung der Kreise nach 7-Tage-Inzidenz und Meldewoche (Farbskala von grün bis pink von niedrigen zu hohen 7-Tage-Inzidenzen, wobei in pink die Anzahl der LK mit 7-Tage-Inz. über 200 dargestellt ist): Ab KW 41 zeigt sich ein deutlicher Anstieg der Anzahl der Kreise mit hohen Inzidenzen. </w:t>
            </w:r>
          </w:p>
          <w:p>
            <w:pPr>
              <w:pStyle w:val="Listenabsatz"/>
              <w:numPr>
                <w:ilvl w:val="0"/>
                <w:numId w:val="24"/>
              </w:numPr>
              <w:rPr>
                <w:sz w:val="22"/>
                <w:szCs w:val="22"/>
              </w:rPr>
            </w:pPr>
            <w:r>
              <w:rPr>
                <w:sz w:val="22"/>
                <w:szCs w:val="22"/>
              </w:rPr>
              <w:t>Anteil der Verstorbenen nach Altersgruppe nur bis KW 47 aufgezeigt, da in den nachfolgenden KW von unvollständigen Daten auszugehen ist: in den KW 36 bis 47 zeigt sich ab der Altersgruppe der &gt;80-Jährigen ein hoher Anteil Verstorbener, allerdings muss berücksichtigt werden, dass schwere Fälle durch das Meldesystem besser als leichte Fälle erfasst werden.</w:t>
            </w:r>
          </w:p>
          <w:p>
            <w:pPr>
              <w:rPr>
                <w:sz w:val="22"/>
                <w:szCs w:val="22"/>
              </w:rPr>
            </w:pPr>
          </w:p>
          <w:p>
            <w:pPr>
              <w:rPr>
                <w:sz w:val="22"/>
                <w:szCs w:val="22"/>
              </w:rPr>
            </w:pPr>
            <w:r>
              <w:rPr>
                <w:sz w:val="22"/>
                <w:szCs w:val="22"/>
              </w:rPr>
              <w:t>Amtshilfeersuchen des LK Main-Kinzig-Kreis (GA Gelnhausen)</w:t>
            </w:r>
          </w:p>
          <w:p>
            <w:pPr>
              <w:pStyle w:val="Listenabsatz"/>
              <w:numPr>
                <w:ilvl w:val="0"/>
                <w:numId w:val="24"/>
              </w:numPr>
              <w:rPr>
                <w:sz w:val="22"/>
                <w:szCs w:val="22"/>
              </w:rPr>
            </w:pPr>
            <w:r>
              <w:rPr>
                <w:sz w:val="22"/>
                <w:szCs w:val="22"/>
              </w:rPr>
              <w:t xml:space="preserve">Am 11.12.2020 abends eingegangen, dazu wurde am 12.12.2020 Kontakt mit dem GA aufgenommen. Im LK besteht die zweithöchste Inzidenz in Hessen, das GA beschreibt mehrere Ausbrüche in Krankenhäusern (mit hohen Fallzahlen unter Mitarbeitenden) sowie eine angespannte Situation in den Alten- und Pflegeheimen. Tim </w:t>
            </w:r>
            <w:r>
              <w:rPr>
                <w:sz w:val="22"/>
                <w:szCs w:val="22"/>
              </w:rPr>
              <w:lastRenderedPageBreak/>
              <w:t>Eckmanns und Anna Rohde unterstützen ab heute vor Ort, 2 mobile Scouts werden zusätzlich morgen dort eintreffen.</w:t>
            </w:r>
          </w:p>
        </w:tc>
        <w:tc>
          <w:tcPr>
            <w:tcW w:w="1644" w:type="dxa"/>
          </w:tcPr>
          <w:p>
            <w:pPr>
              <w:rPr>
                <w:sz w:val="22"/>
                <w:szCs w:val="22"/>
              </w:rPr>
            </w:pPr>
          </w:p>
          <w:p>
            <w:pPr>
              <w:rPr>
                <w:sz w:val="22"/>
                <w:szCs w:val="22"/>
              </w:rPr>
            </w:pPr>
          </w:p>
          <w:p>
            <w:pPr>
              <w:rPr>
                <w:sz w:val="22"/>
                <w:szCs w:val="22"/>
              </w:rPr>
            </w:pPr>
            <w:r>
              <w:rPr>
                <w:sz w:val="22"/>
                <w:szCs w:val="22"/>
              </w:rPr>
              <w:t>ZIG1</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r>
              <w:rPr>
                <w:sz w:val="22"/>
                <w:szCs w:val="22"/>
              </w:rPr>
              <w:t>FG37</w:t>
            </w:r>
          </w:p>
        </w:tc>
      </w:tr>
      <w:tr>
        <w:tc>
          <w:tcPr>
            <w:tcW w:w="684" w:type="dxa"/>
          </w:tcPr>
          <w:p>
            <w:r>
              <w:lastRenderedPageBreak/>
              <w:t>2</w:t>
            </w:r>
          </w:p>
        </w:tc>
        <w:tc>
          <w:tcPr>
            <w:tcW w:w="7533" w:type="dxa"/>
          </w:tcPr>
          <w:p>
            <w:pPr>
              <w:rPr>
                <w:b/>
                <w:color w:val="FF0000"/>
              </w:rPr>
            </w:pPr>
            <w:r>
              <w:rPr>
                <w:b/>
              </w:rPr>
              <w:t xml:space="preserve">Internationales </w:t>
            </w:r>
            <w:r>
              <w:rPr>
                <w:b/>
                <w:color w:val="FF0000"/>
              </w:rPr>
              <w:t>(nur freitags)</w:t>
            </w:r>
          </w:p>
          <w:p>
            <w:pPr>
              <w:pStyle w:val="Listenabsatz"/>
              <w:numPr>
                <w:ilvl w:val="0"/>
                <w:numId w:val="12"/>
              </w:numPr>
              <w:rPr>
                <w:sz w:val="22"/>
                <w:szCs w:val="22"/>
              </w:rPr>
            </w:pPr>
            <w:r>
              <w:rPr>
                <w:sz w:val="22"/>
                <w:szCs w:val="22"/>
              </w:rPr>
              <w:t>Nicht besprochen</w:t>
            </w:r>
          </w:p>
        </w:tc>
        <w:tc>
          <w:tcPr>
            <w:tcW w:w="1644" w:type="dxa"/>
          </w:tcPr>
          <w:p/>
        </w:tc>
      </w:tr>
      <w:tr>
        <w:tc>
          <w:tcPr>
            <w:tcW w:w="684" w:type="dxa"/>
          </w:tcPr>
          <w:p>
            <w:r>
              <w:t>3</w:t>
            </w:r>
          </w:p>
        </w:tc>
        <w:tc>
          <w:tcPr>
            <w:tcW w:w="7533" w:type="dxa"/>
          </w:tcPr>
          <w:p>
            <w:pPr>
              <w:rPr>
                <w:b/>
                <w:color w:val="FF0000"/>
              </w:rPr>
            </w:pPr>
            <w:r>
              <w:rPr>
                <w:b/>
              </w:rPr>
              <w:t xml:space="preserve">Update Digitale Projekte </w:t>
            </w:r>
            <w:r>
              <w:rPr>
                <w:b/>
                <w:color w:val="FF0000"/>
              </w:rPr>
              <w:t>(nur montags)</w:t>
            </w:r>
          </w:p>
          <w:p>
            <w:pPr>
              <w:rPr>
                <w:sz w:val="22"/>
                <w:szCs w:val="22"/>
              </w:rPr>
            </w:pPr>
            <w:r>
              <w:rPr>
                <w:sz w:val="22"/>
                <w:szCs w:val="22"/>
              </w:rPr>
              <w:t xml:space="preserve">Schnelle Datenerhebung (Folien </w:t>
            </w:r>
            <w:hyperlink r:id="rId16" w:history="1">
              <w:r>
                <w:rPr>
                  <w:rStyle w:val="Hyperlink"/>
                  <w:sz w:val="22"/>
                  <w:szCs w:val="22"/>
                </w:rPr>
                <w:t>hier</w:t>
              </w:r>
            </w:hyperlink>
            <w:r>
              <w:rPr>
                <w:sz w:val="22"/>
                <w:szCs w:val="22"/>
              </w:rPr>
              <w:t>)</w:t>
            </w:r>
          </w:p>
          <w:p>
            <w:pPr>
              <w:pStyle w:val="Listenabsatz"/>
              <w:numPr>
                <w:ilvl w:val="0"/>
                <w:numId w:val="12"/>
              </w:numPr>
              <w:rPr>
                <w:sz w:val="22"/>
                <w:szCs w:val="22"/>
              </w:rPr>
            </w:pPr>
            <w:r>
              <w:rPr>
                <w:sz w:val="22"/>
                <w:szCs w:val="22"/>
              </w:rPr>
              <w:t xml:space="preserve">Verschiedene Erhebungen wurden durchgeführt, darunter Corona-Monitoring lokal (Auswertungen in Hotspots), Blutspender-Surveillance (keine Zufallsstichprobe), Corona-Bundesweit (repräsentativ); d.h. es liegen kurzfristig repräsentative Daten zur </w:t>
            </w:r>
            <w:proofErr w:type="spellStart"/>
            <w:r>
              <w:rPr>
                <w:sz w:val="22"/>
                <w:szCs w:val="22"/>
              </w:rPr>
              <w:t>Seroprävalenz</w:t>
            </w:r>
            <w:proofErr w:type="spellEnd"/>
            <w:r>
              <w:rPr>
                <w:sz w:val="22"/>
                <w:szCs w:val="22"/>
              </w:rPr>
              <w:t xml:space="preserve"> vor; jedoch sind keine weiteren kurzfristigen Daten in Kooperation mit SOEP zeitnah geplant.</w:t>
            </w:r>
          </w:p>
          <w:p>
            <w:pPr>
              <w:pStyle w:val="Listenabsatz"/>
              <w:numPr>
                <w:ilvl w:val="0"/>
                <w:numId w:val="12"/>
              </w:numPr>
              <w:rPr>
                <w:sz w:val="22"/>
                <w:szCs w:val="22"/>
              </w:rPr>
            </w:pPr>
            <w:r>
              <w:rPr>
                <w:sz w:val="22"/>
                <w:szCs w:val="22"/>
              </w:rPr>
              <w:t xml:space="preserve">In Großbritannien werden verschiedene Studien durchgeführt, darunter REACT-1 und Covid-19 </w:t>
            </w:r>
            <w:proofErr w:type="spellStart"/>
            <w:r>
              <w:rPr>
                <w:sz w:val="22"/>
                <w:szCs w:val="22"/>
              </w:rPr>
              <w:t>Infection</w:t>
            </w:r>
            <w:proofErr w:type="spellEnd"/>
            <w:r>
              <w:rPr>
                <w:sz w:val="22"/>
                <w:szCs w:val="22"/>
              </w:rPr>
              <w:t xml:space="preserve"> Survey.</w:t>
            </w:r>
          </w:p>
          <w:p>
            <w:pPr>
              <w:pStyle w:val="Listenabsatz"/>
              <w:numPr>
                <w:ilvl w:val="0"/>
                <w:numId w:val="12"/>
              </w:numPr>
              <w:rPr>
                <w:sz w:val="22"/>
                <w:szCs w:val="22"/>
              </w:rPr>
            </w:pPr>
            <w:r>
              <w:rPr>
                <w:sz w:val="22"/>
                <w:szCs w:val="22"/>
              </w:rPr>
              <w:t xml:space="preserve">REACT-1 nicht 1:1 auf Deutschland übertragbar (anderes System, keine ähnliche Stichprobe möglich), RKI-Panel ähnlich dem Covid-19 </w:t>
            </w:r>
            <w:proofErr w:type="spellStart"/>
            <w:r>
              <w:rPr>
                <w:sz w:val="22"/>
                <w:szCs w:val="22"/>
              </w:rPr>
              <w:t>Infection</w:t>
            </w:r>
            <w:proofErr w:type="spellEnd"/>
            <w:r>
              <w:rPr>
                <w:sz w:val="22"/>
                <w:szCs w:val="22"/>
              </w:rPr>
              <w:t xml:space="preserve"> Survey könnte aufgebaut werden.</w:t>
            </w:r>
          </w:p>
          <w:p>
            <w:pPr>
              <w:pStyle w:val="Listenabsatz"/>
              <w:numPr>
                <w:ilvl w:val="0"/>
                <w:numId w:val="12"/>
              </w:numPr>
              <w:rPr>
                <w:sz w:val="22"/>
                <w:szCs w:val="22"/>
              </w:rPr>
            </w:pPr>
            <w:r>
              <w:rPr>
                <w:sz w:val="22"/>
                <w:szCs w:val="22"/>
              </w:rPr>
              <w:t xml:space="preserve">Mithilfe der RKI Infrastruktur wären Befragungen und Versendungen von </w:t>
            </w:r>
            <w:proofErr w:type="spellStart"/>
            <w:r>
              <w:rPr>
                <w:sz w:val="22"/>
                <w:szCs w:val="22"/>
              </w:rPr>
              <w:t>Testkits</w:t>
            </w:r>
            <w:proofErr w:type="spellEnd"/>
            <w:r>
              <w:rPr>
                <w:sz w:val="22"/>
                <w:szCs w:val="22"/>
              </w:rPr>
              <w:t xml:space="preserve"> denkbar über folgende Wege: </w:t>
            </w:r>
          </w:p>
          <w:p>
            <w:pPr>
              <w:pStyle w:val="Listenabsatz"/>
              <w:numPr>
                <w:ilvl w:val="1"/>
                <w:numId w:val="12"/>
              </w:numPr>
              <w:rPr>
                <w:sz w:val="22"/>
                <w:szCs w:val="22"/>
              </w:rPr>
            </w:pPr>
            <w:r>
              <w:rPr>
                <w:sz w:val="22"/>
                <w:szCs w:val="22"/>
              </w:rPr>
              <w:t xml:space="preserve">Über Datenspende (nicht zufallsbasiert), weitere Erhebungen unterschiedlicher Art am RKI (z.B. </w:t>
            </w:r>
            <w:proofErr w:type="spellStart"/>
            <w:r>
              <w:rPr>
                <w:sz w:val="22"/>
                <w:szCs w:val="22"/>
              </w:rPr>
              <w:t>GrippeWeb</w:t>
            </w:r>
            <w:proofErr w:type="spellEnd"/>
            <w:r>
              <w:rPr>
                <w:sz w:val="22"/>
                <w:szCs w:val="22"/>
              </w:rPr>
              <w:t>) oder Aufruf zur Teilnahme wären hohe Fallzahlen möglich, aber nicht repräsentativ.</w:t>
            </w:r>
          </w:p>
          <w:p>
            <w:pPr>
              <w:pStyle w:val="Listenabsatz"/>
              <w:numPr>
                <w:ilvl w:val="1"/>
                <w:numId w:val="12"/>
              </w:numPr>
              <w:rPr>
                <w:sz w:val="22"/>
                <w:szCs w:val="22"/>
              </w:rPr>
            </w:pPr>
            <w:r>
              <w:rPr>
                <w:sz w:val="22"/>
                <w:szCs w:val="22"/>
              </w:rPr>
              <w:t xml:space="preserve">Verschiedene Samples verfügbar (z.B. GEDA, EMA-Stichprobe, </w:t>
            </w:r>
            <w:proofErr w:type="spellStart"/>
            <w:r>
              <w:rPr>
                <w:sz w:val="22"/>
                <w:szCs w:val="22"/>
              </w:rPr>
              <w:t>Covimo</w:t>
            </w:r>
            <w:proofErr w:type="spellEnd"/>
            <w:r>
              <w:rPr>
                <w:sz w:val="22"/>
                <w:szCs w:val="22"/>
              </w:rPr>
              <w:t xml:space="preserve"> Befragung, KiGGS, Corona Monitoring Lokal) mit insgesamt geringerer Fallzahl, aber Repräsentativität.</w:t>
            </w:r>
          </w:p>
          <w:p>
            <w:pPr>
              <w:pStyle w:val="Listenabsatz"/>
              <w:numPr>
                <w:ilvl w:val="0"/>
                <w:numId w:val="12"/>
              </w:numPr>
              <w:rPr>
                <w:sz w:val="22"/>
                <w:szCs w:val="22"/>
              </w:rPr>
            </w:pPr>
            <w:r>
              <w:rPr>
                <w:sz w:val="22"/>
                <w:szCs w:val="22"/>
              </w:rPr>
              <w:t xml:space="preserve">Die Problematik zeigt auf, dass es wichtig wäre, bereits jetzt ein nachhaltiges RKI-Panel aufzubauen, auch wenn dies aufgrund des Aufwands nicht zeitnah einsatzfähig wäre. Es besteht die Gefahr, dass ohne ein solches Panel das Problem in kürzester Zeit erneut auftauchen könnte. Eine Studie ähnlich zu REACT-1 oder dem Covid-19 </w:t>
            </w:r>
            <w:proofErr w:type="spellStart"/>
            <w:r>
              <w:rPr>
                <w:sz w:val="22"/>
                <w:szCs w:val="22"/>
              </w:rPr>
              <w:t>Infection</w:t>
            </w:r>
            <w:proofErr w:type="spellEnd"/>
            <w:r>
              <w:rPr>
                <w:sz w:val="22"/>
                <w:szCs w:val="22"/>
              </w:rPr>
              <w:t xml:space="preserve"> Survey müsste </w:t>
            </w:r>
            <w:proofErr w:type="spellStart"/>
            <w:r>
              <w:rPr>
                <w:sz w:val="22"/>
                <w:szCs w:val="22"/>
              </w:rPr>
              <w:t>a.e</w:t>
            </w:r>
            <w:proofErr w:type="spellEnd"/>
            <w:r>
              <w:rPr>
                <w:sz w:val="22"/>
                <w:szCs w:val="22"/>
              </w:rPr>
              <w:t xml:space="preserve">. über das Einwohnermeldeamt laufen und würde großen Aufwand bedeuten. Abt. 2 braucht dringend Unterstützung in Hinblick auf den Aufbau eines RKI-Panels; letzteres wurde bereits im Rahmen von RKI2025 an das BMG berichtet. </w:t>
            </w:r>
          </w:p>
          <w:p>
            <w:pPr>
              <w:pStyle w:val="Listenabsatz"/>
              <w:numPr>
                <w:ilvl w:val="0"/>
                <w:numId w:val="12"/>
              </w:numPr>
              <w:rPr>
                <w:sz w:val="22"/>
                <w:szCs w:val="22"/>
              </w:rPr>
            </w:pPr>
            <w:r>
              <w:rPr>
                <w:sz w:val="22"/>
                <w:szCs w:val="22"/>
              </w:rPr>
              <w:t xml:space="preserve">Hinsichtlich der Nutzung der Datenspende müsste das Datenschutzkonzept neu erstellt werden, aber dieser Weg wäre prinzipiell machbar. </w:t>
            </w:r>
          </w:p>
          <w:p>
            <w:pPr>
              <w:pStyle w:val="Listenabsatz"/>
              <w:numPr>
                <w:ilvl w:val="0"/>
                <w:numId w:val="12"/>
              </w:numPr>
              <w:rPr>
                <w:sz w:val="22"/>
                <w:szCs w:val="22"/>
              </w:rPr>
            </w:pPr>
            <w:r>
              <w:rPr>
                <w:sz w:val="22"/>
                <w:szCs w:val="22"/>
              </w:rPr>
              <w:t>Selbstabnahmestudien sind mit Bias behaftet; es ist unklar, ob Personen mit besonders hohem oder besonders niedrigem Risiko teilnehmen. Aussagen solcher Studien sind nicht stark belastbar.</w:t>
            </w:r>
          </w:p>
          <w:p>
            <w:pPr>
              <w:pStyle w:val="Listenabsatz"/>
              <w:numPr>
                <w:ilvl w:val="0"/>
                <w:numId w:val="12"/>
              </w:numPr>
              <w:rPr>
                <w:sz w:val="22"/>
                <w:szCs w:val="22"/>
              </w:rPr>
            </w:pPr>
            <w:r>
              <w:rPr>
                <w:sz w:val="22"/>
                <w:szCs w:val="22"/>
              </w:rPr>
              <w:t xml:space="preserve">Nach Erwähnung im Pressebriefing wurden 1.300 neue Teilnehmer*innen für </w:t>
            </w:r>
            <w:proofErr w:type="spellStart"/>
            <w:r>
              <w:rPr>
                <w:sz w:val="22"/>
                <w:szCs w:val="22"/>
              </w:rPr>
              <w:t>GrippeWeb</w:t>
            </w:r>
            <w:proofErr w:type="spellEnd"/>
            <w:r>
              <w:rPr>
                <w:sz w:val="22"/>
                <w:szCs w:val="22"/>
              </w:rPr>
              <w:t xml:space="preserve"> registriert; bei </w:t>
            </w:r>
            <w:proofErr w:type="spellStart"/>
            <w:r>
              <w:rPr>
                <w:sz w:val="22"/>
                <w:szCs w:val="22"/>
              </w:rPr>
              <w:t>entsprechenen</w:t>
            </w:r>
            <w:proofErr w:type="spellEnd"/>
            <w:r>
              <w:rPr>
                <w:sz w:val="22"/>
                <w:szCs w:val="22"/>
              </w:rPr>
              <w:t xml:space="preserve"> Aufrufen gäbe es sicherlich Teilnahmeinteresse in der Bevölkerung.</w:t>
            </w:r>
          </w:p>
          <w:p>
            <w:pPr>
              <w:pStyle w:val="Listenabsatz"/>
              <w:numPr>
                <w:ilvl w:val="0"/>
                <w:numId w:val="12"/>
              </w:numPr>
              <w:rPr>
                <w:sz w:val="22"/>
                <w:szCs w:val="22"/>
              </w:rPr>
            </w:pPr>
            <w:r>
              <w:rPr>
                <w:sz w:val="22"/>
                <w:szCs w:val="22"/>
              </w:rPr>
              <w:t xml:space="preserve">Es wäre sinnvoll, </w:t>
            </w:r>
            <w:proofErr w:type="spellStart"/>
            <w:r>
              <w:rPr>
                <w:sz w:val="22"/>
                <w:szCs w:val="22"/>
              </w:rPr>
              <w:t>GrippeWeb</w:t>
            </w:r>
            <w:proofErr w:type="spellEnd"/>
            <w:r>
              <w:rPr>
                <w:sz w:val="22"/>
                <w:szCs w:val="22"/>
              </w:rPr>
              <w:t xml:space="preserve"> auszubauen und sich langfristig dem Aufbau </w:t>
            </w:r>
            <w:proofErr w:type="gramStart"/>
            <w:r>
              <w:rPr>
                <w:sz w:val="22"/>
                <w:szCs w:val="22"/>
              </w:rPr>
              <w:t>eines RKI-Panel</w:t>
            </w:r>
            <w:proofErr w:type="gramEnd"/>
            <w:r>
              <w:rPr>
                <w:sz w:val="22"/>
                <w:szCs w:val="22"/>
              </w:rPr>
              <w:t xml:space="preserve"> zu nähern. </w:t>
            </w:r>
          </w:p>
          <w:p>
            <w:pPr>
              <w:rPr>
                <w:sz w:val="22"/>
                <w:szCs w:val="22"/>
              </w:rPr>
            </w:pPr>
          </w:p>
          <w:p>
            <w:pPr>
              <w:rPr>
                <w:sz w:val="22"/>
                <w:szCs w:val="22"/>
              </w:rPr>
            </w:pPr>
            <w:r>
              <w:rPr>
                <w:sz w:val="22"/>
                <w:szCs w:val="22"/>
              </w:rPr>
              <w:t>Digitale Projekte</w:t>
            </w:r>
          </w:p>
          <w:p>
            <w:pPr>
              <w:pStyle w:val="Listenabsatz"/>
              <w:numPr>
                <w:ilvl w:val="0"/>
                <w:numId w:val="12"/>
              </w:numPr>
              <w:rPr>
                <w:sz w:val="22"/>
                <w:szCs w:val="22"/>
              </w:rPr>
            </w:pPr>
            <w:r>
              <w:rPr>
                <w:sz w:val="22"/>
                <w:szCs w:val="22"/>
              </w:rPr>
              <w:t>Evaluation der CWA wurde auf Mittwoch verschoben (Robin Houben).</w:t>
            </w:r>
          </w:p>
          <w:p>
            <w:pPr>
              <w:pStyle w:val="Listenabsatz"/>
              <w:numPr>
                <w:ilvl w:val="0"/>
                <w:numId w:val="12"/>
              </w:numPr>
              <w:rPr>
                <w:sz w:val="22"/>
                <w:szCs w:val="22"/>
              </w:rPr>
            </w:pPr>
            <w:r>
              <w:rPr>
                <w:sz w:val="22"/>
                <w:szCs w:val="22"/>
              </w:rPr>
              <w:t xml:space="preserve">Die Verlinkung aus CWA auf ESRI-Dashboard ist problematisch. </w:t>
            </w:r>
          </w:p>
          <w:p>
            <w:pPr>
              <w:pStyle w:val="Listenabsatz"/>
              <w:numPr>
                <w:ilvl w:val="0"/>
                <w:numId w:val="12"/>
              </w:numPr>
              <w:rPr>
                <w:sz w:val="22"/>
                <w:szCs w:val="22"/>
              </w:rPr>
            </w:pPr>
            <w:r>
              <w:rPr>
                <w:sz w:val="22"/>
                <w:szCs w:val="22"/>
              </w:rPr>
              <w:t xml:space="preserve">Am vergangenen Wochenende kam es bei der DEA zum Totalausfall des Systems. Unzählige Anfragen werden aktuell von Mitarbeitenden aus anderen Bereichen der Abt. 2 beantwortet. Die Bundesdruckerei will in der nächsten TK eine 24/7 Bereitschaft thematisieren. </w:t>
            </w:r>
          </w:p>
          <w:p>
            <w:pPr>
              <w:pStyle w:val="Listenabsatz"/>
              <w:numPr>
                <w:ilvl w:val="0"/>
                <w:numId w:val="12"/>
              </w:numPr>
              <w:rPr>
                <w:sz w:val="22"/>
                <w:szCs w:val="22"/>
              </w:rPr>
            </w:pPr>
            <w:r>
              <w:rPr>
                <w:sz w:val="22"/>
                <w:szCs w:val="22"/>
              </w:rPr>
              <w:lastRenderedPageBreak/>
              <w:t xml:space="preserve">In allen digitalen Projekten fehlen ausreichende Mittel zur Umsetzung am RKI. </w:t>
            </w:r>
          </w:p>
        </w:tc>
        <w:tc>
          <w:tcPr>
            <w:tcW w:w="1644" w:type="dxa"/>
          </w:tcPr>
          <w:p>
            <w:pPr>
              <w:rPr>
                <w:sz w:val="22"/>
                <w:szCs w:val="22"/>
              </w:rPr>
            </w:pPr>
            <w:r>
              <w:rPr>
                <w:sz w:val="22"/>
                <w:szCs w:val="22"/>
              </w:rPr>
              <w:lastRenderedPageBreak/>
              <w:t>Schmich</w:t>
            </w:r>
          </w:p>
        </w:tc>
      </w:tr>
      <w:tr>
        <w:trPr>
          <w:trHeight w:val="319"/>
        </w:trPr>
        <w:tc>
          <w:tcPr>
            <w:tcW w:w="684" w:type="dxa"/>
          </w:tcPr>
          <w:p>
            <w:r>
              <w:t>4</w:t>
            </w:r>
          </w:p>
        </w:tc>
        <w:tc>
          <w:tcPr>
            <w:tcW w:w="7533" w:type="dxa"/>
          </w:tcPr>
          <w:p>
            <w:pPr>
              <w:rPr>
                <w:b/>
              </w:rPr>
            </w:pPr>
            <w:r>
              <w:rPr>
                <w:b/>
              </w:rPr>
              <w:t>Aktuelle Risikobewertung</w:t>
            </w:r>
          </w:p>
          <w:p>
            <w:pPr>
              <w:pStyle w:val="Listenabsatz"/>
              <w:numPr>
                <w:ilvl w:val="0"/>
                <w:numId w:val="11"/>
              </w:numPr>
              <w:rPr>
                <w:sz w:val="22"/>
                <w:szCs w:val="22"/>
              </w:rPr>
            </w:pPr>
            <w:r>
              <w:rPr>
                <w:sz w:val="22"/>
                <w:szCs w:val="22"/>
              </w:rPr>
              <w:t>Am Freitag ist die aktuelle Risikobewertung neu eingestellt worden.</w:t>
            </w:r>
          </w:p>
        </w:tc>
        <w:tc>
          <w:tcPr>
            <w:tcW w:w="1644" w:type="dxa"/>
          </w:tcPr>
          <w:p/>
          <w:p/>
        </w:tc>
      </w:tr>
      <w:tr>
        <w:tc>
          <w:tcPr>
            <w:tcW w:w="684" w:type="dxa"/>
          </w:tcPr>
          <w:p>
            <w:r>
              <w:t>5</w:t>
            </w:r>
          </w:p>
        </w:tc>
        <w:tc>
          <w:tcPr>
            <w:tcW w:w="7533" w:type="dxa"/>
          </w:tcPr>
          <w:p>
            <w:pPr>
              <w:rPr>
                <w:b/>
              </w:rPr>
            </w:pPr>
            <w:r>
              <w:rPr>
                <w:b/>
              </w:rPr>
              <w:t>Kommunikation</w:t>
            </w:r>
          </w:p>
          <w:p>
            <w:pPr>
              <w:pStyle w:val="Listenabsatz"/>
              <w:numPr>
                <w:ilvl w:val="0"/>
                <w:numId w:val="5"/>
              </w:numPr>
              <w:rPr>
                <w:sz w:val="22"/>
                <w:szCs w:val="22"/>
              </w:rPr>
            </w:pPr>
            <w:r>
              <w:rPr>
                <w:sz w:val="22"/>
                <w:szCs w:val="22"/>
              </w:rPr>
              <w:t>Hinsichtlich der Möglichkeiten, Beschäftigte mit Migrationshintergrund gezielt anzusprechen und von Reisen abzuraten, sollte zwischen formellen und informellen Pflegearrangements unterschieden werden; z.T. ist eine erhebliche Reisetätigkeit zu erwarten. Die Kommunikation sollte über die Pflegedienste oder über die sozialen Medien erfolgen.</w:t>
            </w:r>
          </w:p>
          <w:p>
            <w:pPr>
              <w:pStyle w:val="Listenabsatz"/>
              <w:numPr>
                <w:ilvl w:val="0"/>
                <w:numId w:val="5"/>
              </w:numPr>
              <w:rPr>
                <w:sz w:val="22"/>
                <w:szCs w:val="22"/>
              </w:rPr>
            </w:pPr>
            <w:r>
              <w:rPr>
                <w:sz w:val="22"/>
                <w:szCs w:val="22"/>
              </w:rPr>
              <w:t xml:space="preserve">Das Kontakttagebuch ist jetzt online: </w:t>
            </w:r>
            <w:hyperlink r:id="rId17" w:history="1">
              <w:r>
                <w:rPr>
                  <w:rStyle w:val="Hyperlink"/>
                  <w:sz w:val="22"/>
                  <w:szCs w:val="22"/>
                </w:rPr>
                <w:t>https://www.infektionsschutz.de/coronavirus/alltag-in-zeiten-von-corona/mein-corona-kontakttagebuch.html</w:t>
              </w:r>
            </w:hyperlink>
          </w:p>
          <w:p>
            <w:pPr>
              <w:rPr>
                <w:sz w:val="22"/>
                <w:szCs w:val="22"/>
              </w:rPr>
            </w:pPr>
          </w:p>
          <w:p>
            <w:pPr>
              <w:pStyle w:val="Listenabsatz"/>
              <w:numPr>
                <w:ilvl w:val="0"/>
                <w:numId w:val="5"/>
              </w:numPr>
              <w:rPr>
                <w:sz w:val="22"/>
                <w:szCs w:val="22"/>
              </w:rPr>
            </w:pPr>
            <w:r>
              <w:rPr>
                <w:sz w:val="22"/>
                <w:szCs w:val="22"/>
              </w:rPr>
              <w:t>Für die morgige Bundespressekonferenz mit Herrn Spahn um 11:30 Uhr ist eine kurze Sprechzeit von Herrn Wieler vorgesehen; die Schulproblematik soll dort u.a. aufgegriffen werden.</w:t>
            </w:r>
          </w:p>
          <w:p>
            <w:pPr>
              <w:rPr>
                <w:sz w:val="22"/>
                <w:szCs w:val="22"/>
              </w:rPr>
            </w:pPr>
          </w:p>
          <w:p>
            <w:pPr>
              <w:pStyle w:val="Listenabsatz"/>
              <w:numPr>
                <w:ilvl w:val="0"/>
                <w:numId w:val="5"/>
              </w:numPr>
            </w:pPr>
            <w:r>
              <w:rPr>
                <w:sz w:val="22"/>
                <w:szCs w:val="22"/>
              </w:rPr>
              <w:t>Update zu Videos und Grafiken: Die Videos und Grafiken zum „Feiern im engen Kreis“ und zur Vorquarantäne sind fast finalisiert und vom BMG abgenommen; sie sollen morgen über die sozialen Medien veröffentlicht werden. Die Empfehlung, Kreise nicht zu durchmischen, gilt generell, aber ist zu den Festtagen besonders relevant und dient der Konkretisierung der politischen Beschlüsse. Personen mit leichten Symptomen sollten sich an keinerlei Feiern beteiligen. Eine englische Übersetzung ist wahrscheinlich machbar, weitere wären wünschenswert (z.B. Polnisch, Tschechisch) und könnten über die BZgA kurzfristig beauftragt werden.</w:t>
            </w:r>
          </w:p>
        </w:tc>
        <w:tc>
          <w:tcPr>
            <w:tcW w:w="1644"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r>
              <w:rPr>
                <w:sz w:val="22"/>
                <w:szCs w:val="22"/>
              </w:rPr>
              <w:t>P1</w:t>
            </w:r>
          </w:p>
        </w:tc>
      </w:tr>
      <w:tr>
        <w:tc>
          <w:tcPr>
            <w:tcW w:w="684" w:type="dxa"/>
          </w:tcPr>
          <w:p>
            <w:r>
              <w:t>6</w:t>
            </w:r>
          </w:p>
        </w:tc>
        <w:tc>
          <w:tcPr>
            <w:tcW w:w="7533" w:type="dxa"/>
          </w:tcPr>
          <w:p>
            <w:pPr>
              <w:rPr>
                <w:b/>
                <w:sz w:val="22"/>
                <w:szCs w:val="22"/>
              </w:rPr>
            </w:pPr>
            <w:r>
              <w:rPr>
                <w:b/>
                <w:sz w:val="22"/>
                <w:szCs w:val="22"/>
              </w:rPr>
              <w:t>Strategie Fragen</w:t>
            </w:r>
          </w:p>
          <w:p>
            <w:pPr>
              <w:pStyle w:val="Listenabsatz"/>
              <w:numPr>
                <w:ilvl w:val="0"/>
                <w:numId w:val="15"/>
              </w:numPr>
              <w:rPr>
                <w:b/>
                <w:sz w:val="22"/>
                <w:szCs w:val="22"/>
              </w:rPr>
            </w:pPr>
            <w:r>
              <w:rPr>
                <w:b/>
                <w:sz w:val="22"/>
                <w:szCs w:val="22"/>
              </w:rPr>
              <w:t>Allgemein</w:t>
            </w:r>
          </w:p>
          <w:p>
            <w:pPr>
              <w:ind w:left="360"/>
              <w:rPr>
                <w:sz w:val="22"/>
                <w:szCs w:val="22"/>
              </w:rPr>
            </w:pPr>
            <w:r>
              <w:rPr>
                <w:sz w:val="22"/>
                <w:szCs w:val="22"/>
              </w:rPr>
              <w:t xml:space="preserve">Konzept Erhebungen/Instrumente Corona-AK-Status (Thomas Ziese, Abt. 2) – s.o. </w:t>
            </w:r>
          </w:p>
          <w:p>
            <w:pPr>
              <w:ind w:left="360"/>
              <w:rPr>
                <w:b/>
                <w:sz w:val="22"/>
                <w:szCs w:val="22"/>
              </w:rPr>
            </w:pPr>
          </w:p>
          <w:p>
            <w:pPr>
              <w:pStyle w:val="Listenabsatz"/>
              <w:numPr>
                <w:ilvl w:val="0"/>
                <w:numId w:val="15"/>
              </w:numPr>
              <w:rPr>
                <w:b/>
                <w:sz w:val="22"/>
                <w:szCs w:val="22"/>
              </w:rPr>
            </w:pPr>
            <w:r>
              <w:rPr>
                <w:b/>
                <w:sz w:val="22"/>
                <w:szCs w:val="22"/>
              </w:rPr>
              <w:t>RKI-intern</w:t>
            </w:r>
          </w:p>
          <w:p>
            <w:pPr>
              <w:ind w:left="360"/>
              <w:rPr>
                <w:b/>
                <w:sz w:val="22"/>
                <w:szCs w:val="22"/>
              </w:rPr>
            </w:pPr>
            <w:r>
              <w:rPr>
                <w:sz w:val="22"/>
                <w:szCs w:val="22"/>
              </w:rPr>
              <w:t xml:space="preserve">Veröffentlichung der Größe der Risikogruppen für einen schweren COVID-19-Verlauf </w:t>
            </w:r>
          </w:p>
          <w:p>
            <w:pPr>
              <w:pStyle w:val="Listenabsatz"/>
              <w:numPr>
                <w:ilvl w:val="0"/>
                <w:numId w:val="30"/>
              </w:numPr>
              <w:rPr>
                <w:sz w:val="22"/>
                <w:szCs w:val="22"/>
              </w:rPr>
            </w:pPr>
            <w:r>
              <w:rPr>
                <w:sz w:val="22"/>
                <w:szCs w:val="22"/>
              </w:rPr>
              <w:t xml:space="preserve">Die bereits vorgestellten Berechnungen sollen im Journal </w:t>
            </w:r>
            <w:proofErr w:type="spellStart"/>
            <w:r>
              <w:rPr>
                <w:sz w:val="22"/>
                <w:szCs w:val="22"/>
              </w:rPr>
              <w:t>of</w:t>
            </w:r>
            <w:proofErr w:type="spellEnd"/>
            <w:r>
              <w:rPr>
                <w:sz w:val="22"/>
                <w:szCs w:val="22"/>
              </w:rPr>
              <w:t xml:space="preserve"> Health Monitoring veröffentlicht werden, zusätzlich wäre eine Vorabinfo unter Abt. 2 sinnvoll, auf die ggf. im Lagebericht, im Steckbrief oder in den FAQs verwiesen werden könnte. Der Steckbrief bezieht sich regelmäßig nur auf publizierte Daten. </w:t>
            </w:r>
          </w:p>
          <w:p>
            <w:pPr>
              <w:pStyle w:val="Listenabsatz"/>
              <w:numPr>
                <w:ilvl w:val="0"/>
                <w:numId w:val="30"/>
              </w:numPr>
              <w:rPr>
                <w:sz w:val="22"/>
                <w:szCs w:val="22"/>
              </w:rPr>
            </w:pPr>
            <w:r>
              <w:rPr>
                <w:sz w:val="22"/>
                <w:szCs w:val="22"/>
              </w:rPr>
              <w:t xml:space="preserve">Es wird angeregt, die Daten dem Dt. Ärzteblatt mitzuteilen und ins Pressebriefing zu Beginn aufzunehmen. </w:t>
            </w:r>
          </w:p>
          <w:p>
            <w:pPr>
              <w:ind w:left="360"/>
              <w:rPr>
                <w:sz w:val="22"/>
                <w:szCs w:val="22"/>
              </w:rPr>
            </w:pPr>
          </w:p>
          <w:p>
            <w:pPr>
              <w:ind w:left="360"/>
              <w:rPr>
                <w:sz w:val="22"/>
                <w:szCs w:val="22"/>
              </w:rPr>
            </w:pPr>
            <w:r>
              <w:rPr>
                <w:sz w:val="22"/>
                <w:szCs w:val="22"/>
              </w:rPr>
              <w:t xml:space="preserve">Präsentation Übersicht nat./int./interne/externe Datenquellen (Folien </w:t>
            </w:r>
            <w:hyperlink r:id="rId18" w:history="1">
              <w:r>
                <w:rPr>
                  <w:rStyle w:val="Hyperlink"/>
                  <w:sz w:val="22"/>
                  <w:szCs w:val="22"/>
                </w:rPr>
                <w:t>hier</w:t>
              </w:r>
            </w:hyperlink>
            <w:r>
              <w:rPr>
                <w:sz w:val="22"/>
                <w:szCs w:val="22"/>
              </w:rPr>
              <w:t>)</w:t>
            </w:r>
          </w:p>
          <w:p>
            <w:pPr>
              <w:pStyle w:val="Listenabsatz"/>
              <w:numPr>
                <w:ilvl w:val="0"/>
                <w:numId w:val="29"/>
              </w:numPr>
              <w:rPr>
                <w:sz w:val="22"/>
                <w:szCs w:val="22"/>
              </w:rPr>
            </w:pPr>
            <w:r>
              <w:rPr>
                <w:sz w:val="22"/>
                <w:szCs w:val="22"/>
              </w:rPr>
              <w:t xml:space="preserve">Eine Übersicht über national als auch international verfügbare epidemiologische Daten zu COVID-19 mit Links zu Quellen und regelmäßiger Aktualisierung findet sich hier: </w:t>
            </w:r>
            <w:hyperlink r:id="rId19" w:history="1">
              <w:r>
                <w:rPr>
                  <w:rStyle w:val="Hyperlink"/>
                  <w:sz w:val="22"/>
                  <w:szCs w:val="22"/>
                </w:rPr>
                <w:t>S:\Wissdaten\RKI_nCoV-Lage\2.Themen\2.1.Epidemiologie\Daten_Graphen_Sammlung</w:t>
              </w:r>
            </w:hyperlink>
          </w:p>
          <w:p>
            <w:pPr>
              <w:pStyle w:val="Listenabsatz"/>
              <w:numPr>
                <w:ilvl w:val="0"/>
                <w:numId w:val="29"/>
              </w:numPr>
              <w:rPr>
                <w:sz w:val="22"/>
                <w:szCs w:val="22"/>
              </w:rPr>
            </w:pPr>
            <w:r>
              <w:rPr>
                <w:sz w:val="22"/>
                <w:szCs w:val="22"/>
              </w:rPr>
              <w:t xml:space="preserve">Bei den nationalen Datenquellen werden Daten aus den Surveillance-Systemen (gesetzlich und Sentinel), andere Datenquellen und Studien aufgeführt, jeweils mit Aktualisierungsintervallen und Freigabe. Die Daten sind </w:t>
            </w:r>
            <w:r>
              <w:rPr>
                <w:sz w:val="22"/>
                <w:szCs w:val="22"/>
                <w:u w:val="single"/>
              </w:rPr>
              <w:t xml:space="preserve">z.T. </w:t>
            </w:r>
            <w:r>
              <w:rPr>
                <w:sz w:val="22"/>
                <w:szCs w:val="22"/>
                <w:u w:val="single"/>
              </w:rPr>
              <w:lastRenderedPageBreak/>
              <w:t>ausschließlich für den internen Gebrauch</w:t>
            </w:r>
            <w:r>
              <w:rPr>
                <w:sz w:val="22"/>
                <w:szCs w:val="22"/>
              </w:rPr>
              <w:t xml:space="preserve"> (entsprechend gekennzeichnet). Im Lageberichtsorder finden sich z.B. 7-Tage-Inzidenz nach Altersgruppen.</w:t>
            </w:r>
          </w:p>
          <w:p>
            <w:pPr>
              <w:pStyle w:val="Listenabsatz"/>
              <w:numPr>
                <w:ilvl w:val="0"/>
                <w:numId w:val="29"/>
              </w:numPr>
              <w:rPr>
                <w:sz w:val="22"/>
                <w:szCs w:val="22"/>
              </w:rPr>
            </w:pPr>
            <w:r>
              <w:rPr>
                <w:sz w:val="22"/>
                <w:szCs w:val="22"/>
              </w:rPr>
              <w:t>Bei den externen Quellen handelt es sich z.B. um Aufbereitungen von Daniel Kriese, der sowohl die Meldedaten als auch Daten der Johns Hopkins University nutzt.</w:t>
            </w:r>
          </w:p>
          <w:p>
            <w:pPr>
              <w:pStyle w:val="Listenabsatz"/>
              <w:numPr>
                <w:ilvl w:val="0"/>
                <w:numId w:val="29"/>
              </w:numPr>
              <w:rPr>
                <w:sz w:val="22"/>
                <w:szCs w:val="22"/>
              </w:rPr>
            </w:pPr>
            <w:r>
              <w:rPr>
                <w:sz w:val="22"/>
                <w:szCs w:val="22"/>
              </w:rPr>
              <w:t xml:space="preserve">Bezüglich der Todesursachenstatistik kann nicht auf das DIVI-Intensivregister zurückgegriffen werden, da diese sich auf Todesfälle auf Intensivstationen beschränkt. </w:t>
            </w:r>
          </w:p>
          <w:p>
            <w:pPr>
              <w:pStyle w:val="Listenabsatz"/>
              <w:ind w:left="1080"/>
              <w:rPr>
                <w:sz w:val="22"/>
                <w:szCs w:val="22"/>
              </w:rPr>
            </w:pPr>
          </w:p>
          <w:p>
            <w:pPr>
              <w:ind w:left="720"/>
              <w:rPr>
                <w:sz w:val="22"/>
                <w:szCs w:val="22"/>
              </w:rPr>
            </w:pPr>
            <w:r>
              <w:rPr>
                <w:sz w:val="22"/>
                <w:szCs w:val="22"/>
              </w:rPr>
              <w:t>Die Projektgruppe von Herrn Brockmann und das HZI (Hr. Meyer-Hermann) arbeiten zusammen, um grob abzuschätzen, ob die getroffenen Maßnahmen ausreichen werden, um eine Reduktion der täglichen neuen Fallzahlen zu erreichen.</w:t>
            </w:r>
          </w:p>
        </w:tc>
        <w:tc>
          <w:tcPr>
            <w:tcW w:w="1644"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 Brockmann</w:t>
            </w:r>
          </w:p>
          <w:p/>
        </w:tc>
      </w:tr>
      <w:tr>
        <w:tc>
          <w:tcPr>
            <w:tcW w:w="684" w:type="dxa"/>
          </w:tcPr>
          <w:p>
            <w:r>
              <w:lastRenderedPageBreak/>
              <w:t>7</w:t>
            </w:r>
          </w:p>
        </w:tc>
        <w:tc>
          <w:tcPr>
            <w:tcW w:w="7533" w:type="dxa"/>
          </w:tcPr>
          <w:p>
            <w:pPr>
              <w:rPr>
                <w:b/>
              </w:rPr>
            </w:pPr>
            <w:r>
              <w:rPr>
                <w:b/>
              </w:rPr>
              <w:t>Dokumente</w:t>
            </w:r>
          </w:p>
          <w:p>
            <w:pPr>
              <w:pStyle w:val="Listenabsatz"/>
              <w:numPr>
                <w:ilvl w:val="0"/>
                <w:numId w:val="5"/>
              </w:numPr>
              <w:rPr>
                <w:sz w:val="22"/>
                <w:szCs w:val="22"/>
              </w:rPr>
            </w:pPr>
            <w:r>
              <w:rPr>
                <w:sz w:val="22"/>
                <w:szCs w:val="22"/>
              </w:rPr>
              <w:t>Nicht besprochen</w:t>
            </w:r>
          </w:p>
        </w:tc>
        <w:tc>
          <w:tcPr>
            <w:tcW w:w="1644" w:type="dxa"/>
          </w:tcPr>
          <w:p/>
        </w:tc>
      </w:tr>
      <w:tr>
        <w:tc>
          <w:tcPr>
            <w:tcW w:w="684" w:type="dxa"/>
          </w:tcPr>
          <w:p>
            <w:r>
              <w:t>8</w:t>
            </w:r>
          </w:p>
        </w:tc>
        <w:tc>
          <w:tcPr>
            <w:tcW w:w="7533" w:type="dxa"/>
          </w:tcPr>
          <w:p>
            <w:pPr>
              <w:rPr>
                <w:b/>
                <w:color w:val="FF0000"/>
              </w:rPr>
            </w:pPr>
            <w:r>
              <w:rPr>
                <w:b/>
              </w:rPr>
              <w:t xml:space="preserve">Update Impfen </w:t>
            </w:r>
            <w:r>
              <w:rPr>
                <w:b/>
                <w:color w:val="FF0000"/>
              </w:rPr>
              <w:t>(nur freitags)</w:t>
            </w:r>
          </w:p>
          <w:p>
            <w:pPr>
              <w:pStyle w:val="Listenabsatz"/>
              <w:numPr>
                <w:ilvl w:val="0"/>
                <w:numId w:val="5"/>
              </w:numPr>
              <w:rPr>
                <w:sz w:val="22"/>
                <w:szCs w:val="22"/>
              </w:rPr>
            </w:pPr>
            <w:r>
              <w:rPr>
                <w:sz w:val="22"/>
                <w:szCs w:val="22"/>
              </w:rPr>
              <w:t>Nicht besprochen</w:t>
            </w:r>
          </w:p>
        </w:tc>
        <w:tc>
          <w:tcPr>
            <w:tcW w:w="1644" w:type="dxa"/>
          </w:tcPr>
          <w:p/>
        </w:tc>
      </w:tr>
      <w:tr>
        <w:tc>
          <w:tcPr>
            <w:tcW w:w="684" w:type="dxa"/>
          </w:tcPr>
          <w:p>
            <w:r>
              <w:t>9</w:t>
            </w:r>
          </w:p>
        </w:tc>
        <w:tc>
          <w:tcPr>
            <w:tcW w:w="7533" w:type="dxa"/>
          </w:tcPr>
          <w:p>
            <w:pPr>
              <w:rPr>
                <w:b/>
              </w:rPr>
            </w:pPr>
            <w:r>
              <w:rPr>
                <w:b/>
              </w:rPr>
              <w:t>Labordiagnostik</w:t>
            </w:r>
          </w:p>
          <w:p>
            <w:pPr>
              <w:pStyle w:val="Listenabsatz"/>
              <w:numPr>
                <w:ilvl w:val="0"/>
                <w:numId w:val="5"/>
              </w:numPr>
              <w:rPr>
                <w:sz w:val="22"/>
                <w:szCs w:val="22"/>
              </w:rPr>
            </w:pPr>
            <w:r>
              <w:rPr>
                <w:sz w:val="22"/>
                <w:szCs w:val="22"/>
              </w:rPr>
              <w:t xml:space="preserve">In FG17 gab es 430 Einsendungen, davon primär </w:t>
            </w:r>
            <w:proofErr w:type="spellStart"/>
            <w:r>
              <w:rPr>
                <w:sz w:val="22"/>
                <w:szCs w:val="22"/>
              </w:rPr>
              <w:t>Rhinoviren</w:t>
            </w:r>
            <w:proofErr w:type="spellEnd"/>
            <w:r>
              <w:rPr>
                <w:sz w:val="22"/>
                <w:szCs w:val="22"/>
              </w:rPr>
              <w:t xml:space="preserve"> und einige SARS-CoV-2 positiv, ständiger Anstieg des Anteils der positiven Nachweise im AGI-Sentinel über die letzten KW. </w:t>
            </w:r>
          </w:p>
          <w:p>
            <w:pPr>
              <w:pStyle w:val="Listenabsatz"/>
              <w:numPr>
                <w:ilvl w:val="0"/>
                <w:numId w:val="5"/>
              </w:numPr>
              <w:rPr>
                <w:sz w:val="22"/>
                <w:szCs w:val="22"/>
              </w:rPr>
            </w:pPr>
            <w:r>
              <w:rPr>
                <w:sz w:val="22"/>
                <w:szCs w:val="22"/>
              </w:rPr>
              <w:t xml:space="preserve">FG17 ist erfolgreich an DEMIS angeschlossen und setzt auch Meldungen ab. </w:t>
            </w:r>
          </w:p>
          <w:p>
            <w:pPr>
              <w:pStyle w:val="Listenabsatz"/>
              <w:numPr>
                <w:ilvl w:val="0"/>
                <w:numId w:val="5"/>
              </w:numPr>
              <w:rPr>
                <w:sz w:val="22"/>
                <w:szCs w:val="22"/>
              </w:rPr>
            </w:pPr>
            <w:r>
              <w:rPr>
                <w:sz w:val="22"/>
                <w:szCs w:val="22"/>
              </w:rPr>
              <w:t xml:space="preserve">Während bei Influenza die Annahme bestand, dass ein positiver Fall im Sentinel für etwa 2.000 Einwohner*innen steht, ist eine ähnliche Ableitung für SARS-CoV-2 nur ein grober Anhaltspunkt, da sich Testvolumen und Sensitivität unterscheiden. </w:t>
            </w:r>
          </w:p>
          <w:p>
            <w:pPr>
              <w:pStyle w:val="Listenabsatz"/>
              <w:numPr>
                <w:ilvl w:val="0"/>
                <w:numId w:val="5"/>
              </w:numPr>
              <w:rPr>
                <w:sz w:val="22"/>
                <w:szCs w:val="22"/>
              </w:rPr>
            </w:pPr>
            <w:r>
              <w:rPr>
                <w:sz w:val="22"/>
                <w:szCs w:val="22"/>
              </w:rPr>
              <w:t xml:space="preserve">Zeitnah ist keine Änderung der Testkriterien sinnvoll; eine Ausweitung sollte zunächst </w:t>
            </w:r>
            <w:proofErr w:type="gramStart"/>
            <w:r>
              <w:rPr>
                <w:sz w:val="22"/>
                <w:szCs w:val="22"/>
              </w:rPr>
              <w:t>die leichtsymptomatische Personen</w:t>
            </w:r>
            <w:proofErr w:type="gramEnd"/>
            <w:r>
              <w:rPr>
                <w:sz w:val="22"/>
                <w:szCs w:val="22"/>
              </w:rPr>
              <w:t xml:space="preserve"> erfassen. Die </w:t>
            </w:r>
            <w:proofErr w:type="spellStart"/>
            <w:r>
              <w:rPr>
                <w:sz w:val="22"/>
                <w:szCs w:val="22"/>
              </w:rPr>
              <w:t>Entlasskriterien</w:t>
            </w:r>
            <w:proofErr w:type="spellEnd"/>
            <w:r>
              <w:rPr>
                <w:sz w:val="22"/>
                <w:szCs w:val="22"/>
              </w:rPr>
              <w:t xml:space="preserve"> werden in der AG Diagnostik diese Woche nochmals diskutiert. Testkapazitäten wurden stark aufgestockt, mittels Förderrichtlinie werden Produktionskapazitäten im Land gefördert; Massentestungen sind jedoch noch nicht umsetzbar.</w:t>
            </w:r>
          </w:p>
          <w:p>
            <w:pPr>
              <w:pStyle w:val="Listenabsatz"/>
              <w:numPr>
                <w:ilvl w:val="0"/>
                <w:numId w:val="5"/>
              </w:numPr>
              <w:rPr>
                <w:sz w:val="22"/>
                <w:szCs w:val="22"/>
              </w:rPr>
            </w:pPr>
            <w:r>
              <w:rPr>
                <w:sz w:val="22"/>
                <w:szCs w:val="22"/>
              </w:rPr>
              <w:t xml:space="preserve">Bei Massentestungen in Slowenien und Südtirol wurde deutlich, dass die Bevölkerung ein negatives Testergebnis als Schutz missverstanden hat. Dies sollte bei etwaigen Massentestungen beachtet werden. In Österreich gab es umfangreiche Testangebote, jedoch war die Teilnahme deutlich geringer als erhofft (13 bis 20% der Bevölkerung anstelle von 60%). Die dortigen </w:t>
            </w:r>
            <w:proofErr w:type="spellStart"/>
            <w:r>
              <w:rPr>
                <w:sz w:val="22"/>
                <w:szCs w:val="22"/>
              </w:rPr>
              <w:t>Positivenquoten</w:t>
            </w:r>
            <w:proofErr w:type="spellEnd"/>
            <w:r>
              <w:rPr>
                <w:sz w:val="22"/>
                <w:szCs w:val="22"/>
              </w:rPr>
              <w:t xml:space="preserve"> (PCR-bestätigt) lagen zwischen 0,14% bis 0,5%.</w:t>
            </w:r>
          </w:p>
          <w:p>
            <w:pPr>
              <w:pStyle w:val="Listenabsatz"/>
              <w:ind w:left="360"/>
              <w:rPr>
                <w:sz w:val="22"/>
                <w:szCs w:val="22"/>
              </w:rPr>
            </w:pPr>
            <w:r>
              <w:rPr>
                <w:sz w:val="22"/>
                <w:szCs w:val="22"/>
              </w:rPr>
              <w:t xml:space="preserve"> </w:t>
            </w:r>
          </w:p>
          <w:p>
            <w:pPr>
              <w:pStyle w:val="Listenabsatz"/>
              <w:numPr>
                <w:ilvl w:val="0"/>
                <w:numId w:val="5"/>
              </w:numPr>
              <w:rPr>
                <w:sz w:val="22"/>
                <w:szCs w:val="22"/>
              </w:rPr>
            </w:pPr>
            <w:r>
              <w:rPr>
                <w:sz w:val="22"/>
                <w:szCs w:val="22"/>
              </w:rPr>
              <w:t xml:space="preserve">ZBS1: &gt; 1.100 Einsendungen, 308 positiv (23% </w:t>
            </w:r>
            <w:proofErr w:type="spellStart"/>
            <w:r>
              <w:rPr>
                <w:sz w:val="22"/>
                <w:szCs w:val="22"/>
              </w:rPr>
              <w:t>Positivenrate</w:t>
            </w:r>
            <w:proofErr w:type="spellEnd"/>
            <w:r>
              <w:rPr>
                <w:sz w:val="22"/>
                <w:szCs w:val="22"/>
              </w:rPr>
              <w:t>). Derzeit weiterhin keine App oder DEMIS Anbindung laut IT möglich.</w:t>
            </w:r>
          </w:p>
        </w:tc>
        <w:tc>
          <w:tcPr>
            <w:tcW w:w="1644" w:type="dxa"/>
          </w:tcPr>
          <w:p>
            <w:pPr>
              <w:rPr>
                <w:sz w:val="22"/>
                <w:szCs w:val="22"/>
              </w:rPr>
            </w:pPr>
          </w:p>
          <w:p>
            <w:pPr>
              <w:rPr>
                <w:sz w:val="22"/>
                <w:szCs w:val="22"/>
              </w:rPr>
            </w:pPr>
            <w:r>
              <w:rPr>
                <w:sz w:val="22"/>
                <w:szCs w:val="22"/>
              </w:rPr>
              <w:t>FG17 /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r>
              <w:t>10</w:t>
            </w:r>
          </w:p>
        </w:tc>
        <w:tc>
          <w:tcPr>
            <w:tcW w:w="7533" w:type="dxa"/>
          </w:tcPr>
          <w:p>
            <w:pPr>
              <w:rPr>
                <w:b/>
              </w:rPr>
            </w:pPr>
            <w:r>
              <w:rPr>
                <w:b/>
              </w:rPr>
              <w:t>Klinisches Management/Entlassungsmanagement</w:t>
            </w:r>
          </w:p>
          <w:p>
            <w:pPr>
              <w:pStyle w:val="Listenabsatz"/>
              <w:numPr>
                <w:ilvl w:val="0"/>
                <w:numId w:val="5"/>
              </w:numPr>
              <w:rPr>
                <w:sz w:val="22"/>
                <w:szCs w:val="22"/>
              </w:rPr>
            </w:pPr>
            <w:r>
              <w:rPr>
                <w:sz w:val="22"/>
                <w:szCs w:val="22"/>
              </w:rPr>
              <w:t>Ab Mitte Januar 2021 sollen weitere monoklonale Antikörper bei frühen und milden Symptomen eingesetzt und über das Apothekennetz verteilt werden.</w:t>
            </w:r>
          </w:p>
        </w:tc>
        <w:tc>
          <w:tcPr>
            <w:tcW w:w="1644" w:type="dxa"/>
          </w:tcPr>
          <w:p>
            <w:pPr>
              <w:rPr>
                <w:sz w:val="22"/>
                <w:szCs w:val="22"/>
              </w:rPr>
            </w:pPr>
            <w:r>
              <w:rPr>
                <w:sz w:val="22"/>
                <w:szCs w:val="22"/>
              </w:rPr>
              <w:t>IBBS</w:t>
            </w:r>
          </w:p>
        </w:tc>
      </w:tr>
      <w:tr>
        <w:tc>
          <w:tcPr>
            <w:tcW w:w="684" w:type="dxa"/>
          </w:tcPr>
          <w:p>
            <w:r>
              <w:t>11</w:t>
            </w:r>
          </w:p>
        </w:tc>
        <w:tc>
          <w:tcPr>
            <w:tcW w:w="7533" w:type="dxa"/>
          </w:tcPr>
          <w:p>
            <w:pPr>
              <w:rPr>
                <w:b/>
              </w:rPr>
            </w:pPr>
            <w:r>
              <w:rPr>
                <w:b/>
              </w:rPr>
              <w:t>Maßnahmen zum Infektionsschutz</w:t>
            </w:r>
          </w:p>
          <w:p>
            <w:pPr>
              <w:pStyle w:val="Listenabsatz"/>
              <w:numPr>
                <w:ilvl w:val="0"/>
                <w:numId w:val="5"/>
              </w:numPr>
              <w:rPr>
                <w:sz w:val="22"/>
                <w:szCs w:val="22"/>
              </w:rPr>
            </w:pPr>
            <w:r>
              <w:rPr>
                <w:sz w:val="22"/>
                <w:szCs w:val="22"/>
              </w:rPr>
              <w:t>Nicht besprochen</w:t>
            </w:r>
          </w:p>
        </w:tc>
        <w:tc>
          <w:tcPr>
            <w:tcW w:w="1644" w:type="dxa"/>
          </w:tcPr>
          <w:p/>
        </w:tc>
      </w:tr>
      <w:tr>
        <w:tc>
          <w:tcPr>
            <w:tcW w:w="684" w:type="dxa"/>
          </w:tcPr>
          <w:p>
            <w:r>
              <w:t>12</w:t>
            </w:r>
          </w:p>
        </w:tc>
        <w:tc>
          <w:tcPr>
            <w:tcW w:w="7533" w:type="dxa"/>
          </w:tcPr>
          <w:p>
            <w:pPr>
              <w:rPr>
                <w:b/>
              </w:rPr>
            </w:pPr>
            <w:r>
              <w:rPr>
                <w:b/>
              </w:rPr>
              <w:t>Surveillance</w:t>
            </w:r>
          </w:p>
          <w:p>
            <w:r>
              <w:t xml:space="preserve">Corona-KiTa-Studie </w:t>
            </w:r>
            <w:r>
              <w:rPr>
                <w:b/>
                <w:color w:val="FF0000"/>
              </w:rPr>
              <w:t xml:space="preserve">(nur montags) </w:t>
            </w:r>
            <w:r>
              <w:t xml:space="preserve">(Folien </w:t>
            </w:r>
            <w:hyperlink r:id="rId20" w:history="1">
              <w:r>
                <w:rPr>
                  <w:rStyle w:val="Hyperlink"/>
                </w:rPr>
                <w:t>hier</w:t>
              </w:r>
            </w:hyperlink>
            <w:r>
              <w:t>)</w:t>
            </w:r>
          </w:p>
          <w:p>
            <w:pPr>
              <w:pStyle w:val="Listenabsatz"/>
              <w:numPr>
                <w:ilvl w:val="0"/>
                <w:numId w:val="5"/>
              </w:numPr>
              <w:spacing w:after="200"/>
              <w:rPr>
                <w:sz w:val="22"/>
                <w:szCs w:val="22"/>
              </w:rPr>
            </w:pPr>
            <w:r>
              <w:rPr>
                <w:sz w:val="22"/>
                <w:szCs w:val="22"/>
              </w:rPr>
              <w:t>Erkrankungszahlen bei Kindern unter 10 Jahren</w:t>
            </w:r>
          </w:p>
          <w:p>
            <w:pPr>
              <w:pStyle w:val="Listenabsatz"/>
              <w:numPr>
                <w:ilvl w:val="0"/>
                <w:numId w:val="5"/>
              </w:numPr>
              <w:spacing w:after="200"/>
              <w:rPr>
                <w:sz w:val="22"/>
                <w:szCs w:val="22"/>
              </w:rPr>
            </w:pPr>
            <w:proofErr w:type="spellStart"/>
            <w:r>
              <w:rPr>
                <w:sz w:val="22"/>
                <w:szCs w:val="22"/>
              </w:rPr>
              <w:lastRenderedPageBreak/>
              <w:t>GrippeWeb</w:t>
            </w:r>
            <w:proofErr w:type="spellEnd"/>
            <w:r>
              <w:rPr>
                <w:sz w:val="22"/>
                <w:szCs w:val="22"/>
              </w:rPr>
              <w:t>: Häufigkeit akuter Atemwegserkrankungen bei Erwachsenen Stabilisierung, Anteil Kinder/ Jugendliche gleichbleibend; Maßnahmen führen zu niedrigen ARE-Raten, höchste Erkrankungszahlen bei den 0 bis 5-Jährigen.</w:t>
            </w:r>
          </w:p>
          <w:p>
            <w:pPr>
              <w:pStyle w:val="Listenabsatz"/>
              <w:numPr>
                <w:ilvl w:val="1"/>
                <w:numId w:val="5"/>
              </w:numPr>
              <w:spacing w:after="200"/>
              <w:rPr>
                <w:sz w:val="22"/>
                <w:szCs w:val="22"/>
              </w:rPr>
            </w:pPr>
            <w:r>
              <w:rPr>
                <w:sz w:val="22"/>
                <w:szCs w:val="22"/>
              </w:rPr>
              <w:t>Geschätzte ARE in KW 49:</w:t>
            </w:r>
          </w:p>
          <w:p>
            <w:pPr>
              <w:pStyle w:val="Listenabsatz"/>
              <w:numPr>
                <w:ilvl w:val="1"/>
                <w:numId w:val="5"/>
              </w:numPr>
              <w:spacing w:after="200"/>
              <w:rPr>
                <w:sz w:val="22"/>
                <w:szCs w:val="22"/>
              </w:rPr>
            </w:pPr>
            <w:r>
              <w:rPr>
                <w:sz w:val="22"/>
                <w:szCs w:val="22"/>
              </w:rPr>
              <w:t>0-5 Jahre: 380.000 ARE (8.000/100.000), davon 18% mit Arztbesuch = ca. 68.000 mit Arztbesuch wegen ARE</w:t>
            </w:r>
          </w:p>
          <w:p>
            <w:pPr>
              <w:pStyle w:val="Listenabsatz"/>
              <w:numPr>
                <w:ilvl w:val="1"/>
                <w:numId w:val="5"/>
              </w:numPr>
              <w:spacing w:after="200"/>
              <w:rPr>
                <w:sz w:val="22"/>
                <w:szCs w:val="22"/>
              </w:rPr>
            </w:pPr>
            <w:r>
              <w:rPr>
                <w:sz w:val="22"/>
                <w:szCs w:val="22"/>
              </w:rPr>
              <w:t>6-10 Jahre: 81.000 ARE (2.200/100.000), davon 9% mit Arztbesuch = ca. 7.000 mit Arztbesuch wegen ARE</w:t>
            </w:r>
          </w:p>
          <w:p>
            <w:pPr>
              <w:pStyle w:val="Listenabsatz"/>
              <w:numPr>
                <w:ilvl w:val="1"/>
                <w:numId w:val="5"/>
              </w:numPr>
              <w:spacing w:after="200"/>
              <w:rPr>
                <w:sz w:val="22"/>
                <w:szCs w:val="22"/>
              </w:rPr>
            </w:pPr>
            <w:r>
              <w:rPr>
                <w:sz w:val="22"/>
                <w:szCs w:val="22"/>
              </w:rPr>
              <w:t>11-14 Jahre: 101.000 ARE (3.400/100.000), davon 7% mit Arztbesuch = ca.  7.000 mit Arztbesuch wegen ARE</w:t>
            </w:r>
          </w:p>
          <w:p>
            <w:pPr>
              <w:pStyle w:val="Listenabsatz"/>
              <w:numPr>
                <w:ilvl w:val="0"/>
                <w:numId w:val="5"/>
              </w:numPr>
              <w:spacing w:after="200"/>
              <w:rPr>
                <w:sz w:val="22"/>
                <w:szCs w:val="22"/>
              </w:rPr>
            </w:pPr>
            <w:r>
              <w:rPr>
                <w:sz w:val="22"/>
                <w:szCs w:val="22"/>
              </w:rPr>
              <w:t xml:space="preserve">Inzidenz pro 100.000 </w:t>
            </w:r>
            <w:proofErr w:type="spellStart"/>
            <w:r>
              <w:rPr>
                <w:sz w:val="22"/>
                <w:szCs w:val="22"/>
              </w:rPr>
              <w:t>Einw</w:t>
            </w:r>
            <w:proofErr w:type="spellEnd"/>
            <w:r>
              <w:rPr>
                <w:sz w:val="22"/>
                <w:szCs w:val="22"/>
              </w:rPr>
              <w:t>. und Anteil übermittelter COVID-19-Fälle nach Altersgruppe: Wiederanstieg bei den 15- bis 20-Jährigen, weniger bei den anderen Altersgruppen, es scheint kein besonderes Geschehen im Schulsetting vorzuliegen, aber durch die Bevölkerungssituation kommt es auch zu einer Betroffenheit bei den Kindern und Jugendlichen.</w:t>
            </w:r>
          </w:p>
          <w:p>
            <w:pPr>
              <w:pStyle w:val="Listenabsatz"/>
              <w:numPr>
                <w:ilvl w:val="0"/>
                <w:numId w:val="5"/>
              </w:numPr>
              <w:spacing w:after="200"/>
              <w:rPr>
                <w:sz w:val="22"/>
                <w:szCs w:val="22"/>
              </w:rPr>
            </w:pPr>
            <w:r>
              <w:rPr>
                <w:sz w:val="22"/>
                <w:szCs w:val="22"/>
              </w:rPr>
              <w:t>Ausbrüche in Kindergärten/Horten</w:t>
            </w:r>
          </w:p>
          <w:p>
            <w:pPr>
              <w:pStyle w:val="Listenabsatz"/>
              <w:numPr>
                <w:ilvl w:val="1"/>
                <w:numId w:val="5"/>
              </w:numPr>
              <w:spacing w:after="200"/>
              <w:rPr>
                <w:sz w:val="22"/>
                <w:szCs w:val="22"/>
              </w:rPr>
            </w:pPr>
            <w:r>
              <w:rPr>
                <w:sz w:val="22"/>
                <w:szCs w:val="22"/>
              </w:rPr>
              <w:t>Relativ konstante Situation in Kitas, etwa 57 Ausbrüche pro Woche in den letzten 4 Wochen.</w:t>
            </w:r>
          </w:p>
          <w:p>
            <w:pPr>
              <w:pStyle w:val="Listenabsatz"/>
              <w:numPr>
                <w:ilvl w:val="1"/>
                <w:numId w:val="5"/>
              </w:numPr>
              <w:rPr>
                <w:sz w:val="22"/>
                <w:szCs w:val="22"/>
              </w:rPr>
            </w:pPr>
            <w:r>
              <w:rPr>
                <w:sz w:val="22"/>
                <w:szCs w:val="22"/>
              </w:rPr>
              <w:t>Größte Geschehen KW 49/50:</w:t>
            </w:r>
          </w:p>
          <w:p>
            <w:pPr>
              <w:pStyle w:val="Listenabsatz"/>
              <w:numPr>
                <w:ilvl w:val="2"/>
                <w:numId w:val="5"/>
              </w:numPr>
              <w:rPr>
                <w:sz w:val="22"/>
                <w:szCs w:val="22"/>
              </w:rPr>
            </w:pPr>
            <w:r>
              <w:rPr>
                <w:sz w:val="22"/>
                <w:szCs w:val="22"/>
              </w:rPr>
              <w:t>RP, Ilm-Kreis, 15 Fälle: 6 (0-5), 9 (15+)</w:t>
            </w:r>
          </w:p>
          <w:p>
            <w:pPr>
              <w:pStyle w:val="Listenabsatz"/>
              <w:numPr>
                <w:ilvl w:val="2"/>
                <w:numId w:val="5"/>
              </w:numPr>
              <w:rPr>
                <w:sz w:val="22"/>
                <w:szCs w:val="22"/>
              </w:rPr>
            </w:pPr>
            <w:r>
              <w:rPr>
                <w:sz w:val="22"/>
                <w:szCs w:val="22"/>
              </w:rPr>
              <w:t>HE, Odenwaldkreis, 15 Fälle: 13 (0-10), 2 (15+)</w:t>
            </w:r>
          </w:p>
          <w:p>
            <w:pPr>
              <w:pStyle w:val="Listenabsatz"/>
              <w:numPr>
                <w:ilvl w:val="2"/>
                <w:numId w:val="5"/>
              </w:numPr>
              <w:spacing w:after="200"/>
              <w:rPr>
                <w:sz w:val="22"/>
                <w:szCs w:val="22"/>
              </w:rPr>
            </w:pPr>
            <w:r>
              <w:rPr>
                <w:sz w:val="22"/>
                <w:szCs w:val="22"/>
              </w:rPr>
              <w:t>ST, Magdeburg, 13 Fälle: 4 (0-10), 9 (15+)</w:t>
            </w:r>
          </w:p>
          <w:p>
            <w:pPr>
              <w:pStyle w:val="Listenabsatz"/>
              <w:numPr>
                <w:ilvl w:val="0"/>
                <w:numId w:val="5"/>
              </w:numPr>
              <w:spacing w:after="200"/>
              <w:rPr>
                <w:sz w:val="22"/>
                <w:szCs w:val="22"/>
              </w:rPr>
            </w:pPr>
            <w:r>
              <w:rPr>
                <w:sz w:val="22"/>
                <w:szCs w:val="22"/>
              </w:rPr>
              <w:t>Ausbrüche in Schulen</w:t>
            </w:r>
            <w:r>
              <w:rPr>
                <w:sz w:val="22"/>
                <w:szCs w:val="22"/>
                <w:highlight w:val="yellow"/>
              </w:rPr>
              <w:t xml:space="preserve"> </w:t>
            </w:r>
          </w:p>
          <w:p>
            <w:pPr>
              <w:pStyle w:val="Listenabsatz"/>
              <w:numPr>
                <w:ilvl w:val="1"/>
                <w:numId w:val="5"/>
              </w:numPr>
              <w:spacing w:after="200"/>
              <w:rPr>
                <w:sz w:val="22"/>
                <w:szCs w:val="22"/>
              </w:rPr>
            </w:pPr>
            <w:r>
              <w:rPr>
                <w:sz w:val="22"/>
                <w:szCs w:val="22"/>
              </w:rPr>
              <w:t>Anstieg der Zahlen auf hohes Niveau, größere Geschehen sind auf östliche Bundesländer zurückzuführen, der Anteil der Ausbrüche in den Grundschulen steigt an.</w:t>
            </w:r>
          </w:p>
          <w:p>
            <w:pPr>
              <w:pStyle w:val="Listenabsatz"/>
              <w:numPr>
                <w:ilvl w:val="1"/>
                <w:numId w:val="5"/>
              </w:numPr>
              <w:rPr>
                <w:sz w:val="22"/>
                <w:szCs w:val="22"/>
              </w:rPr>
            </w:pPr>
            <w:r>
              <w:rPr>
                <w:sz w:val="22"/>
                <w:szCs w:val="22"/>
              </w:rPr>
              <w:t>Größte Geschehen KW 49/50</w:t>
            </w:r>
          </w:p>
          <w:p>
            <w:pPr>
              <w:pStyle w:val="Listenabsatz"/>
              <w:numPr>
                <w:ilvl w:val="2"/>
                <w:numId w:val="5"/>
              </w:numPr>
              <w:rPr>
                <w:sz w:val="22"/>
                <w:szCs w:val="22"/>
              </w:rPr>
            </w:pPr>
            <w:r>
              <w:rPr>
                <w:sz w:val="22"/>
                <w:szCs w:val="22"/>
              </w:rPr>
              <w:t>TH, Kyffhäuserkreis, Grundschule, 25 Fälle: 19 (6-10), 1 (15-20), 5 (21+). Betroffen sind mehrere Klassen (1, 3, 4). Es gibt Geschwisterkinder in anderen Klassen. Schule wurde geschlossen.</w:t>
            </w:r>
          </w:p>
          <w:p>
            <w:pPr>
              <w:pStyle w:val="Listenabsatz"/>
              <w:numPr>
                <w:ilvl w:val="2"/>
                <w:numId w:val="5"/>
              </w:numPr>
              <w:rPr>
                <w:sz w:val="22"/>
                <w:szCs w:val="22"/>
              </w:rPr>
            </w:pPr>
            <w:r>
              <w:rPr>
                <w:sz w:val="22"/>
                <w:szCs w:val="22"/>
              </w:rPr>
              <w:t>ST, Börde, Sekundarschule, 21 Fälle: 9 (11-14), 6 (15-20), 6 (21+)</w:t>
            </w:r>
          </w:p>
          <w:p>
            <w:pPr>
              <w:pStyle w:val="Listenabsatz"/>
              <w:numPr>
                <w:ilvl w:val="2"/>
                <w:numId w:val="5"/>
              </w:numPr>
              <w:spacing w:after="200"/>
              <w:rPr>
                <w:sz w:val="22"/>
                <w:szCs w:val="22"/>
              </w:rPr>
            </w:pPr>
            <w:r>
              <w:rPr>
                <w:sz w:val="22"/>
                <w:szCs w:val="22"/>
              </w:rPr>
              <w:t>MV, Vorpommern-Rügen, Gemeinschaftsschule (Klasse 1-10), 14 Fälle: 2 (6-10), 12 (11-14)</w:t>
            </w:r>
          </w:p>
          <w:p>
            <w:pPr>
              <w:pStyle w:val="Listenabsatz"/>
              <w:numPr>
                <w:ilvl w:val="0"/>
                <w:numId w:val="5"/>
              </w:numPr>
              <w:spacing w:after="200"/>
              <w:rPr>
                <w:sz w:val="22"/>
                <w:szCs w:val="22"/>
              </w:rPr>
            </w:pPr>
            <w:r>
              <w:rPr>
                <w:sz w:val="22"/>
                <w:szCs w:val="22"/>
              </w:rPr>
              <w:t>Diskussion: Die Zeit des Lockdowns müsste man nutzen, um Empfehlungen zum Wechselunterricht mit digitaler Unterstützung umzusetzen; jedoch ist eine kurzfristige Umsetzung der Empfehlungen sicherlich schwierig.</w:t>
            </w:r>
          </w:p>
          <w:p>
            <w:pPr>
              <w:rPr>
                <w:sz w:val="22"/>
                <w:szCs w:val="22"/>
              </w:rPr>
            </w:pPr>
            <w:proofErr w:type="spellStart"/>
            <w:r>
              <w:rPr>
                <w:i/>
                <w:sz w:val="22"/>
                <w:szCs w:val="22"/>
              </w:rPr>
              <w:t>ToDo</w:t>
            </w:r>
            <w:proofErr w:type="spellEnd"/>
            <w:r>
              <w:rPr>
                <w:sz w:val="22"/>
                <w:szCs w:val="22"/>
              </w:rPr>
              <w:t>: Pressestelle nimmt Botschaft fürs Pressebriefing auf.</w:t>
            </w:r>
          </w:p>
          <w:p>
            <w:pPr>
              <w:rPr>
                <w:sz w:val="22"/>
                <w:szCs w:val="22"/>
              </w:rPr>
            </w:pPr>
          </w:p>
          <w:p>
            <w:pPr>
              <w:rPr>
                <w:sz w:val="22"/>
                <w:szCs w:val="22"/>
              </w:rPr>
            </w:pPr>
            <w:r>
              <w:rPr>
                <w:sz w:val="22"/>
                <w:szCs w:val="22"/>
              </w:rPr>
              <w:t>Änderung der Meldepflicht bei Antigennachweisen in Einrichtungen</w:t>
            </w:r>
          </w:p>
          <w:p>
            <w:pPr>
              <w:pStyle w:val="Listenabsatz"/>
              <w:numPr>
                <w:ilvl w:val="0"/>
                <w:numId w:val="24"/>
              </w:numPr>
              <w:rPr>
                <w:sz w:val="22"/>
                <w:szCs w:val="22"/>
              </w:rPr>
            </w:pPr>
            <w:r>
              <w:rPr>
                <w:sz w:val="22"/>
                <w:szCs w:val="22"/>
              </w:rPr>
              <w:t xml:space="preserve">Ausgehend von vielen Anfragen zur Meldepflicht von Antigennachweisen in Einrichtungen wie Schulen und Altenpflegeheimen ist fraglich, ob </w:t>
            </w:r>
            <w:proofErr w:type="gramStart"/>
            <w:r>
              <w:rPr>
                <w:sz w:val="22"/>
                <w:szCs w:val="22"/>
              </w:rPr>
              <w:t>ein Meldepflicht</w:t>
            </w:r>
            <w:proofErr w:type="gramEnd"/>
            <w:r>
              <w:rPr>
                <w:sz w:val="22"/>
                <w:szCs w:val="22"/>
              </w:rPr>
              <w:t xml:space="preserve"> für positive AG-Nachweise besteht und wenn nicht, ob diese sinnvoll wäre.</w:t>
            </w:r>
          </w:p>
          <w:p>
            <w:pPr>
              <w:pStyle w:val="Listenabsatz"/>
              <w:numPr>
                <w:ilvl w:val="0"/>
                <w:numId w:val="24"/>
              </w:numPr>
              <w:rPr>
                <w:sz w:val="22"/>
                <w:szCs w:val="22"/>
              </w:rPr>
            </w:pPr>
            <w:r>
              <w:rPr>
                <w:sz w:val="22"/>
                <w:szCs w:val="22"/>
              </w:rPr>
              <w:t xml:space="preserve">Die Meldepflicht einer Erkrankung bzw. eines Krankheitsverdachts nach § 6 Abs. 1 IfSG ist zwingend an das Vorliegen von Symptomen geknüpft. Dies können selbstverständlich auch vom Betroffenen beschriebene, nur subjektiv wahrnehmbare Symptome sein. Den durch Antigentest positiv getesteten Personen sollte in jedem Fall empfohlen werden, einen Arzt aufzusuchen sowie eine PCR-Nachtestung vornehmen zu lassen. Auf diese Weise würde auch in </w:t>
            </w:r>
            <w:r>
              <w:rPr>
                <w:sz w:val="22"/>
                <w:szCs w:val="22"/>
              </w:rPr>
              <w:lastRenderedPageBreak/>
              <w:t>diesen Fällen eine entsprechende Meldung aufgrund der Meldepflicht des Arztes bzw. des Labors erfolgen.</w:t>
            </w:r>
          </w:p>
          <w:p>
            <w:pPr>
              <w:pStyle w:val="Listenabsatz"/>
              <w:numPr>
                <w:ilvl w:val="0"/>
                <w:numId w:val="24"/>
              </w:numPr>
              <w:rPr>
                <w:sz w:val="22"/>
                <w:szCs w:val="22"/>
              </w:rPr>
            </w:pPr>
            <w:r>
              <w:rPr>
                <w:sz w:val="22"/>
                <w:szCs w:val="22"/>
              </w:rPr>
              <w:t xml:space="preserve">Systematisch unterscheidet das IfSG streng zwischen der Meldung des Nachweises von Krankheitserregern (§ 7 IfSG) und der Meldung des Verdachtes einer Erkrankung bzw. der Erkrankung (§ 6 IfSG). </w:t>
            </w:r>
          </w:p>
          <w:p>
            <w:pPr>
              <w:pStyle w:val="Listenabsatz"/>
              <w:numPr>
                <w:ilvl w:val="0"/>
                <w:numId w:val="24"/>
              </w:numPr>
              <w:rPr>
                <w:sz w:val="22"/>
                <w:szCs w:val="22"/>
              </w:rPr>
            </w:pPr>
            <w:r>
              <w:rPr>
                <w:sz w:val="22"/>
                <w:szCs w:val="22"/>
              </w:rPr>
              <w:t xml:space="preserve">Eine Meldepflicht eines AG-Nachweises in Einrichtungen wäre sinnvoll, weil Symptome bei COVID-19 häufig mild und subjektiv sind, die ein Lehrender nicht feststellen kann; zudem findet die Virusausscheidung häufig schon präsymptomatisch statt, so dass ein positiver Nachweis den Verdacht auf eine Erkrankung begründen sollte. Eine PCR-Bestätigung ist weiterhin sinnvoll, wird in der Praxis jedoch häufig unterlassen. Es wäre trotzdem sinnvoll, dass Gesundheitsämter von positiven Antigennachweisen erfahren, um Maßnahmen in Schulen oder Altenpflegeheimen einleiten zu können. Aktuell wird der Meldetatbestand in medizinischen Einrichtungen durch positiven Antigentest erfüllt, in anderen jedoch nicht, was schwer zu vermitteln ist. Aus klinischer Sicht ist das Vorliegen von Symptomen bei anderen Erkrankungen nicht zwangsläufig Voraussetzung für einen Krankheitsverdacht; auch Labordiagnostik oder Bildgebung können Krankheitsverdacht begründen. </w:t>
            </w:r>
          </w:p>
          <w:p>
            <w:pPr>
              <w:pStyle w:val="Listenabsatz"/>
              <w:numPr>
                <w:ilvl w:val="0"/>
                <w:numId w:val="24"/>
              </w:numPr>
              <w:rPr>
                <w:sz w:val="22"/>
                <w:szCs w:val="22"/>
              </w:rPr>
            </w:pPr>
            <w:r>
              <w:rPr>
                <w:sz w:val="22"/>
                <w:szCs w:val="22"/>
              </w:rPr>
              <w:t>Die Umsetzung der Meldepflicht sollte möglichst unbürokratisch sein.</w:t>
            </w:r>
          </w:p>
          <w:p>
            <w:pPr>
              <w:pStyle w:val="Listenabsatz"/>
              <w:numPr>
                <w:ilvl w:val="0"/>
                <w:numId w:val="24"/>
              </w:numPr>
              <w:rPr>
                <w:sz w:val="22"/>
                <w:szCs w:val="22"/>
              </w:rPr>
            </w:pPr>
            <w:r>
              <w:rPr>
                <w:sz w:val="22"/>
                <w:szCs w:val="22"/>
              </w:rPr>
              <w:t xml:space="preserve">Eine Übergangslösung, z.B. über eine Verordnung, sollte geprüft werden, eine zeitnahe Änderung des IfSG ist wenig realistisch. </w:t>
            </w:r>
          </w:p>
          <w:p>
            <w:pPr>
              <w:rPr>
                <w:sz w:val="22"/>
                <w:szCs w:val="22"/>
              </w:rPr>
            </w:pPr>
          </w:p>
          <w:p>
            <w:pPr>
              <w:rPr>
                <w:sz w:val="22"/>
                <w:szCs w:val="22"/>
              </w:rPr>
            </w:pPr>
            <w:proofErr w:type="spellStart"/>
            <w:r>
              <w:rPr>
                <w:i/>
                <w:sz w:val="22"/>
                <w:szCs w:val="22"/>
              </w:rPr>
              <w:t>ToDo</w:t>
            </w:r>
            <w:proofErr w:type="spellEnd"/>
            <w:r>
              <w:rPr>
                <w:sz w:val="22"/>
                <w:szCs w:val="22"/>
              </w:rPr>
              <w:t xml:space="preserve">: Joachim Mehlitz erstellt mit FG 32, FG36 und Abt. 1 einen Bericht, dass ein positiver Antigennachweis in Einrichtungen aus Sicht des RKI einen Verdachtsfall begründet und dass, falls das BMG diese Auffassung nicht teilt, eine dringende Anpassung des IfSG empfohlen wird. </w:t>
            </w:r>
          </w:p>
          <w:p>
            <w:pPr>
              <w:rPr>
                <w:sz w:val="22"/>
                <w:szCs w:val="22"/>
              </w:rPr>
            </w:pPr>
          </w:p>
        </w:tc>
        <w:tc>
          <w:tcPr>
            <w:tcW w:w="1644" w:type="dxa"/>
          </w:tcPr>
          <w:p>
            <w:pPr>
              <w:rPr>
                <w:sz w:val="22"/>
                <w:szCs w:val="22"/>
              </w:rPr>
            </w:pPr>
          </w:p>
          <w:p>
            <w:pPr>
              <w:rPr>
                <w:sz w:val="22"/>
                <w:szCs w:val="22"/>
              </w:rPr>
            </w:pPr>
            <w:r>
              <w:rPr>
                <w:sz w:val="22"/>
                <w:szCs w:val="22"/>
              </w:rPr>
              <w:b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 L1 / alle</w:t>
            </w:r>
          </w:p>
        </w:tc>
      </w:tr>
      <w:tr>
        <w:tc>
          <w:tcPr>
            <w:tcW w:w="684" w:type="dxa"/>
          </w:tcPr>
          <w:p>
            <w:r>
              <w:lastRenderedPageBreak/>
              <w:t>13</w:t>
            </w:r>
          </w:p>
        </w:tc>
        <w:tc>
          <w:tcPr>
            <w:tcW w:w="7533" w:type="dxa"/>
          </w:tcPr>
          <w:p>
            <w:pPr>
              <w:rPr>
                <w:b/>
              </w:rPr>
            </w:pPr>
            <w:r>
              <w:rPr>
                <w:b/>
              </w:rPr>
              <w:t xml:space="preserve">Transport und Grenzübergangsstellen </w:t>
            </w:r>
            <w:r>
              <w:rPr>
                <w:b/>
                <w:color w:val="FF0000"/>
              </w:rPr>
              <w:t>(nur freitags)</w:t>
            </w:r>
          </w:p>
          <w:p>
            <w:pPr>
              <w:pStyle w:val="Listenabsatz"/>
              <w:numPr>
                <w:ilvl w:val="0"/>
                <w:numId w:val="5"/>
              </w:numPr>
            </w:pPr>
            <w:r>
              <w:rPr>
                <w:sz w:val="22"/>
                <w:szCs w:val="22"/>
              </w:rPr>
              <w:t>Nicht besprochen.</w:t>
            </w:r>
          </w:p>
        </w:tc>
        <w:tc>
          <w:tcPr>
            <w:tcW w:w="1644" w:type="dxa"/>
          </w:tcPr>
          <w:p/>
        </w:tc>
      </w:tr>
      <w:tr>
        <w:tc>
          <w:tcPr>
            <w:tcW w:w="684" w:type="dxa"/>
          </w:tcPr>
          <w:p>
            <w:r>
              <w:t>14</w:t>
            </w:r>
          </w:p>
        </w:tc>
        <w:tc>
          <w:tcPr>
            <w:tcW w:w="7533" w:type="dxa"/>
          </w:tcPr>
          <w:p>
            <w:pPr>
              <w:rPr>
                <w:b/>
              </w:rPr>
            </w:pPr>
            <w:r>
              <w:rPr>
                <w:b/>
              </w:rPr>
              <w:t xml:space="preserve">Information aus dem Lagezentrum </w:t>
            </w:r>
            <w:r>
              <w:rPr>
                <w:b/>
                <w:color w:val="FF0000"/>
              </w:rPr>
              <w:t>(nur freitags)</w:t>
            </w:r>
          </w:p>
          <w:p>
            <w:pPr>
              <w:pStyle w:val="Listenabsatz"/>
              <w:numPr>
                <w:ilvl w:val="0"/>
                <w:numId w:val="5"/>
              </w:numPr>
              <w:rPr>
                <w:sz w:val="22"/>
                <w:szCs w:val="22"/>
              </w:rPr>
            </w:pPr>
            <w:r>
              <w:rPr>
                <w:sz w:val="22"/>
                <w:szCs w:val="22"/>
              </w:rPr>
              <w:t>Nicht besprochen.</w:t>
            </w:r>
          </w:p>
        </w:tc>
        <w:tc>
          <w:tcPr>
            <w:tcW w:w="1644" w:type="dxa"/>
          </w:tcPr>
          <w:p/>
        </w:tc>
      </w:tr>
      <w:tr>
        <w:tc>
          <w:tcPr>
            <w:tcW w:w="684" w:type="dxa"/>
          </w:tcPr>
          <w:p>
            <w:r>
              <w:t>15</w:t>
            </w:r>
          </w:p>
        </w:tc>
        <w:tc>
          <w:tcPr>
            <w:tcW w:w="7533" w:type="dxa"/>
          </w:tcPr>
          <w:p>
            <w:pPr>
              <w:rPr>
                <w:b/>
              </w:rPr>
            </w:pPr>
            <w:r>
              <w:rPr>
                <w:b/>
              </w:rPr>
              <w:t>Wichtige Termine</w:t>
            </w:r>
          </w:p>
          <w:p>
            <w:pPr>
              <w:pStyle w:val="Listenabsatz"/>
              <w:numPr>
                <w:ilvl w:val="0"/>
                <w:numId w:val="5"/>
              </w:numPr>
              <w:rPr>
                <w:b/>
              </w:rPr>
            </w:pPr>
            <w:r>
              <w:rPr>
                <w:sz w:val="22"/>
                <w:szCs w:val="22"/>
              </w:rPr>
              <w:t>Nicht besprochen.</w:t>
            </w:r>
          </w:p>
        </w:tc>
        <w:tc>
          <w:tcPr>
            <w:tcW w:w="1644" w:type="dxa"/>
          </w:tcPr>
          <w:p/>
        </w:tc>
      </w:tr>
      <w:tr>
        <w:tc>
          <w:tcPr>
            <w:tcW w:w="684" w:type="dxa"/>
          </w:tcPr>
          <w:p>
            <w:r>
              <w:t>16</w:t>
            </w:r>
          </w:p>
        </w:tc>
        <w:tc>
          <w:tcPr>
            <w:tcW w:w="7533" w:type="dxa"/>
          </w:tcPr>
          <w:p>
            <w:pPr>
              <w:rPr>
                <w:b/>
              </w:rPr>
            </w:pPr>
            <w:r>
              <w:rPr>
                <w:b/>
              </w:rPr>
              <w:t>Andere Themen</w:t>
            </w:r>
          </w:p>
          <w:p>
            <w:pPr>
              <w:pStyle w:val="Listenabsatz"/>
              <w:numPr>
                <w:ilvl w:val="0"/>
                <w:numId w:val="5"/>
              </w:numPr>
              <w:rPr>
                <w:b/>
                <w:sz w:val="22"/>
                <w:szCs w:val="22"/>
              </w:rPr>
            </w:pPr>
            <w:r>
              <w:rPr>
                <w:sz w:val="22"/>
                <w:szCs w:val="22"/>
              </w:rPr>
              <w:t>Nächste Sitzung: Mittwoch 16.12.2020, 11:00 Uhr</w:t>
            </w:r>
          </w:p>
        </w:tc>
        <w:tc>
          <w:tcPr>
            <w:tcW w:w="1644" w:type="dxa"/>
          </w:tcPr>
          <w:p/>
        </w:tc>
      </w:tr>
    </w:tbl>
    <w:p>
      <w:pPr>
        <w:spacing w:after="240" w:line="360" w:lineRule="auto"/>
      </w:pPr>
    </w:p>
    <w:sectPr>
      <w:type w:val="continuous"/>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color w:val="1F497D" w:themeColor="text2"/>
      </w:rPr>
      <w:tab/>
    </w: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E71CB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B51EBF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D26218"/>
    <w:multiLevelType w:val="hybridMultilevel"/>
    <w:tmpl w:val="FB6017E6"/>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07BD7"/>
    <w:multiLevelType w:val="hybridMultilevel"/>
    <w:tmpl w:val="925C5EA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3">
      <w:start w:val="1"/>
      <w:numFmt w:val="bullet"/>
      <w:lvlText w:val="o"/>
      <w:lvlJc w:val="left"/>
      <w:pPr>
        <w:ind w:left="1800" w:hanging="360"/>
      </w:pPr>
      <w:rPr>
        <w:rFonts w:ascii="Courier New" w:hAnsi="Courier New" w:cs="Courier New"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C71E36"/>
    <w:multiLevelType w:val="hybridMultilevel"/>
    <w:tmpl w:val="5E2E70A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397807"/>
    <w:multiLevelType w:val="hybridMultilevel"/>
    <w:tmpl w:val="13DE7F2E"/>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E55E17"/>
    <w:multiLevelType w:val="hybridMultilevel"/>
    <w:tmpl w:val="D1DED270"/>
    <w:lvl w:ilvl="0" w:tplc="04070003">
      <w:start w:val="1"/>
      <w:numFmt w:val="bullet"/>
      <w:lvlText w:val="o"/>
      <w:lvlJc w:val="left"/>
      <w:pPr>
        <w:ind w:left="813" w:hanging="360"/>
      </w:pPr>
      <w:rPr>
        <w:rFonts w:ascii="Courier New" w:hAnsi="Courier New" w:cs="Courier New" w:hint="default"/>
      </w:rPr>
    </w:lvl>
    <w:lvl w:ilvl="1" w:tplc="04070003">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11" w15:restartNumberingAfterBreak="0">
    <w:nsid w:val="396D4995"/>
    <w:multiLevelType w:val="hybridMultilevel"/>
    <w:tmpl w:val="542C82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240B22"/>
    <w:multiLevelType w:val="hybridMultilevel"/>
    <w:tmpl w:val="DB8AC60E"/>
    <w:lvl w:ilvl="0" w:tplc="04070001">
      <w:start w:val="1"/>
      <w:numFmt w:val="bullet"/>
      <w:lvlText w:val=""/>
      <w:lvlJc w:val="left"/>
      <w:pPr>
        <w:ind w:left="1080" w:hanging="360"/>
      </w:pPr>
      <w:rPr>
        <w:rFonts w:ascii="Symbol" w:hAnsi="Symbol" w:hint="default"/>
        <w:color w:val="auto"/>
      </w:rPr>
    </w:lvl>
    <w:lvl w:ilvl="1" w:tplc="9FB46534">
      <w:start w:val="1"/>
      <w:numFmt w:val="bullet"/>
      <w:lvlText w:val="o"/>
      <w:lvlJc w:val="left"/>
      <w:pPr>
        <w:ind w:left="1800" w:hanging="360"/>
      </w:pPr>
      <w:rPr>
        <w:rFonts w:ascii="Courier New" w:hAnsi="Courier New" w:cs="Courier New" w:hint="default"/>
        <w:color w:val="auto"/>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5" w15:restartNumberingAfterBreak="0">
    <w:nsid w:val="45F21567"/>
    <w:multiLevelType w:val="hybridMultilevel"/>
    <w:tmpl w:val="8A3812F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0C26D5"/>
    <w:multiLevelType w:val="hybridMultilevel"/>
    <w:tmpl w:val="E8E406AA"/>
    <w:lvl w:ilvl="0" w:tplc="04070003">
      <w:start w:val="1"/>
      <w:numFmt w:val="bullet"/>
      <w:lvlText w:val="o"/>
      <w:lvlJc w:val="left"/>
      <w:pPr>
        <w:ind w:left="813" w:hanging="360"/>
      </w:pPr>
      <w:rPr>
        <w:rFonts w:ascii="Courier New" w:hAnsi="Courier New" w:cs="Courier New" w:hint="default"/>
      </w:rPr>
    </w:lvl>
    <w:lvl w:ilvl="1" w:tplc="04070003">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19"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470F01"/>
    <w:multiLevelType w:val="hybridMultilevel"/>
    <w:tmpl w:val="A3FC7A6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57C14BC3"/>
    <w:multiLevelType w:val="hybridMultilevel"/>
    <w:tmpl w:val="9DF41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AC0447"/>
    <w:multiLevelType w:val="hybridMultilevel"/>
    <w:tmpl w:val="81F8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2A190E"/>
    <w:multiLevelType w:val="hybridMultilevel"/>
    <w:tmpl w:val="A4CCCD3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07176"/>
    <w:multiLevelType w:val="hybridMultilevel"/>
    <w:tmpl w:val="201056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28"/>
  </w:num>
  <w:num w:numId="3">
    <w:abstractNumId w:val="27"/>
  </w:num>
  <w:num w:numId="4">
    <w:abstractNumId w:val="13"/>
  </w:num>
  <w:num w:numId="5">
    <w:abstractNumId w:val="15"/>
  </w:num>
  <w:num w:numId="6">
    <w:abstractNumId w:val="5"/>
  </w:num>
  <w:num w:numId="7">
    <w:abstractNumId w:val="20"/>
  </w:num>
  <w:num w:numId="8">
    <w:abstractNumId w:val="12"/>
  </w:num>
  <w:num w:numId="9">
    <w:abstractNumId w:val="19"/>
  </w:num>
  <w:num w:numId="10">
    <w:abstractNumId w:val="21"/>
  </w:num>
  <w:num w:numId="11">
    <w:abstractNumId w:val="29"/>
  </w:num>
  <w:num w:numId="12">
    <w:abstractNumId w:val="25"/>
  </w:num>
  <w:num w:numId="13">
    <w:abstractNumId w:val="7"/>
  </w:num>
  <w:num w:numId="14">
    <w:abstractNumId w:val="22"/>
  </w:num>
  <w:num w:numId="15">
    <w:abstractNumId w:val="9"/>
  </w:num>
  <w:num w:numId="16">
    <w:abstractNumId w:val="16"/>
  </w:num>
  <w:num w:numId="17">
    <w:abstractNumId w:val="1"/>
  </w:num>
  <w:num w:numId="18">
    <w:abstractNumId w:val="0"/>
  </w:num>
  <w:num w:numId="19">
    <w:abstractNumId w:val="17"/>
  </w:num>
  <w:num w:numId="20">
    <w:abstractNumId w:val="8"/>
  </w:num>
  <w:num w:numId="21">
    <w:abstractNumId w:val="14"/>
  </w:num>
  <w:num w:numId="22">
    <w:abstractNumId w:val="24"/>
  </w:num>
  <w:num w:numId="23">
    <w:abstractNumId w:val="26"/>
  </w:num>
  <w:num w:numId="24">
    <w:abstractNumId w:val="18"/>
  </w:num>
  <w:num w:numId="25">
    <w:abstractNumId w:val="10"/>
  </w:num>
  <w:num w:numId="26">
    <w:abstractNumId w:val="2"/>
  </w:num>
  <w:num w:numId="27">
    <w:abstractNumId w:val="4"/>
  </w:num>
  <w:num w:numId="28">
    <w:abstractNumId w:val="6"/>
  </w:num>
  <w:num w:numId="29">
    <w:abstractNumId w:val="1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8FB24-A8A5-4E66-95EA-71EF59CA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NurText">
    <w:name w:val="Plain Text"/>
    <w:basedOn w:val="Standard"/>
    <w:link w:val="NurTextZchn"/>
    <w:uiPriority w:val="99"/>
    <w:semiHidden/>
    <w:unhideWhenUsed/>
    <w:pPr>
      <w:spacing w:after="0"/>
    </w:pPr>
    <w:rPr>
      <w:rFonts w:ascii="Calibri" w:hAnsi="Calibri"/>
      <w:sz w:val="22"/>
      <w:szCs w:val="21"/>
    </w:rPr>
  </w:style>
  <w:style w:type="character" w:customStyle="1" w:styleId="NurTextZchn">
    <w:name w:val="Nur Text Zchn"/>
    <w:basedOn w:val="Absatz-Standardschriftart"/>
    <w:link w:val="NurText"/>
    <w:uiPriority w:val="99"/>
    <w:semiHidden/>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260995228">
      <w:bodyDiv w:val="1"/>
      <w:marLeft w:val="0"/>
      <w:marRight w:val="0"/>
      <w:marTop w:val="0"/>
      <w:marBottom w:val="0"/>
      <w:divBdr>
        <w:top w:val="none" w:sz="0" w:space="0" w:color="auto"/>
        <w:left w:val="none" w:sz="0" w:space="0" w:color="auto"/>
        <w:bottom w:val="none" w:sz="0" w:space="0" w:color="auto"/>
        <w:right w:val="none" w:sz="0" w:space="0" w:color="auto"/>
      </w:divBdr>
    </w:div>
    <w:div w:id="298219863">
      <w:bodyDiv w:val="1"/>
      <w:marLeft w:val="0"/>
      <w:marRight w:val="0"/>
      <w:marTop w:val="0"/>
      <w:marBottom w:val="0"/>
      <w:divBdr>
        <w:top w:val="none" w:sz="0" w:space="0" w:color="auto"/>
        <w:left w:val="none" w:sz="0" w:space="0" w:color="auto"/>
        <w:bottom w:val="none" w:sz="0" w:space="0" w:color="auto"/>
        <w:right w:val="none" w:sz="0" w:space="0" w:color="auto"/>
      </w:divBdr>
    </w:div>
    <w:div w:id="400636783">
      <w:bodyDiv w:val="1"/>
      <w:marLeft w:val="0"/>
      <w:marRight w:val="0"/>
      <w:marTop w:val="0"/>
      <w:marBottom w:val="0"/>
      <w:divBdr>
        <w:top w:val="none" w:sz="0" w:space="0" w:color="auto"/>
        <w:left w:val="none" w:sz="0" w:space="0" w:color="auto"/>
        <w:bottom w:val="none" w:sz="0" w:space="0" w:color="auto"/>
        <w:right w:val="none" w:sz="0" w:space="0" w:color="auto"/>
      </w:divBdr>
    </w:div>
    <w:div w:id="1167474616">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934315605">
      <w:bodyDiv w:val="1"/>
      <w:marLeft w:val="0"/>
      <w:marRight w:val="0"/>
      <w:marTop w:val="0"/>
      <w:marBottom w:val="0"/>
      <w:divBdr>
        <w:top w:val="none" w:sz="0" w:space="0" w:color="auto"/>
        <w:left w:val="none" w:sz="0" w:space="0" w:color="auto"/>
        <w:bottom w:val="none" w:sz="0" w:space="0" w:color="auto"/>
        <w:right w:val="none" w:sz="0" w:space="0" w:color="auto"/>
      </w:divBdr>
    </w:div>
    <w:div w:id="2006664247">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rki.local\daten\Wissdaten\RKI_nCoV-Lage\1.Lagemanagement\1.3.Besprechungen_TKs\1.Lage_AG\2020-12-14_Lage_AG\CoronaKita_Krisenstab_2020-12-14.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nfektionsschutz.de/coronavirus/alltag-in-zeiten-von-corona/mein-corona-kontakttagebuch.html" TargetMode="External"/><Relationship Id="rId2" Type="http://schemas.openxmlformats.org/officeDocument/2006/relationships/numbering" Target="numbering.xml"/><Relationship Id="rId16" Type="http://schemas.openxmlformats.org/officeDocument/2006/relationships/hyperlink" Target="file:///\\rki.local\daten\Wissdaten\RKI_nCoV-Lage\1.Lagemanagement\1.3.Besprechungen_TKs\1.Lage_AG\2020-12-14_Lage_AG\Vorschlag_Panel_Monitoring_14122020.pptx" TargetMode="External"/><Relationship Id="rId20" Type="http://schemas.openxmlformats.org/officeDocument/2006/relationships/hyperlink" Target="file:///\\rki.local\daten\Wissdaten\RKI_nCoV-Lage\1.Lagemanagement\1.3.Besprechungen_TKs\1.Lage_AG\2020-12-14_Lage_AG\CoronaKita_Krisenstab_2020-12-14.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0-12-14_Lage_AG\Lage-National_2020_12_14.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2.Themen\2.1.Epidemiologie\Daten_Graphen_Sammlu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0-12-14_Lage_AG\COVID-19_Internationale_Lage_2020-12-14.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FB0C666C5B410EB08D86A001776D4F"/>
        <w:category>
          <w:name w:val="Allgemein"/>
          <w:gallery w:val="placeholder"/>
        </w:category>
        <w:types>
          <w:type w:val="bbPlcHdr"/>
        </w:types>
        <w:behaviors>
          <w:behavior w:val="content"/>
        </w:behaviors>
        <w:guid w:val="{D145C8D8-84AF-4C3C-A773-26EFEC5C83D4}"/>
      </w:docPartPr>
      <w:docPartBody>
        <w:p>
          <w:pPr>
            <w:pStyle w:val="FEFB0C666C5B410EB08D86A001776D4F"/>
          </w:pPr>
          <w:r>
            <w:rPr>
              <w:rStyle w:val="Platzhaltertext"/>
            </w:rPr>
            <w:t>Klicken Sie hier, um Text einzugeben.</w:t>
          </w:r>
        </w:p>
      </w:docPartBody>
    </w:docPart>
    <w:docPart>
      <w:docPartPr>
        <w:name w:val="B7C498C2CAEF44BCBAEAA7AAEF36A80B"/>
        <w:category>
          <w:name w:val="Allgemein"/>
          <w:gallery w:val="placeholder"/>
        </w:category>
        <w:types>
          <w:type w:val="bbPlcHdr"/>
        </w:types>
        <w:behaviors>
          <w:behavior w:val="content"/>
        </w:behaviors>
        <w:guid w:val="{3AF7E637-5614-4018-AD6B-8C9029D25EEA}"/>
      </w:docPartPr>
      <w:docPartBody>
        <w:p>
          <w:pPr>
            <w:pStyle w:val="B7C498C2CAEF44BCBAEAA7AAEF36A80B"/>
          </w:pPr>
          <w:r>
            <w:rPr>
              <w:rStyle w:val="Platzhaltertext"/>
            </w:rPr>
            <w:t>Klicken Sie hier, um Text einzugeben.</w:t>
          </w:r>
        </w:p>
      </w:docPartBody>
    </w:docPart>
    <w:docPart>
      <w:docPartPr>
        <w:name w:val="D712AF289A574C42AD07CFC8EAF53E55"/>
        <w:category>
          <w:name w:val="Allgemein"/>
          <w:gallery w:val="placeholder"/>
        </w:category>
        <w:types>
          <w:type w:val="bbPlcHdr"/>
        </w:types>
        <w:behaviors>
          <w:behavior w:val="content"/>
        </w:behaviors>
        <w:guid w:val="{B4C584E6-12E9-41E6-A679-B572B781285A}"/>
      </w:docPartPr>
      <w:docPartBody>
        <w:p>
          <w:pPr>
            <w:pStyle w:val="D712AF289A574C42AD07CFC8EAF53E55"/>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EFB0C666C5B410EB08D86A001776D4F">
    <w:name w:val="FEFB0C666C5B410EB08D86A001776D4F"/>
    <w:pPr>
      <w:spacing w:after="160" w:line="259" w:lineRule="auto"/>
    </w:pPr>
  </w:style>
  <w:style w:type="paragraph" w:customStyle="1" w:styleId="B7C498C2CAEF44BCBAEAA7AAEF36A80B">
    <w:name w:val="B7C498C2CAEF44BCBAEAA7AAEF36A80B"/>
    <w:pPr>
      <w:spacing w:after="160" w:line="259" w:lineRule="auto"/>
    </w:pPr>
  </w:style>
  <w:style w:type="paragraph" w:customStyle="1" w:styleId="D712AF289A574C42AD07CFC8EAF53E55">
    <w:name w:val="D712AF289A574C42AD07CFC8EAF53E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951EA-C88D-4A8B-8977-D14F1CB7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2507</Words>
  <Characters>15797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132</cp:revision>
  <cp:lastPrinted>2020-03-13T12:00:00Z</cp:lastPrinted>
  <dcterms:created xsi:type="dcterms:W3CDTF">2020-12-11T09:04:00Z</dcterms:created>
  <dcterms:modified xsi:type="dcterms:W3CDTF">2021-05-10T14:34:00Z</dcterms:modified>
</cp:coreProperties>
</file>