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03.03.2020,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proofErr w:type="gramStart"/>
      <w:r>
        <w:rPr>
          <w:sz w:val="22"/>
        </w:rPr>
        <w:t>BZGA :</w:t>
      </w:r>
      <w:proofErr w:type="gramEnd"/>
      <w:r>
        <w:rPr>
          <w:sz w:val="22"/>
        </w:rPr>
        <w:t xml:space="preserve"> Herr Ommen (per Telefon)</w:t>
      </w:r>
    </w:p>
    <w:p>
      <w:pPr>
        <w:pStyle w:val="Listenabsatz"/>
        <w:numPr>
          <w:ilvl w:val="0"/>
          <w:numId w:val="2"/>
        </w:numPr>
        <w:spacing w:after="0"/>
        <w:contextualSpacing w:val="0"/>
        <w:rPr>
          <w:sz w:val="22"/>
        </w:rPr>
      </w:pPr>
      <w:r>
        <w:rPr>
          <w:sz w:val="22"/>
        </w:rPr>
        <w:t xml:space="preserve">Bundeswehr: Herr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90.910 (+1.842) Fälle, davon 3.123 (3,4%) Todesfälle (+74)</w:t>
            </w:r>
          </w:p>
          <w:p>
            <w:pPr>
              <w:pStyle w:val="Listenabsatz"/>
              <w:numPr>
                <w:ilvl w:val="1"/>
                <w:numId w:val="7"/>
              </w:numPr>
              <w:rPr>
                <w:sz w:val="22"/>
                <w:szCs w:val="22"/>
              </w:rPr>
            </w:pPr>
            <w:r>
              <w:rPr>
                <w:sz w:val="22"/>
                <w:szCs w:val="22"/>
              </w:rPr>
              <w:t xml:space="preserve">China (inkl. Hongkong, Taiwan und Macau) 80.285 (+115) Fälle, davon </w:t>
            </w:r>
            <w:proofErr w:type="gramStart"/>
            <w:r>
              <w:rPr>
                <w:sz w:val="22"/>
                <w:szCs w:val="22"/>
              </w:rPr>
              <w:t>2.946  (</w:t>
            </w:r>
            <w:proofErr w:type="gramEnd"/>
            <w:r>
              <w:rPr>
                <w:sz w:val="22"/>
                <w:szCs w:val="22"/>
              </w:rPr>
              <w:t>3,7%) Todesfälle (+31), 6.790 schwere Krankheitsverläufe</w:t>
            </w:r>
          </w:p>
          <w:p>
            <w:pPr>
              <w:pStyle w:val="Listenabsatz"/>
              <w:numPr>
                <w:ilvl w:val="1"/>
                <w:numId w:val="7"/>
              </w:numPr>
              <w:rPr>
                <w:sz w:val="22"/>
                <w:szCs w:val="22"/>
              </w:rPr>
            </w:pPr>
            <w:r>
              <w:rPr>
                <w:sz w:val="22"/>
                <w:szCs w:val="22"/>
              </w:rPr>
              <w:t xml:space="preserve">Provinz Hubei 67.217 (+114) Fälle, davon 2.834 (4,2%) Todesfälle (+31), 6.593 schwere Krankheitsverläufe </w:t>
            </w:r>
          </w:p>
          <w:p>
            <w:pPr>
              <w:pStyle w:val="Listenabsatz"/>
              <w:numPr>
                <w:ilvl w:val="1"/>
                <w:numId w:val="7"/>
              </w:numPr>
              <w:rPr>
                <w:sz w:val="22"/>
                <w:szCs w:val="22"/>
              </w:rPr>
            </w:pPr>
            <w:r>
              <w:rPr>
                <w:sz w:val="22"/>
                <w:szCs w:val="22"/>
              </w:rPr>
              <w:t xml:space="preserve">International 72 Länder mit 10.625 (+1.727) Fällen, </w:t>
            </w:r>
          </w:p>
          <w:p>
            <w:pPr>
              <w:pStyle w:val="Listenabsatz"/>
              <w:numPr>
                <w:ilvl w:val="2"/>
                <w:numId w:val="7"/>
              </w:numPr>
              <w:rPr>
                <w:sz w:val="22"/>
                <w:szCs w:val="22"/>
              </w:rPr>
            </w:pPr>
            <w:r>
              <w:rPr>
                <w:sz w:val="22"/>
                <w:szCs w:val="22"/>
              </w:rPr>
              <w:t>Neue Fälle in: Algerien (2), Andorra (1), Australien (2), Bahrain (2), Belgien (6), Deutschland (35), Finnland (1), Frankreich (61), Indien (2), Irak (7), Iran (523), Island (6), Israel(2), Italien (342), Japan (18), Jordanien (1), Kanada (3), Katar (4), Kroatien (1), Kuweit (10), Lettland(1), Libanon (3), Marokko (1), MS Diamond Princess (1), Niederlande (8), Norwegen (6), Österreich (4), Pakistan (1), Portugal (2), Russland (1), Saudi-Arabien (1), Schweden (1), Schweiz (6), Senegal (1), Singapur (2), Spanien (36), Südkorea (600), Tschechische Republik (1), Tunesien (1), USA (16), Vereinigtes Königreich (4)</w:t>
            </w:r>
          </w:p>
          <w:p>
            <w:pPr>
              <w:pStyle w:val="Listenabsatz"/>
              <w:numPr>
                <w:ilvl w:val="1"/>
                <w:numId w:val="7"/>
              </w:numPr>
              <w:rPr>
                <w:sz w:val="22"/>
                <w:szCs w:val="22"/>
              </w:rPr>
            </w:pPr>
            <w:r>
              <w:rPr>
                <w:sz w:val="22"/>
                <w:szCs w:val="22"/>
              </w:rPr>
              <w:t>International 177 (1,7%) Todesfälle: Australien (1), Kreuzfahrtschiff (6), Frankreich (3), Iran (66), Italien (52), Japan (6), Philippinen (1), San Marino (1), Südkorea (34), Thailand (1), USA (6)</w:t>
            </w:r>
          </w:p>
          <w:p>
            <w:pPr>
              <w:pStyle w:val="Listenabsatz"/>
              <w:numPr>
                <w:ilvl w:val="1"/>
                <w:numId w:val="7"/>
              </w:numPr>
              <w:rPr>
                <w:sz w:val="22"/>
                <w:szCs w:val="22"/>
              </w:rPr>
            </w:pPr>
            <w:r>
              <w:rPr>
                <w:sz w:val="22"/>
                <w:szCs w:val="22"/>
              </w:rPr>
              <w:t xml:space="preserve">Mind. 277 schwere Krankheitsverläufe </w:t>
            </w:r>
          </w:p>
          <w:p>
            <w:pPr>
              <w:pStyle w:val="Listenabsatz"/>
              <w:numPr>
                <w:ilvl w:val="1"/>
                <w:numId w:val="7"/>
              </w:numPr>
              <w:rPr>
                <w:sz w:val="22"/>
                <w:szCs w:val="22"/>
              </w:rPr>
            </w:pPr>
            <w:r>
              <w:rPr>
                <w:sz w:val="22"/>
                <w:szCs w:val="22"/>
              </w:rPr>
              <w:t>Europa (WHO Region) 2.749 Fälle (+525), davon 56 (2,0%) Todesfälle (+19), 157 schwere Krankheitsverläufe</w:t>
            </w:r>
          </w:p>
          <w:p>
            <w:pPr>
              <w:pStyle w:val="Listenabsatz"/>
              <w:numPr>
                <w:ilvl w:val="0"/>
                <w:numId w:val="7"/>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7"/>
              </w:numPr>
              <w:rPr>
                <w:sz w:val="22"/>
                <w:szCs w:val="22"/>
              </w:rPr>
            </w:pPr>
            <w:r>
              <w:rPr>
                <w:sz w:val="22"/>
                <w:szCs w:val="22"/>
              </w:rPr>
              <w:t xml:space="preserve">China: nur 1 Fall außerhalb Region Hubei </w:t>
            </w:r>
          </w:p>
          <w:p>
            <w:pPr>
              <w:pStyle w:val="Listenabsatz"/>
              <w:numPr>
                <w:ilvl w:val="1"/>
                <w:numId w:val="7"/>
              </w:numPr>
              <w:rPr>
                <w:sz w:val="22"/>
                <w:szCs w:val="22"/>
              </w:rPr>
            </w:pPr>
            <w:r>
              <w:rPr>
                <w:sz w:val="22"/>
                <w:szCs w:val="22"/>
              </w:rPr>
              <w:t>Südkorea: 600 neue Fälle, höchste Krisenalarmstufe ausgerufen</w:t>
            </w:r>
          </w:p>
          <w:p>
            <w:pPr>
              <w:pStyle w:val="Listenabsatz"/>
              <w:numPr>
                <w:ilvl w:val="1"/>
                <w:numId w:val="7"/>
              </w:numPr>
              <w:rPr>
                <w:sz w:val="22"/>
                <w:szCs w:val="22"/>
              </w:rPr>
            </w:pPr>
            <w:r>
              <w:rPr>
                <w:sz w:val="22"/>
                <w:szCs w:val="22"/>
              </w:rPr>
              <w:t>Italien: neue Fälle in Lombardei, Venetien, Emilia-Romagna, importierte Fälle in 37 Ländern, keine neuen Maßnahmen</w:t>
            </w:r>
          </w:p>
          <w:p>
            <w:pPr>
              <w:pStyle w:val="Listenabsatz"/>
              <w:numPr>
                <w:ilvl w:val="1"/>
                <w:numId w:val="7"/>
              </w:numPr>
              <w:rPr>
                <w:sz w:val="22"/>
                <w:szCs w:val="22"/>
              </w:rPr>
            </w:pPr>
            <w:r>
              <w:rPr>
                <w:sz w:val="22"/>
                <w:szCs w:val="22"/>
              </w:rPr>
              <w:t>Japan: 18 neue Fälle, dreiwöchiger Ausnahmezustand auf Insel Hokkaido ausgerufen</w:t>
            </w:r>
          </w:p>
          <w:p>
            <w:pPr>
              <w:pStyle w:val="StandardWeb"/>
              <w:numPr>
                <w:ilvl w:val="1"/>
                <w:numId w:val="7"/>
              </w:numPr>
              <w:spacing w:after="120" w:afterAutospacing="0"/>
              <w:ind w:left="1434" w:hanging="357"/>
              <w:rPr>
                <w:rFonts w:asciiTheme="minorHAnsi" w:eastAsiaTheme="minorHAnsi" w:hAnsiTheme="minorHAnsi" w:cstheme="minorBidi"/>
                <w:i/>
                <w:sz w:val="22"/>
                <w:szCs w:val="22"/>
                <w:lang w:eastAsia="en-US"/>
              </w:rPr>
            </w:pPr>
            <w:r>
              <w:rPr>
                <w:rFonts w:asciiTheme="minorHAnsi" w:eastAsiaTheme="minorHAnsi" w:hAnsiTheme="minorHAnsi" w:cstheme="minorBidi"/>
                <w:sz w:val="22"/>
                <w:szCs w:val="22"/>
                <w:lang w:eastAsia="en-US"/>
              </w:rPr>
              <w:t xml:space="preserve">USA: 103 Fälle alle in Washington, davon 6 Todesfälle, Sterberate 5,8%. Wegen identischer Gensequenz eines Falls vom 21.01 und eines Falls vom 28.02. wird angenommen, dass eine Übertragung im Bundesstaat </w:t>
            </w:r>
            <w:r>
              <w:rPr>
                <w:rFonts w:asciiTheme="minorHAnsi" w:eastAsiaTheme="minorHAnsi" w:hAnsiTheme="minorHAnsi" w:cstheme="minorBidi"/>
                <w:sz w:val="22"/>
                <w:szCs w:val="22"/>
                <w:lang w:eastAsia="en-US"/>
              </w:rPr>
              <w:lastRenderedPageBreak/>
              <w:t>Washington in den letzten 6 Wochen stattgefunden hat, was zu einigen hundert Fällen hätte führen können. Mit einem Anstieg der Fallzahlen wird gerechnet. CDC spricht von „</w:t>
            </w:r>
            <w:proofErr w:type="spellStart"/>
            <w:r>
              <w:rPr>
                <w:rFonts w:asciiTheme="minorHAnsi" w:eastAsiaTheme="minorHAnsi" w:hAnsiTheme="minorHAnsi" w:cstheme="minorBidi"/>
                <w:sz w:val="22"/>
                <w:szCs w:val="22"/>
                <w:lang w:eastAsia="en-US"/>
              </w:rPr>
              <w:t>community</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spread</w:t>
            </w:r>
            <w:proofErr w:type="spellEnd"/>
            <w:r>
              <w:rPr>
                <w:rFonts w:asciiTheme="minorHAnsi" w:eastAsiaTheme="minorHAnsi" w:hAnsiTheme="minorHAnsi" w:cstheme="minorBidi"/>
                <w:sz w:val="22"/>
                <w:szCs w:val="22"/>
                <w:lang w:eastAsia="en-US"/>
              </w:rPr>
              <w:t>“.</w:t>
            </w:r>
          </w:p>
          <w:p>
            <w:pPr>
              <w:spacing w:after="120"/>
              <w:rPr>
                <w:i/>
                <w:sz w:val="22"/>
                <w:szCs w:val="22"/>
              </w:rPr>
            </w:pPr>
            <w:proofErr w:type="spellStart"/>
            <w:r>
              <w:rPr>
                <w:i/>
                <w:sz w:val="22"/>
                <w:szCs w:val="22"/>
              </w:rPr>
              <w:t>To</w:t>
            </w:r>
            <w:proofErr w:type="spellEnd"/>
            <w:r>
              <w:rPr>
                <w:i/>
                <w:sz w:val="22"/>
                <w:szCs w:val="22"/>
              </w:rPr>
              <w:t xml:space="preserve"> do: W. Haas kontaktiert CDC um zu klären, was unter „</w:t>
            </w:r>
            <w:proofErr w:type="spellStart"/>
            <w:r>
              <w:rPr>
                <w:i/>
                <w:sz w:val="22"/>
                <w:szCs w:val="22"/>
              </w:rPr>
              <w:t>community</w:t>
            </w:r>
            <w:proofErr w:type="spellEnd"/>
            <w:r>
              <w:rPr>
                <w:i/>
                <w:sz w:val="22"/>
                <w:szCs w:val="22"/>
              </w:rPr>
              <w:t xml:space="preserve"> </w:t>
            </w:r>
            <w:proofErr w:type="spellStart"/>
            <w:r>
              <w:rPr>
                <w:i/>
                <w:sz w:val="22"/>
                <w:szCs w:val="22"/>
              </w:rPr>
              <w:t>spread</w:t>
            </w:r>
            <w:proofErr w:type="spellEnd"/>
            <w:r>
              <w:rPr>
                <w:i/>
                <w:sz w:val="22"/>
                <w:szCs w:val="22"/>
              </w:rPr>
              <w:t>“ verstanden wird.</w:t>
            </w:r>
          </w:p>
          <w:p>
            <w:pPr>
              <w:pStyle w:val="Listenabsatz"/>
              <w:numPr>
                <w:ilvl w:val="1"/>
                <w:numId w:val="7"/>
              </w:numPr>
              <w:rPr>
                <w:i/>
                <w:sz w:val="22"/>
                <w:szCs w:val="22"/>
              </w:rPr>
            </w:pPr>
            <w:r>
              <w:rPr>
                <w:sz w:val="22"/>
                <w:szCs w:val="22"/>
              </w:rPr>
              <w:t>Iran: 1.501 (+523) Fälle, die Mehrheit in Teheran; 66 (+12) Todesfälle; Sterberate 4,4%; keine Pläne Gebiete abzuriegeln</w:t>
            </w:r>
          </w:p>
          <w:p>
            <w:pPr>
              <w:pStyle w:val="Listenabsatz"/>
              <w:numPr>
                <w:ilvl w:val="1"/>
                <w:numId w:val="7"/>
              </w:numPr>
              <w:rPr>
                <w:i/>
                <w:sz w:val="22"/>
                <w:szCs w:val="22"/>
              </w:rPr>
            </w:pPr>
            <w:r>
              <w:rPr>
                <w:sz w:val="22"/>
                <w:szCs w:val="22"/>
              </w:rPr>
              <w:t>Ägypten: 3 importierte Fälle aus Ägypten, ägyptische Behörden sind informiert, führen Ermittlungen durch</w:t>
            </w:r>
          </w:p>
          <w:p>
            <w:pPr>
              <w:pStyle w:val="Listenabsatz"/>
              <w:numPr>
                <w:ilvl w:val="1"/>
                <w:numId w:val="7"/>
              </w:numPr>
              <w:rPr>
                <w:sz w:val="22"/>
                <w:szCs w:val="22"/>
              </w:rPr>
            </w:pPr>
            <w:r>
              <w:rPr>
                <w:sz w:val="22"/>
                <w:szCs w:val="22"/>
              </w:rPr>
              <w:t>Australien: alle 33 Fälle sind importiert, generell bisher kaum Fälle auf der Südhalbkugel</w:t>
            </w:r>
          </w:p>
          <w:p>
            <w:pPr>
              <w:rPr>
                <w:b/>
                <w:color w:val="0070C0"/>
                <w:sz w:val="22"/>
                <w:szCs w:val="22"/>
              </w:rPr>
            </w:pPr>
          </w:p>
          <w:p>
            <w:pPr>
              <w:rPr>
                <w:b/>
                <w:sz w:val="22"/>
                <w:szCs w:val="22"/>
              </w:rPr>
            </w:pPr>
            <w:r>
              <w:rPr>
                <w:b/>
                <w:sz w:val="22"/>
                <w:szCs w:val="22"/>
              </w:rPr>
              <w:t xml:space="preserve">National </w:t>
            </w:r>
          </w:p>
          <w:p>
            <w:pPr>
              <w:pStyle w:val="NurText"/>
              <w:numPr>
                <w:ilvl w:val="0"/>
                <w:numId w:val="17"/>
              </w:numPr>
              <w:rPr>
                <w:rFonts w:asciiTheme="minorHAnsi" w:hAnsiTheme="minorHAnsi"/>
                <w:szCs w:val="22"/>
              </w:rPr>
            </w:pPr>
            <w:r>
              <w:rPr>
                <w:rFonts w:asciiTheme="minorHAnsi" w:hAnsiTheme="minorHAnsi"/>
                <w:szCs w:val="22"/>
              </w:rPr>
              <w:t>Fälle: 188  in 13 Bundesländern bestätigt (3 BE, 26 BW, 36 BY, 1 BB, 1 HB, 1 HH, 10 HE, 2 NI, 101 NW, 2 RP, 1 SN, 2 SH, 1 TH)</w:t>
            </w:r>
          </w:p>
          <w:p>
            <w:pPr>
              <w:pStyle w:val="NurText"/>
              <w:numPr>
                <w:ilvl w:val="0"/>
                <w:numId w:val="17"/>
              </w:numPr>
              <w:rPr>
                <w:rFonts w:asciiTheme="minorHAnsi" w:hAnsiTheme="minorHAnsi"/>
                <w:szCs w:val="22"/>
              </w:rPr>
            </w:pPr>
            <w:r>
              <w:rPr>
                <w:rFonts w:asciiTheme="minorHAnsi" w:hAnsiTheme="minorHAnsi"/>
                <w:szCs w:val="22"/>
              </w:rPr>
              <w:t xml:space="preserve">Expositionsorte bzw. Kontakt </w:t>
            </w:r>
            <w:proofErr w:type="gramStart"/>
            <w:r>
              <w:rPr>
                <w:rFonts w:asciiTheme="minorHAnsi" w:hAnsiTheme="minorHAnsi"/>
                <w:szCs w:val="22"/>
              </w:rPr>
              <w:t>zu bestätigten Fall</w:t>
            </w:r>
            <w:proofErr w:type="gramEnd"/>
            <w:r>
              <w:rPr>
                <w:rFonts w:asciiTheme="minorHAnsi" w:hAnsiTheme="minorHAnsi"/>
                <w:szCs w:val="22"/>
              </w:rPr>
              <w:t xml:space="preserve"> für 167 Fälle bekannt (NW-Heinsberg, Italien, Iran, China)</w:t>
            </w:r>
          </w:p>
          <w:p>
            <w:pPr>
              <w:pStyle w:val="NurText"/>
              <w:numPr>
                <w:ilvl w:val="0"/>
                <w:numId w:val="17"/>
              </w:numPr>
              <w:rPr>
                <w:rFonts w:asciiTheme="minorHAnsi" w:hAnsiTheme="minorHAnsi"/>
                <w:szCs w:val="22"/>
              </w:rPr>
            </w:pPr>
            <w:r>
              <w:rPr>
                <w:rFonts w:asciiTheme="minorHAnsi" w:hAnsiTheme="minorHAnsi"/>
                <w:szCs w:val="22"/>
              </w:rPr>
              <w:t xml:space="preserve">Fälle nur teilweise in </w:t>
            </w:r>
            <w:proofErr w:type="spellStart"/>
            <w:r>
              <w:rPr>
                <w:rFonts w:asciiTheme="minorHAnsi" w:hAnsiTheme="minorHAnsi"/>
                <w:szCs w:val="22"/>
              </w:rPr>
              <w:t>SurvNet</w:t>
            </w:r>
            <w:proofErr w:type="spellEnd"/>
          </w:p>
          <w:p>
            <w:pPr>
              <w:pStyle w:val="NurText"/>
              <w:numPr>
                <w:ilvl w:val="0"/>
                <w:numId w:val="17"/>
              </w:numPr>
              <w:rPr>
                <w:rFonts w:asciiTheme="minorHAnsi" w:hAnsiTheme="minorHAnsi"/>
                <w:szCs w:val="22"/>
              </w:rPr>
            </w:pPr>
            <w:r>
              <w:rPr>
                <w:rFonts w:asciiTheme="minorHAnsi" w:hAnsiTheme="minorHAnsi"/>
                <w:szCs w:val="22"/>
              </w:rPr>
              <w:t>In BW 1 Cluster in Altersheim mit 1 infiziertem Pfleger + 2 Bewohnern</w:t>
            </w:r>
          </w:p>
          <w:p>
            <w:pPr>
              <w:pStyle w:val="NurText"/>
              <w:numPr>
                <w:ilvl w:val="0"/>
                <w:numId w:val="17"/>
              </w:numPr>
              <w:rPr>
                <w:rFonts w:asciiTheme="minorHAnsi" w:hAnsiTheme="minorHAnsi"/>
                <w:szCs w:val="22"/>
              </w:rPr>
            </w:pPr>
            <w:r>
              <w:rPr>
                <w:rFonts w:asciiTheme="minorHAnsi" w:hAnsiTheme="minorHAnsi"/>
                <w:szCs w:val="22"/>
              </w:rPr>
              <w:t>NRW nicht auskunftsfähig bei EpiLag</w:t>
            </w:r>
          </w:p>
          <w:p>
            <w:pPr>
              <w:pStyle w:val="NurText"/>
              <w:numPr>
                <w:ilvl w:val="0"/>
                <w:numId w:val="17"/>
              </w:numPr>
              <w:rPr>
                <w:rFonts w:asciiTheme="minorHAnsi" w:hAnsiTheme="minorHAnsi"/>
                <w:szCs w:val="22"/>
              </w:rPr>
            </w:pPr>
            <w:r>
              <w:rPr>
                <w:rFonts w:asciiTheme="minorHAnsi" w:hAnsiTheme="minorHAnsi"/>
                <w:szCs w:val="22"/>
              </w:rPr>
              <w:t>Stand 02.03.2020 abends: 79 Fälle im Kreis Heinsberg, 22 weitere mit Bezug zu Heinsberg, davon bis gestern 2, jetzt 5 hospitalisiert, Rest häuslich abgesondert</w:t>
            </w:r>
          </w:p>
          <w:p>
            <w:pPr>
              <w:pStyle w:val="NurText"/>
              <w:numPr>
                <w:ilvl w:val="0"/>
                <w:numId w:val="17"/>
              </w:numPr>
            </w:pPr>
            <w:r>
              <w:rPr>
                <w:rFonts w:asciiTheme="minorHAnsi" w:hAnsiTheme="minorHAnsi"/>
                <w:szCs w:val="22"/>
              </w:rPr>
              <w:t xml:space="preserve">In LK Heinsberg wird nicht konsequent zwischen Kontaktpersonen Kategorie 1 und 2 mit jeweils daran angepassten Maßnahmen unterschieden. Keine Quarantänemaßnahmen mehr mit dem Ziel </w:t>
            </w:r>
            <w:proofErr w:type="gramStart"/>
            <w:r>
              <w:rPr>
                <w:rFonts w:asciiTheme="minorHAnsi" w:hAnsiTheme="minorHAnsi"/>
                <w:szCs w:val="22"/>
              </w:rPr>
              <w:t>die  Aufrechterhaltung</w:t>
            </w:r>
            <w:proofErr w:type="gramEnd"/>
            <w:r>
              <w:rPr>
                <w:rFonts w:asciiTheme="minorHAnsi" w:hAnsiTheme="minorHAnsi"/>
                <w:szCs w:val="22"/>
              </w:rPr>
              <w:t xml:space="preserve"> med. Basisversorgung zu ermöglichen. Landkreis möchte keine Unterstützung. RKI sieht das sehr problematisch.</w:t>
            </w:r>
          </w:p>
          <w:p>
            <w:pPr>
              <w:pStyle w:val="NurText"/>
              <w:ind w:left="720"/>
            </w:pPr>
          </w:p>
          <w:p>
            <w:pPr>
              <w:rPr>
                <w:i/>
                <w:sz w:val="22"/>
                <w:szCs w:val="22"/>
              </w:rPr>
            </w:pPr>
            <w:proofErr w:type="spellStart"/>
            <w:r>
              <w:rPr>
                <w:i/>
                <w:sz w:val="22"/>
                <w:szCs w:val="22"/>
              </w:rPr>
              <w:t>To</w:t>
            </w:r>
            <w:proofErr w:type="spellEnd"/>
            <w:r>
              <w:rPr>
                <w:i/>
                <w:sz w:val="22"/>
                <w:szCs w:val="22"/>
              </w:rPr>
              <w:t xml:space="preserve"> do: Die Bedenken des RKIs bzgl. der Situation in Heinsberg sollen verschriftlicht (Email) und ans BMG geschickt werden. (FG37)</w:t>
            </w:r>
          </w:p>
          <w:p>
            <w:pPr>
              <w:rPr>
                <w:i/>
                <w:sz w:val="22"/>
                <w:szCs w:val="22"/>
              </w:rPr>
            </w:pPr>
          </w:p>
          <w:p>
            <w:pPr>
              <w:pStyle w:val="NurText"/>
              <w:numPr>
                <w:ilvl w:val="0"/>
                <w:numId w:val="17"/>
              </w:numPr>
            </w:pPr>
            <w:r>
              <w:rPr>
                <w:rFonts w:asciiTheme="minorHAnsi" w:hAnsiTheme="minorHAnsi"/>
                <w:szCs w:val="22"/>
              </w:rPr>
              <w:t>Was bleiben für Optionen für Heinsberg?</w:t>
            </w:r>
          </w:p>
          <w:p>
            <w:pPr>
              <w:pStyle w:val="NurText"/>
              <w:numPr>
                <w:ilvl w:val="0"/>
                <w:numId w:val="17"/>
              </w:numPr>
            </w:pPr>
            <w:r>
              <w:rPr>
                <w:rFonts w:asciiTheme="minorHAnsi" w:hAnsiTheme="minorHAnsi"/>
                <w:szCs w:val="22"/>
              </w:rPr>
              <w:t xml:space="preserve">Bedarfsabfrage an Landrat mit gezielten Fragen; Austausch mit GA. </w:t>
            </w:r>
          </w:p>
          <w:p>
            <w:pPr>
              <w:pStyle w:val="NurText"/>
              <w:numPr>
                <w:ilvl w:val="0"/>
                <w:numId w:val="17"/>
              </w:numPr>
            </w:pPr>
            <w:r>
              <w:rPr>
                <w:rFonts w:asciiTheme="minorHAnsi" w:hAnsiTheme="minorHAnsi"/>
                <w:szCs w:val="22"/>
              </w:rPr>
              <w:t xml:space="preserve">Evaluation durch externe Experten, z.B. KH-Hygieniker, Pneumologen wäre sinnvoll; Situationskenntnis wäre hilfreich; eine Expertengruppe könnte auf Landesebene mit vor Ort vorhandenen Experten zusammengestellt werden. </w:t>
            </w:r>
          </w:p>
          <w:p>
            <w:pPr>
              <w:pStyle w:val="NurText"/>
              <w:numPr>
                <w:ilvl w:val="0"/>
                <w:numId w:val="17"/>
              </w:numPr>
            </w:pPr>
            <w:r>
              <w:rPr>
                <w:rFonts w:asciiTheme="minorHAnsi" w:hAnsiTheme="minorHAnsi"/>
                <w:szCs w:val="22"/>
              </w:rPr>
              <w:t>Greifen individuelle kontaktreduzierende Maßnahmen nicht mehr, sollten unter Ortskenntnis andere Maßnahmen auf Bevölkerungsebene vorgeschlagen werden.</w:t>
            </w:r>
          </w:p>
          <w:p>
            <w:pPr>
              <w:pStyle w:val="NurText"/>
              <w:ind w:left="720"/>
              <w:rPr>
                <w:color w:val="0070C0"/>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bl>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i/>
                <w:sz w:val="22"/>
                <w:szCs w:val="22"/>
              </w:rPr>
            </w:pPr>
            <w:r>
              <w:rPr>
                <w:sz w:val="22"/>
                <w:szCs w:val="22"/>
              </w:rPr>
              <w:t xml:space="preserve">Der Erregersteckbrief soll so schnell wie möglich veröffentlicht werden. </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Noch gültig, keine Änderung</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 xml:space="preserve">Es gab Probleme bei der </w:t>
            </w:r>
            <w:proofErr w:type="spellStart"/>
            <w:r>
              <w:rPr>
                <w:sz w:val="22"/>
                <w:szCs w:val="22"/>
              </w:rPr>
              <w:t>Twitterübertragung</w:t>
            </w:r>
            <w:proofErr w:type="spellEnd"/>
            <w:r>
              <w:rPr>
                <w:sz w:val="22"/>
                <w:szCs w:val="22"/>
              </w:rPr>
              <w:t>.</w:t>
            </w:r>
          </w:p>
          <w:p>
            <w:pPr>
              <w:pStyle w:val="Listenabsatz"/>
              <w:numPr>
                <w:ilvl w:val="0"/>
                <w:numId w:val="7"/>
              </w:numPr>
              <w:rPr>
                <w:sz w:val="22"/>
                <w:szCs w:val="22"/>
              </w:rPr>
            </w:pPr>
            <w:r>
              <w:rPr>
                <w:sz w:val="22"/>
                <w:szCs w:val="22"/>
              </w:rPr>
              <w:t>COVID-19 Seite wird neu strukturiert, bei Wünschen diesbezüglich bitte bei Presse melden.</w:t>
            </w:r>
          </w:p>
          <w:p>
            <w:pPr>
              <w:pStyle w:val="Listenabsatz"/>
              <w:numPr>
                <w:ilvl w:val="0"/>
                <w:numId w:val="7"/>
              </w:numPr>
              <w:spacing w:after="120"/>
              <w:ind w:left="714" w:hanging="357"/>
              <w:rPr>
                <w:sz w:val="22"/>
                <w:szCs w:val="22"/>
              </w:rPr>
            </w:pPr>
            <w:r>
              <w:rPr>
                <w:sz w:val="22"/>
                <w:szCs w:val="22"/>
              </w:rPr>
              <w:t xml:space="preserve">Text zu Italien soll raus, </w:t>
            </w:r>
            <w:proofErr w:type="gramStart"/>
            <w:r>
              <w:rPr>
                <w:sz w:val="22"/>
                <w:szCs w:val="22"/>
              </w:rPr>
              <w:t>statt dessen</w:t>
            </w:r>
            <w:proofErr w:type="gramEnd"/>
            <w:r>
              <w:rPr>
                <w:sz w:val="22"/>
                <w:szCs w:val="22"/>
              </w:rPr>
              <w:t xml:space="preserve"> kurzer Text zum Geschehen in Heinsberg (sprunghafter Anstieg, für weitere Infos auf das BL verweisen)</w:t>
            </w:r>
          </w:p>
          <w:p>
            <w:pPr>
              <w:rPr>
                <w:i/>
                <w:sz w:val="22"/>
                <w:szCs w:val="22"/>
              </w:rPr>
            </w:pPr>
            <w:proofErr w:type="spellStart"/>
            <w:r>
              <w:rPr>
                <w:i/>
                <w:sz w:val="22"/>
                <w:szCs w:val="22"/>
              </w:rPr>
              <w:t>ToDo</w:t>
            </w:r>
            <w:proofErr w:type="spellEnd"/>
            <w:r>
              <w:rPr>
                <w:i/>
                <w:sz w:val="22"/>
                <w:szCs w:val="22"/>
              </w:rPr>
              <w:t>: Text Italien mit Text zu Heinsberg auf Homepage ersetzen (FG32)</w:t>
            </w:r>
          </w:p>
          <w:p>
            <w:pPr>
              <w:pStyle w:val="Listenabsatz"/>
              <w:numPr>
                <w:ilvl w:val="0"/>
                <w:numId w:val="7"/>
              </w:numPr>
              <w:rPr>
                <w:sz w:val="22"/>
                <w:szCs w:val="22"/>
              </w:rPr>
            </w:pPr>
            <w:r>
              <w:rPr>
                <w:sz w:val="22"/>
                <w:szCs w:val="22"/>
              </w:rPr>
              <w:t xml:space="preserve">BMG möchte die Meldungen nach PLZ erhalten zur gezielten Infosteuerung in sozialen Medien. (BBK hat App um regionale Medien anzusprechen, WHO bereiten social </w:t>
            </w:r>
            <w:proofErr w:type="spellStart"/>
            <w:r>
              <w:rPr>
                <w:sz w:val="22"/>
                <w:szCs w:val="22"/>
              </w:rPr>
              <w:t>risk</w:t>
            </w:r>
            <w:proofErr w:type="spellEnd"/>
            <w:r>
              <w:rPr>
                <w:sz w:val="22"/>
                <w:szCs w:val="22"/>
              </w:rPr>
              <w:t xml:space="preserve"> </w:t>
            </w:r>
            <w:proofErr w:type="spellStart"/>
            <w:r>
              <w:rPr>
                <w:sz w:val="22"/>
                <w:szCs w:val="22"/>
              </w:rPr>
              <w:t>communication</w:t>
            </w:r>
            <w:proofErr w:type="spellEnd"/>
            <w:r>
              <w:rPr>
                <w:sz w:val="22"/>
                <w:szCs w:val="22"/>
              </w:rPr>
              <w:t xml:space="preserve"> vor)</w:t>
            </w:r>
          </w:p>
          <w:p>
            <w:pPr>
              <w:pStyle w:val="Listenabsatz"/>
              <w:rPr>
                <w:sz w:val="22"/>
                <w:szCs w:val="22"/>
              </w:rPr>
            </w:pPr>
          </w:p>
          <w:p>
            <w:pPr>
              <w:rPr>
                <w:i/>
                <w:color w:val="0070C0"/>
                <w:sz w:val="22"/>
                <w:szCs w:val="22"/>
              </w:rPr>
            </w:pPr>
            <w:proofErr w:type="spellStart"/>
            <w:r>
              <w:rPr>
                <w:i/>
                <w:sz w:val="22"/>
                <w:szCs w:val="22"/>
              </w:rPr>
              <w:t>ToDo</w:t>
            </w:r>
            <w:proofErr w:type="spellEnd"/>
            <w:r>
              <w:rPr>
                <w:i/>
                <w:sz w:val="22"/>
                <w:szCs w:val="22"/>
              </w:rPr>
              <w:t>: Lagezentrum soll klären, für welchen Zweck das BMG die PLZ benötigt.</w:t>
            </w:r>
            <w:r>
              <w:rPr>
                <w:i/>
                <w:color w:val="0070C0"/>
                <w:sz w:val="22"/>
                <w:szCs w:val="22"/>
              </w:rPr>
              <w:t xml:space="preserve"> </w:t>
            </w:r>
          </w:p>
          <w:p>
            <w:pPr>
              <w:rPr>
                <w:color w:val="0070C0"/>
                <w:sz w:val="22"/>
                <w:szCs w:val="22"/>
              </w:rPr>
            </w:pPr>
          </w:p>
        </w:tc>
        <w:tc>
          <w:tcPr>
            <w:tcW w:w="1492" w:type="dxa"/>
          </w:tcPr>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rPr>
                <w:b/>
                <w:sz w:val="28"/>
              </w:rPr>
            </w:pPr>
            <w:r>
              <w:rPr>
                <w:b/>
                <w:sz w:val="28"/>
              </w:rPr>
              <w:t>Dokumente</w:t>
            </w:r>
          </w:p>
          <w:p>
            <w:pPr>
              <w:rPr>
                <w:b/>
                <w:sz w:val="22"/>
                <w:szCs w:val="22"/>
              </w:rPr>
            </w:pPr>
            <w:r>
              <w:rPr>
                <w:b/>
                <w:sz w:val="22"/>
                <w:szCs w:val="22"/>
              </w:rPr>
              <w:t>Flussschema (überarbeitete Version)</w:t>
            </w:r>
          </w:p>
          <w:p>
            <w:pPr>
              <w:pStyle w:val="Listenabsatz"/>
              <w:numPr>
                <w:ilvl w:val="0"/>
                <w:numId w:val="7"/>
              </w:numPr>
              <w:rPr>
                <w:sz w:val="22"/>
                <w:szCs w:val="22"/>
              </w:rPr>
            </w:pPr>
            <w:r>
              <w:rPr>
                <w:sz w:val="22"/>
                <w:szCs w:val="22"/>
              </w:rPr>
              <w:t xml:space="preserve">Info zu Treffen mit KBV: Hotline 116 117 der KBV hat hohe Kapazität, ein eingespielter Text kann an die jeweilige Lage angepasst werden. Nur Personen, die Symptome haben, sollen Praxen aufsuchen. Für die Ärzte besteht ein Dilemma zwischen Mangel an Schutzkleidung und der Forderung im Flussschema, sie zu verwenden. Tragen von Schutzkleidung sollte auf Maßnahmen beschränkt werden, die risikoträchtige Handhabungen (z.B. </w:t>
            </w:r>
            <w:proofErr w:type="spellStart"/>
            <w:r>
              <w:rPr>
                <w:sz w:val="22"/>
                <w:szCs w:val="22"/>
              </w:rPr>
              <w:t>Abstrichentnahme</w:t>
            </w:r>
            <w:proofErr w:type="spellEnd"/>
            <w:r>
              <w:rPr>
                <w:sz w:val="22"/>
                <w:szCs w:val="22"/>
              </w:rPr>
              <w:t>) beinhalten. Arbeitsschutz müsste mit involviert werden. KBV bereitet eigene Papiere vor.</w:t>
            </w:r>
          </w:p>
          <w:p>
            <w:pPr>
              <w:pStyle w:val="Listenabsatz"/>
              <w:numPr>
                <w:ilvl w:val="0"/>
                <w:numId w:val="7"/>
              </w:numPr>
              <w:rPr>
                <w:sz w:val="22"/>
                <w:szCs w:val="22"/>
              </w:rPr>
            </w:pPr>
            <w:r>
              <w:rPr>
                <w:sz w:val="22"/>
                <w:szCs w:val="22"/>
              </w:rPr>
              <w:t xml:space="preserve">Organisatorisch getrennte respiratorische Sprechstunde sinnvoll, evtl. auch </w:t>
            </w:r>
            <w:proofErr w:type="gramStart"/>
            <w:r>
              <w:rPr>
                <w:sz w:val="22"/>
                <w:szCs w:val="22"/>
              </w:rPr>
              <w:t>in stationären Setting</w:t>
            </w:r>
            <w:proofErr w:type="gramEnd"/>
            <w:r>
              <w:rPr>
                <w:sz w:val="22"/>
                <w:szCs w:val="22"/>
              </w:rPr>
              <w:t>. Probenentnahme mit adäquatem Schutz notwendig, KBV bereitet eigene Papiere vor. Ressourcenschonender Einsatz von Schutzkleidung in Praxen erforderlich.</w:t>
            </w:r>
          </w:p>
          <w:p>
            <w:pPr>
              <w:pStyle w:val="Listenabsatz"/>
              <w:numPr>
                <w:ilvl w:val="0"/>
                <w:numId w:val="7"/>
              </w:numPr>
              <w:rPr>
                <w:sz w:val="22"/>
                <w:szCs w:val="22"/>
              </w:rPr>
            </w:pPr>
            <w:r>
              <w:rPr>
                <w:sz w:val="22"/>
                <w:szCs w:val="22"/>
              </w:rPr>
              <w:t>Änderungen im Flussschema können umgesetzt werden. Fraglich ist, soll das RKI in Zukunft noch das Flussschema bereitstellen oder nur Empfehlungen geben und die KBV bzw. KH-Gesellschaften können bei Bedarf selbst ein Schema erstellen. Einigung, dass RKI Flussschema sinnvoll bleibt.</w:t>
            </w:r>
          </w:p>
          <w:p>
            <w:pPr>
              <w:pStyle w:val="Listenabsatz"/>
              <w:rPr>
                <w:sz w:val="22"/>
                <w:szCs w:val="22"/>
              </w:rPr>
            </w:pPr>
          </w:p>
          <w:p>
            <w:pPr>
              <w:rPr>
                <w:sz w:val="22"/>
                <w:szCs w:val="22"/>
              </w:rPr>
            </w:pPr>
            <w:r>
              <w:rPr>
                <w:b/>
                <w:sz w:val="22"/>
                <w:szCs w:val="22"/>
              </w:rPr>
              <w:t>Ambulantes Management von Fällen:</w:t>
            </w:r>
            <w:r>
              <w:rPr>
                <w:sz w:val="22"/>
                <w:szCs w:val="22"/>
              </w:rPr>
              <w:t xml:space="preserve"> </w:t>
            </w:r>
          </w:p>
          <w:p>
            <w:pPr>
              <w:pStyle w:val="Listenabsatz"/>
              <w:numPr>
                <w:ilvl w:val="0"/>
                <w:numId w:val="7"/>
              </w:numPr>
              <w:rPr>
                <w:sz w:val="22"/>
                <w:szCs w:val="22"/>
              </w:rPr>
            </w:pPr>
            <w:r>
              <w:rPr>
                <w:sz w:val="22"/>
                <w:szCs w:val="22"/>
              </w:rPr>
              <w:t xml:space="preserve">Problem, werden leicht erkrankte Patienten zu Hause mit anderen Familienmitgliedern isoliert, kann das zu wochenlanger Quarantäne der Familienmitglieder führen. </w:t>
            </w:r>
            <w:r>
              <w:rPr>
                <w:sz w:val="22"/>
                <w:szCs w:val="22"/>
                <w:highlight w:val="yellow"/>
              </w:rPr>
              <w:lastRenderedPageBreak/>
              <w:t>Deshalb ist die Möglichkeit einer häuslichen Isolierung bei Patienten mit Haushaltsangehörigen, die med. Personal umfassen, besonders zu prüfen und ggf. eine stationäre Behandlung vorzuziehen!</w:t>
            </w:r>
            <w:r>
              <w:rPr>
                <w:sz w:val="22"/>
                <w:szCs w:val="22"/>
              </w:rPr>
              <w:t xml:space="preserve"> </w:t>
            </w:r>
          </w:p>
          <w:p>
            <w:pPr>
              <w:pStyle w:val="Listenabsatz"/>
              <w:numPr>
                <w:ilvl w:val="0"/>
                <w:numId w:val="7"/>
              </w:numPr>
              <w:rPr>
                <w:sz w:val="22"/>
                <w:szCs w:val="22"/>
              </w:rPr>
            </w:pPr>
            <w:r>
              <w:rPr>
                <w:sz w:val="22"/>
                <w:szCs w:val="22"/>
              </w:rPr>
              <w:t>Im Moment Schutz von med. Personal und vulnerablen Gruppen vorrangig.</w:t>
            </w:r>
          </w:p>
          <w:p>
            <w:pPr>
              <w:pStyle w:val="Listenabsatz"/>
              <w:rPr>
                <w:sz w:val="22"/>
                <w:szCs w:val="22"/>
              </w:rPr>
            </w:pPr>
          </w:p>
          <w:p>
            <w:pPr>
              <w:rPr>
                <w:b/>
                <w:sz w:val="22"/>
                <w:szCs w:val="22"/>
              </w:rPr>
            </w:pPr>
            <w:r>
              <w:rPr>
                <w:b/>
                <w:sz w:val="22"/>
                <w:szCs w:val="22"/>
              </w:rPr>
              <w:t>Risikoprofil vulnerabler Gruppen</w:t>
            </w:r>
          </w:p>
          <w:p>
            <w:pPr>
              <w:pStyle w:val="Listenabsatz"/>
              <w:numPr>
                <w:ilvl w:val="0"/>
                <w:numId w:val="7"/>
              </w:numPr>
              <w:rPr>
                <w:sz w:val="22"/>
                <w:szCs w:val="22"/>
              </w:rPr>
            </w:pPr>
            <w:r>
              <w:rPr>
                <w:sz w:val="22"/>
                <w:szCs w:val="22"/>
              </w:rPr>
              <w:t xml:space="preserve">Soll erstellt und ans BMG geschickt werden. </w:t>
            </w:r>
          </w:p>
          <w:p>
            <w:pPr>
              <w:pStyle w:val="Listenabsatz"/>
              <w:numPr>
                <w:ilvl w:val="0"/>
                <w:numId w:val="7"/>
              </w:numPr>
              <w:rPr>
                <w:sz w:val="22"/>
                <w:szCs w:val="22"/>
              </w:rPr>
            </w:pPr>
            <w:r>
              <w:rPr>
                <w:sz w:val="22"/>
                <w:szCs w:val="22"/>
              </w:rPr>
              <w:t>Fragen: Was sind Risikogruppen und was für Maßnahmen werden empfohlen?</w:t>
            </w:r>
          </w:p>
          <w:p>
            <w:pPr>
              <w:pStyle w:val="Listenabsatz"/>
              <w:numPr>
                <w:ilvl w:val="0"/>
                <w:numId w:val="7"/>
              </w:numPr>
              <w:spacing w:after="120"/>
              <w:ind w:left="714" w:hanging="357"/>
              <w:rPr>
                <w:sz w:val="22"/>
                <w:szCs w:val="22"/>
              </w:rPr>
            </w:pPr>
            <w:r>
              <w:rPr>
                <w:sz w:val="22"/>
                <w:szCs w:val="22"/>
              </w:rPr>
              <w:t>Maßnahmen, von denen sich in China gezeigt hat, dass sie wirksam sind, könnten als Handlungsempfehlungen /-optionen vorgeschlagen werden.</w:t>
            </w:r>
          </w:p>
          <w:p>
            <w:pPr>
              <w:rPr>
                <w:i/>
                <w:sz w:val="22"/>
                <w:szCs w:val="22"/>
              </w:rPr>
            </w:pPr>
            <w:proofErr w:type="spellStart"/>
            <w:r>
              <w:rPr>
                <w:i/>
                <w:sz w:val="22"/>
                <w:szCs w:val="22"/>
              </w:rPr>
              <w:t>To</w:t>
            </w:r>
            <w:proofErr w:type="spellEnd"/>
            <w:r>
              <w:rPr>
                <w:i/>
                <w:sz w:val="22"/>
                <w:szCs w:val="22"/>
              </w:rPr>
              <w:t xml:space="preserve"> do: Dokument zu vulnerablen Gruppen erstellen. (FG36)</w:t>
            </w:r>
          </w:p>
          <w:p>
            <w:pPr>
              <w:ind w:left="360"/>
              <w:rPr>
                <w:sz w:val="22"/>
                <w:szCs w:val="22"/>
              </w:rPr>
            </w:pPr>
          </w:p>
          <w:p>
            <w:pPr>
              <w:pStyle w:val="Listenabsatz"/>
              <w:numPr>
                <w:ilvl w:val="0"/>
                <w:numId w:val="7"/>
              </w:numPr>
              <w:spacing w:after="120"/>
              <w:ind w:left="714" w:hanging="357"/>
              <w:rPr>
                <w:sz w:val="22"/>
                <w:szCs w:val="22"/>
              </w:rPr>
            </w:pPr>
            <w:r>
              <w:rPr>
                <w:sz w:val="22"/>
                <w:szCs w:val="22"/>
              </w:rPr>
              <w:t>Bitte präfinale Dokumente immer im Verteiler Krisenstab zu zirkulieren.</w:t>
            </w:r>
          </w:p>
          <w:p>
            <w:pPr>
              <w:rPr>
                <w:i/>
                <w:sz w:val="22"/>
                <w:szCs w:val="22"/>
              </w:rPr>
            </w:pPr>
            <w:proofErr w:type="spellStart"/>
            <w:r>
              <w:rPr>
                <w:i/>
                <w:sz w:val="22"/>
                <w:szCs w:val="22"/>
              </w:rPr>
              <w:t>To</w:t>
            </w:r>
            <w:proofErr w:type="spellEnd"/>
            <w:r>
              <w:rPr>
                <w:i/>
                <w:sz w:val="22"/>
                <w:szCs w:val="22"/>
              </w:rPr>
              <w:t xml:space="preserve"> do: Email-Verteiler Krisenstab erstellen, um Dokumente zirkulieren zu können, bevor sie finalisiert werden. (FG32)</w:t>
            </w:r>
          </w:p>
          <w:p>
            <w:pPr>
              <w:rPr>
                <w:i/>
                <w:sz w:val="22"/>
                <w:szCs w:val="22"/>
              </w:rPr>
            </w:pPr>
          </w:p>
          <w:p>
            <w:pPr>
              <w:pStyle w:val="Listenabsatz"/>
              <w:numPr>
                <w:ilvl w:val="0"/>
                <w:numId w:val="7"/>
              </w:numPr>
              <w:rPr>
                <w:sz w:val="22"/>
                <w:szCs w:val="22"/>
              </w:rPr>
            </w:pPr>
            <w:r>
              <w:rPr>
                <w:sz w:val="22"/>
                <w:szCs w:val="22"/>
              </w:rPr>
              <w:t>Falls Dokumente noch nicht ganz abgestimmt sind, aus Zeitgründen jedoch trotzdem schon ans BMG geschickt werden müssen, sollen sie als Entwurf gekennzeichnet werden.</w:t>
            </w:r>
          </w:p>
          <w:p>
            <w:pPr>
              <w:rPr>
                <w:b/>
                <w:sz w:val="22"/>
                <w:szCs w:val="22"/>
              </w:rPr>
            </w:pPr>
          </w:p>
          <w:p>
            <w:pPr>
              <w:rPr>
                <w:b/>
                <w:sz w:val="22"/>
                <w:szCs w:val="22"/>
              </w:rPr>
            </w:pPr>
            <w:r>
              <w:rPr>
                <w:b/>
                <w:sz w:val="22"/>
                <w:szCs w:val="22"/>
              </w:rPr>
              <w:t xml:space="preserve">Konzept </w:t>
            </w:r>
            <w:proofErr w:type="spellStart"/>
            <w:r>
              <w:rPr>
                <w:b/>
                <w:sz w:val="22"/>
                <w:szCs w:val="22"/>
              </w:rPr>
              <w:t>KoNa</w:t>
            </w:r>
            <w:proofErr w:type="spellEnd"/>
          </w:p>
          <w:p>
            <w:pPr>
              <w:pStyle w:val="Listenabsatz"/>
              <w:numPr>
                <w:ilvl w:val="0"/>
                <w:numId w:val="25"/>
              </w:numPr>
              <w:rPr>
                <w:sz w:val="22"/>
                <w:szCs w:val="22"/>
              </w:rPr>
            </w:pPr>
            <w:r>
              <w:rPr>
                <w:sz w:val="22"/>
                <w:szCs w:val="22"/>
              </w:rPr>
              <w:t>Wurde an die Länder zur Kommentierung weitergegeben.</w:t>
            </w:r>
          </w:p>
          <w:p>
            <w:pPr>
              <w:rPr>
                <w:sz w:val="22"/>
                <w:szCs w:val="22"/>
              </w:rPr>
            </w:pPr>
          </w:p>
          <w:p>
            <w:pPr>
              <w:rPr>
                <w:b/>
                <w:sz w:val="22"/>
                <w:szCs w:val="22"/>
              </w:rPr>
            </w:pPr>
            <w:r>
              <w:rPr>
                <w:b/>
                <w:sz w:val="22"/>
                <w:szCs w:val="22"/>
              </w:rPr>
              <w:t>Angebote Tools/Dashboard</w:t>
            </w:r>
          </w:p>
          <w:p>
            <w:pPr>
              <w:pStyle w:val="Listenabsatz"/>
              <w:numPr>
                <w:ilvl w:val="0"/>
                <w:numId w:val="25"/>
              </w:numPr>
              <w:rPr>
                <w:sz w:val="22"/>
                <w:szCs w:val="22"/>
              </w:rPr>
            </w:pPr>
            <w:r>
              <w:rPr>
                <w:sz w:val="22"/>
                <w:szCs w:val="22"/>
              </w:rPr>
              <w:t>Es sind mehrere Treffen geplant um zu klären, was schon entwickelt ist und nützlich sein könnte.</w:t>
            </w:r>
          </w:p>
          <w:p>
            <w:pPr>
              <w:pStyle w:val="Listenabsatz"/>
              <w:numPr>
                <w:ilvl w:val="0"/>
                <w:numId w:val="25"/>
              </w:numPr>
              <w:rPr>
                <w:sz w:val="22"/>
                <w:szCs w:val="22"/>
              </w:rPr>
            </w:pPr>
            <w:r>
              <w:rPr>
                <w:sz w:val="22"/>
                <w:szCs w:val="22"/>
              </w:rPr>
              <w:t xml:space="preserve">Intern umstritten, ob es sinnvoll ist, ein Parallelsystem zu </w:t>
            </w:r>
            <w:proofErr w:type="spellStart"/>
            <w:r>
              <w:rPr>
                <w:sz w:val="22"/>
                <w:szCs w:val="22"/>
              </w:rPr>
              <w:t>SurvNet</w:t>
            </w:r>
            <w:proofErr w:type="spellEnd"/>
            <w:r>
              <w:rPr>
                <w:sz w:val="22"/>
                <w:szCs w:val="22"/>
              </w:rPr>
              <w:t xml:space="preserve"> zu verwenden.</w:t>
            </w:r>
          </w:p>
          <w:p>
            <w:pPr>
              <w:rPr>
                <w:i/>
                <w:color w:val="0070C0"/>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rPr>
                <w:b/>
                <w:sz w:val="28"/>
              </w:rPr>
            </w:pPr>
            <w:r>
              <w:rPr>
                <w:b/>
                <w:sz w:val="28"/>
              </w:rPr>
              <w:t>Labordiagnostik</w:t>
            </w:r>
          </w:p>
          <w:p>
            <w:pPr>
              <w:pStyle w:val="Listenabsatz"/>
              <w:numPr>
                <w:ilvl w:val="0"/>
                <w:numId w:val="20"/>
              </w:numPr>
              <w:spacing w:after="120"/>
              <w:ind w:left="714" w:hanging="357"/>
              <w:rPr>
                <w:sz w:val="22"/>
              </w:rPr>
            </w:pPr>
            <w:r>
              <w:rPr>
                <w:b/>
                <w:sz w:val="22"/>
              </w:rPr>
              <w:t>Kontamination:</w:t>
            </w:r>
            <w:r>
              <w:rPr>
                <w:sz w:val="22"/>
              </w:rPr>
              <w:t xml:space="preserve"> Es gibt Probleme mit Zulieferern von Primern (Kontrollen sind betroffen), mind. 3 Firmen sind von Kontamination betroffen. Es wird nicht allgemein bekannt gegeben, um welche Firmen es sich handelt. Die Firmen selbst sind in der Pflicht Kunden zu informieren. Keine Aufgabe RKI</w:t>
            </w:r>
          </w:p>
          <w:p>
            <w:pPr>
              <w:pStyle w:val="Listenabsatz"/>
              <w:numPr>
                <w:ilvl w:val="0"/>
                <w:numId w:val="20"/>
              </w:numPr>
              <w:rPr>
                <w:sz w:val="22"/>
              </w:rPr>
            </w:pPr>
            <w:r>
              <w:rPr>
                <w:b/>
                <w:sz w:val="22"/>
              </w:rPr>
              <w:t>AGI Sentinel:</w:t>
            </w:r>
            <w:r>
              <w:rPr>
                <w:sz w:val="22"/>
              </w:rPr>
              <w:t xml:space="preserve"> gestern 80 Proben getestet, alle negativ.</w:t>
            </w:r>
          </w:p>
          <w:p>
            <w:pPr>
              <w:pStyle w:val="Listenabsatz"/>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tc>
      </w:tr>
      <w:tr>
        <w:tc>
          <w:tcPr>
            <w:tcW w:w="684" w:type="dxa"/>
          </w:tcPr>
          <w:p>
            <w:pPr>
              <w:rPr>
                <w:b/>
              </w:rPr>
            </w:pPr>
            <w:r>
              <w:rPr>
                <w:b/>
              </w:rPr>
              <w:t>7</w:t>
            </w:r>
          </w:p>
        </w:tc>
        <w:tc>
          <w:tcPr>
            <w:tcW w:w="6795" w:type="dxa"/>
          </w:tcPr>
          <w:p>
            <w:pPr>
              <w:spacing w:after="120"/>
              <w:rPr>
                <w:b/>
                <w:sz w:val="28"/>
              </w:rPr>
            </w:pPr>
            <w:r>
              <w:rPr>
                <w:b/>
                <w:sz w:val="28"/>
              </w:rPr>
              <w:t>Klinisches Management/Entlassungsmanagement</w:t>
            </w:r>
          </w:p>
          <w:p>
            <w:pPr>
              <w:spacing w:after="120"/>
              <w:rPr>
                <w:sz w:val="22"/>
              </w:rPr>
            </w:pPr>
            <w:proofErr w:type="spellStart"/>
            <w:r>
              <w:rPr>
                <w:b/>
                <w:sz w:val="22"/>
              </w:rPr>
              <w:t>Klin</w:t>
            </w:r>
            <w:proofErr w:type="spellEnd"/>
            <w:r>
              <w:rPr>
                <w:b/>
                <w:sz w:val="22"/>
              </w:rPr>
              <w:t>. Kriterien für stationäre Aufnahme von Patienten mit laborbestätigter SARS-CoV-2-Infektion</w:t>
            </w:r>
          </w:p>
          <w:p>
            <w:pPr>
              <w:pStyle w:val="Listenabsatz"/>
              <w:numPr>
                <w:ilvl w:val="0"/>
                <w:numId w:val="26"/>
              </w:numPr>
              <w:spacing w:after="120"/>
              <w:rPr>
                <w:sz w:val="22"/>
              </w:rPr>
            </w:pPr>
            <w:r>
              <w:rPr>
                <w:sz w:val="22"/>
              </w:rPr>
              <w:t>kein Auftrag, ärztliche Entscheidung</w:t>
            </w:r>
          </w:p>
          <w:p>
            <w:pPr>
              <w:spacing w:after="120"/>
              <w:rPr>
                <w:b/>
                <w:sz w:val="22"/>
              </w:rPr>
            </w:pPr>
            <w:r>
              <w:rPr>
                <w:b/>
                <w:sz w:val="22"/>
              </w:rPr>
              <w:t xml:space="preserve">Verlegung und </w:t>
            </w:r>
            <w:proofErr w:type="spellStart"/>
            <w:r>
              <w:rPr>
                <w:b/>
                <w:sz w:val="22"/>
              </w:rPr>
              <w:t>Kohortierung</w:t>
            </w:r>
            <w:proofErr w:type="spellEnd"/>
            <w:r>
              <w:rPr>
                <w:b/>
                <w:sz w:val="22"/>
              </w:rPr>
              <w:t xml:space="preserve"> COVID Patienten im </w:t>
            </w:r>
            <w:r>
              <w:rPr>
                <w:b/>
                <w:sz w:val="22"/>
              </w:rPr>
              <w:lastRenderedPageBreak/>
              <w:t xml:space="preserve">Gesundheitswesen: </w:t>
            </w:r>
          </w:p>
          <w:p>
            <w:pPr>
              <w:pStyle w:val="Listenabsatz"/>
              <w:numPr>
                <w:ilvl w:val="0"/>
                <w:numId w:val="26"/>
              </w:numPr>
              <w:spacing w:after="120"/>
              <w:rPr>
                <w:b/>
                <w:sz w:val="22"/>
              </w:rPr>
            </w:pPr>
            <w:r>
              <w:rPr>
                <w:sz w:val="22"/>
              </w:rPr>
              <w:t>Entwurf Rahmenkonzept wurde ans BMG geschickt.</w:t>
            </w:r>
          </w:p>
          <w:p>
            <w:pPr>
              <w:rPr>
                <w:b/>
                <w:sz w:val="22"/>
              </w:rPr>
            </w:pPr>
            <w:r>
              <w:rPr>
                <w:b/>
                <w:sz w:val="22"/>
              </w:rPr>
              <w:t xml:space="preserve">Sentinel Praxen AGI: </w:t>
            </w:r>
          </w:p>
          <w:p>
            <w:pPr>
              <w:pStyle w:val="Listenabsatz"/>
              <w:numPr>
                <w:ilvl w:val="0"/>
                <w:numId w:val="26"/>
              </w:numPr>
            </w:pPr>
            <w:r>
              <w:rPr>
                <w:sz w:val="22"/>
              </w:rPr>
              <w:t xml:space="preserve">positive Befunde kein Grund für Schließung von Praxen, bei </w:t>
            </w:r>
            <w:proofErr w:type="spellStart"/>
            <w:r>
              <w:rPr>
                <w:sz w:val="22"/>
              </w:rPr>
              <w:t>Abstrichentnahme</w:t>
            </w:r>
            <w:proofErr w:type="spellEnd"/>
            <w:r>
              <w:rPr>
                <w:sz w:val="22"/>
              </w:rPr>
              <w:t xml:space="preserve"> Mund-Nasenschutz wie bei allen respiratorischen Erkrankungen</w:t>
            </w:r>
          </w:p>
          <w:p>
            <w:pPr>
              <w:pStyle w:val="Listenabsatz"/>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IBBS/FG14/FG37</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rPr>
                <w:b/>
                <w:sz w:val="28"/>
              </w:rPr>
            </w:pPr>
            <w:r>
              <w:rPr>
                <w:b/>
                <w:sz w:val="28"/>
              </w:rPr>
              <w:t>Maßnahmen zum Infektionsschutz</w:t>
            </w:r>
          </w:p>
          <w:p>
            <w:pPr>
              <w:pStyle w:val="Listenabsatz"/>
              <w:numPr>
                <w:ilvl w:val="0"/>
                <w:numId w:val="10"/>
              </w:numPr>
              <w:rPr>
                <w:sz w:val="22"/>
              </w:rPr>
            </w:pPr>
            <w:r>
              <w:rPr>
                <w:b/>
                <w:sz w:val="22"/>
              </w:rPr>
              <w:t>Schutzmasken:</w:t>
            </w:r>
            <w:r>
              <w:rPr>
                <w:sz w:val="22"/>
              </w:rPr>
              <w:t xml:space="preserve"> Das BMG wird sich um die Beschaffung von Schutzmasken kümmern und verweist hierzu auf der Internetseite.</w:t>
            </w:r>
          </w:p>
          <w:p>
            <w:pPr>
              <w:pStyle w:val="Listenabsatz"/>
              <w:rPr>
                <w:sz w:val="22"/>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rPr>
                <w:b/>
                <w:sz w:val="28"/>
              </w:rPr>
            </w:pPr>
            <w:r>
              <w:rPr>
                <w:b/>
                <w:sz w:val="22"/>
              </w:rPr>
              <w:t>Lagebericht</w:t>
            </w:r>
            <w:r>
              <w:rPr>
                <w:sz w:val="22"/>
              </w:rPr>
              <w:t>: Karte soll eingefügt werden, im Moment nur mit Fällen. Internationaler Teil soll verkürzt werden.</w:t>
            </w:r>
          </w:p>
          <w:p>
            <w:pPr>
              <w:pStyle w:val="Listenabsatz"/>
              <w:rPr>
                <w:b/>
                <w:sz w:val="28"/>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rPr>
                <w:sz w:val="28"/>
              </w:rPr>
            </w:pPr>
            <w:r>
              <w:rPr>
                <w:sz w:val="22"/>
              </w:rPr>
              <w:t>Keine Besonderheiten</w:t>
            </w:r>
          </w:p>
          <w:p>
            <w:pPr>
              <w:pStyle w:val="Listenabsatz"/>
              <w:rPr>
                <w:b/>
              </w:rPr>
            </w:pPr>
          </w:p>
        </w:tc>
        <w:tc>
          <w:tcPr>
            <w:tcW w:w="1492" w:type="dxa"/>
          </w:tcPr>
          <w:p>
            <w:pPr>
              <w:rPr>
                <w:sz w:val="22"/>
                <w:szCs w:val="22"/>
              </w:rPr>
            </w:pPr>
            <w:r>
              <w:rPr>
                <w:sz w:val="22"/>
                <w:szCs w:val="22"/>
              </w:rPr>
              <w:t>FG32</w:t>
            </w:r>
          </w:p>
        </w:tc>
      </w:tr>
      <w:tr>
        <w:tc>
          <w:tcPr>
            <w:tcW w:w="684" w:type="dxa"/>
          </w:tcPr>
          <w:p>
            <w:pPr>
              <w:rPr>
                <w:b/>
              </w:rPr>
            </w:pPr>
            <w:r>
              <w:rPr>
                <w:b/>
              </w:rPr>
              <w:t>11</w:t>
            </w:r>
          </w:p>
        </w:tc>
        <w:tc>
          <w:tcPr>
            <w:tcW w:w="6795" w:type="dxa"/>
          </w:tcPr>
          <w:p>
            <w:pPr>
              <w:rPr>
                <w:sz w:val="22"/>
              </w:rPr>
            </w:pPr>
            <w:r>
              <w:rPr>
                <w:b/>
                <w:sz w:val="28"/>
              </w:rPr>
              <w:t>Internationales</w:t>
            </w:r>
          </w:p>
          <w:p>
            <w:pPr>
              <w:pStyle w:val="Listenabsatz"/>
              <w:numPr>
                <w:ilvl w:val="0"/>
                <w:numId w:val="23"/>
              </w:numPr>
              <w:rPr>
                <w:b/>
                <w:sz w:val="28"/>
              </w:rPr>
            </w:pPr>
            <w:r>
              <w:rPr>
                <w:sz w:val="22"/>
              </w:rPr>
              <w:t>Andreas Jansen befindet sich auf WHO-Mission im Iran. Auf Entscheidung der WHO wird volle Schutzkleidung verwendet.</w:t>
            </w:r>
          </w:p>
          <w:p>
            <w:pPr>
              <w:pStyle w:val="Listenabsatz"/>
              <w:numPr>
                <w:ilvl w:val="0"/>
                <w:numId w:val="23"/>
              </w:numPr>
              <w:rPr>
                <w:b/>
                <w:sz w:val="28"/>
              </w:rPr>
            </w:pPr>
            <w:r>
              <w:rPr>
                <w:sz w:val="22"/>
              </w:rPr>
              <w:t>Dienstreisen, die nicht unbedingt nötig sind, sollen unterbleiben.</w:t>
            </w:r>
          </w:p>
          <w:p>
            <w:pPr>
              <w:pStyle w:val="Listenabsatz"/>
              <w:rPr>
                <w:b/>
                <w:sz w:val="28"/>
              </w:rPr>
            </w:pP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8"/>
              </w:rPr>
            </w:pPr>
            <w:r>
              <w:rPr>
                <w:b/>
                <w:sz w:val="28"/>
              </w:rPr>
              <w:t>Andere Themen</w:t>
            </w:r>
          </w:p>
          <w:p>
            <w:pPr>
              <w:pStyle w:val="Listenabsatz"/>
              <w:numPr>
                <w:ilvl w:val="0"/>
                <w:numId w:val="3"/>
              </w:numPr>
              <w:rPr>
                <w:sz w:val="22"/>
              </w:rPr>
            </w:pPr>
            <w:r>
              <w:rPr>
                <w:sz w:val="22"/>
              </w:rPr>
              <w:t>Nächste Sitzung: Mittwoch, 04.03.2020,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1"/>
  </w:num>
  <w:num w:numId="4">
    <w:abstractNumId w:val="2"/>
  </w:num>
  <w:num w:numId="5">
    <w:abstractNumId w:val="20"/>
  </w:num>
  <w:num w:numId="6">
    <w:abstractNumId w:val="7"/>
  </w:num>
  <w:num w:numId="7">
    <w:abstractNumId w:val="22"/>
  </w:num>
  <w:num w:numId="8">
    <w:abstractNumId w:val="18"/>
  </w:num>
  <w:num w:numId="9">
    <w:abstractNumId w:val="25"/>
  </w:num>
  <w:num w:numId="10">
    <w:abstractNumId w:val="10"/>
  </w:num>
  <w:num w:numId="11">
    <w:abstractNumId w:val="1"/>
  </w:num>
  <w:num w:numId="12">
    <w:abstractNumId w:val="5"/>
  </w:num>
  <w:num w:numId="13">
    <w:abstractNumId w:val="23"/>
  </w:num>
  <w:num w:numId="14">
    <w:abstractNumId w:val="15"/>
  </w:num>
  <w:num w:numId="15">
    <w:abstractNumId w:val="4"/>
  </w:num>
  <w:num w:numId="16">
    <w:abstractNumId w:val="8"/>
  </w:num>
  <w:num w:numId="17">
    <w:abstractNumId w:val="0"/>
  </w:num>
  <w:num w:numId="18">
    <w:abstractNumId w:val="12"/>
  </w:num>
  <w:num w:numId="19">
    <w:abstractNumId w:val="9"/>
  </w:num>
  <w:num w:numId="20">
    <w:abstractNumId w:val="24"/>
  </w:num>
  <w:num w:numId="21">
    <w:abstractNumId w:val="13"/>
  </w:num>
  <w:num w:numId="22">
    <w:abstractNumId w:val="6"/>
  </w:num>
  <w:num w:numId="23">
    <w:abstractNumId w:val="11"/>
  </w:num>
  <w:num w:numId="24">
    <w:abstractNumId w:val="16"/>
  </w:num>
  <w:num w:numId="25">
    <w:abstractNumId w:val="17"/>
  </w:num>
  <w:num w:numId="26">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866F6F4-A414-4D93-B031-8E8497FE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211084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reusselk\AppData\Local\Microsoft\Windows\INetCache\Content.Outlook\H9RTJ0K0\2019-nCoV_risikogebiet_2020-03-03_final.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8E3C-8505-40E7-A48D-34D22BDB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8562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dcterms:created xsi:type="dcterms:W3CDTF">2020-03-04T10:55:00Z</dcterms:created>
  <dcterms:modified xsi:type="dcterms:W3CDTF">2021-04-12T14:10:00Z</dcterms:modified>
</cp:coreProperties>
</file>