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4FD1638CC2F34C48A85483A10D9486D1"/>
          </w:placeholder>
        </w:sdtPr>
        <w:sdtContent>
          <w:sdt>
            <w:sdtPr>
              <w:rPr>
                <w:i/>
                <w:sz w:val="22"/>
              </w:rPr>
              <w:id w:val="334350100"/>
              <w:placeholder>
                <w:docPart w:val="70453C9276B646228C40A7A320BC343F"/>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4FD1638CC2F34C48A85483A10D9486D1"/>
          </w:placeholder>
        </w:sdtPr>
        <w:sdtContent>
          <w:r>
            <w:rPr>
              <w:i/>
              <w:sz w:val="22"/>
            </w:rPr>
            <w:t>15.04.2020, 11-12:45 Uhr</w:t>
          </w:r>
        </w:sdtContent>
      </w:sdt>
    </w:p>
    <w:p>
      <w:pPr>
        <w:rPr>
          <w:b/>
          <w:sz w:val="22"/>
        </w:rPr>
      </w:pPr>
      <w:r>
        <w:rPr>
          <w:b/>
          <w:i/>
          <w:sz w:val="22"/>
        </w:rPr>
        <w:t>Sitzungsort</w:t>
      </w:r>
      <w:r>
        <w:rPr>
          <w:b/>
          <w:sz w:val="22"/>
        </w:rPr>
        <w:t xml:space="preserve"> Teilnehmende: </w:t>
      </w:r>
    </w:p>
    <w:p>
      <w:pPr>
        <w:pStyle w:val="Listenabsatz"/>
        <w:numPr>
          <w:ilvl w:val="0"/>
          <w:numId w:val="18"/>
        </w:numPr>
        <w:spacing w:after="0"/>
        <w:contextualSpacing w:val="0"/>
        <w:rPr>
          <w:sz w:val="21"/>
          <w:szCs w:val="21"/>
        </w:rPr>
      </w:pPr>
      <w:r>
        <w:rPr>
          <w:sz w:val="21"/>
          <w:szCs w:val="21"/>
        </w:rPr>
        <w:t>Institutsleitung</w:t>
      </w:r>
    </w:p>
    <w:p>
      <w:pPr>
        <w:pStyle w:val="Listenabsatz"/>
        <w:numPr>
          <w:ilvl w:val="1"/>
          <w:numId w:val="18"/>
        </w:numPr>
        <w:spacing w:after="0"/>
        <w:contextualSpacing w:val="0"/>
        <w:rPr>
          <w:sz w:val="21"/>
          <w:szCs w:val="21"/>
        </w:rPr>
      </w:pPr>
      <w:r>
        <w:rPr>
          <w:sz w:val="21"/>
          <w:szCs w:val="21"/>
        </w:rPr>
        <w:t>Lothar Wieler</w:t>
      </w:r>
    </w:p>
    <w:p>
      <w:pPr>
        <w:pStyle w:val="Listenabsatz"/>
        <w:numPr>
          <w:ilvl w:val="1"/>
          <w:numId w:val="18"/>
        </w:numPr>
        <w:spacing w:after="0"/>
        <w:contextualSpacing w:val="0"/>
        <w:rPr>
          <w:sz w:val="21"/>
          <w:szCs w:val="21"/>
        </w:rPr>
      </w:pPr>
      <w:r>
        <w:rPr>
          <w:sz w:val="21"/>
          <w:szCs w:val="21"/>
        </w:rPr>
        <w:t>Lars Schaade (Moderation)</w:t>
      </w:r>
    </w:p>
    <w:p>
      <w:pPr>
        <w:pStyle w:val="Listenabsatz"/>
        <w:numPr>
          <w:ilvl w:val="0"/>
          <w:numId w:val="18"/>
        </w:numPr>
        <w:spacing w:after="0"/>
        <w:contextualSpacing w:val="0"/>
        <w:rPr>
          <w:sz w:val="21"/>
          <w:szCs w:val="21"/>
        </w:rPr>
      </w:pPr>
      <w:r>
        <w:rPr>
          <w:sz w:val="21"/>
          <w:szCs w:val="21"/>
        </w:rPr>
        <w:t>Abt. 1 Leitung</w:t>
      </w:r>
    </w:p>
    <w:p>
      <w:pPr>
        <w:pStyle w:val="Listenabsatz"/>
        <w:numPr>
          <w:ilvl w:val="0"/>
          <w:numId w:val="18"/>
        </w:numPr>
        <w:spacing w:after="0"/>
        <w:contextualSpacing w:val="0"/>
        <w:rPr>
          <w:sz w:val="21"/>
          <w:szCs w:val="21"/>
        </w:rPr>
      </w:pPr>
      <w:r>
        <w:rPr>
          <w:sz w:val="21"/>
          <w:szCs w:val="21"/>
        </w:rPr>
        <w:t>Abt. 2 Leitung</w:t>
      </w:r>
    </w:p>
    <w:p>
      <w:pPr>
        <w:pStyle w:val="Listenabsatz"/>
        <w:numPr>
          <w:ilvl w:val="0"/>
          <w:numId w:val="18"/>
        </w:numPr>
        <w:spacing w:after="0"/>
        <w:contextualSpacing w:val="0"/>
        <w:rPr>
          <w:sz w:val="21"/>
          <w:szCs w:val="21"/>
        </w:rPr>
      </w:pPr>
      <w:r>
        <w:rPr>
          <w:sz w:val="21"/>
          <w:szCs w:val="21"/>
        </w:rPr>
        <w:t>Abt. 3 Leitung</w:t>
      </w:r>
    </w:p>
    <w:p>
      <w:pPr>
        <w:pStyle w:val="Listenabsatz"/>
        <w:numPr>
          <w:ilvl w:val="1"/>
          <w:numId w:val="18"/>
        </w:numPr>
        <w:spacing w:after="0"/>
        <w:contextualSpacing w:val="0"/>
        <w:rPr>
          <w:sz w:val="21"/>
          <w:szCs w:val="21"/>
        </w:rPr>
      </w:pPr>
      <w:r>
        <w:rPr>
          <w:sz w:val="21"/>
          <w:szCs w:val="21"/>
        </w:rPr>
        <w:t>Osamah Hamouda</w:t>
      </w:r>
    </w:p>
    <w:p>
      <w:pPr>
        <w:pStyle w:val="Listenabsatz"/>
        <w:numPr>
          <w:ilvl w:val="0"/>
          <w:numId w:val="18"/>
        </w:numPr>
        <w:spacing w:after="0"/>
        <w:contextualSpacing w:val="0"/>
        <w:rPr>
          <w:sz w:val="21"/>
          <w:szCs w:val="21"/>
        </w:rPr>
      </w:pPr>
      <w:r>
        <w:rPr>
          <w:sz w:val="21"/>
          <w:szCs w:val="21"/>
        </w:rPr>
        <w:t>ZIG Leitung</w:t>
      </w:r>
    </w:p>
    <w:p>
      <w:pPr>
        <w:pStyle w:val="Listenabsatz"/>
        <w:numPr>
          <w:ilvl w:val="0"/>
          <w:numId w:val="19"/>
        </w:numPr>
        <w:spacing w:after="0"/>
        <w:contextualSpacing w:val="0"/>
        <w:rPr>
          <w:sz w:val="21"/>
          <w:szCs w:val="21"/>
        </w:rPr>
      </w:pPr>
      <w:r>
        <w:rPr>
          <w:sz w:val="21"/>
          <w:szCs w:val="21"/>
        </w:rPr>
        <w:t>FG12</w:t>
      </w:r>
    </w:p>
    <w:p>
      <w:pPr>
        <w:pStyle w:val="Listenabsatz"/>
        <w:numPr>
          <w:ilvl w:val="1"/>
          <w:numId w:val="18"/>
        </w:numPr>
        <w:spacing w:after="0"/>
        <w:contextualSpacing w:val="0"/>
        <w:rPr>
          <w:sz w:val="21"/>
          <w:szCs w:val="21"/>
        </w:rPr>
      </w:pPr>
      <w:r>
        <w:rPr>
          <w:sz w:val="21"/>
          <w:szCs w:val="21"/>
        </w:rPr>
        <w:t>Annette Mankertz</w:t>
      </w:r>
    </w:p>
    <w:p>
      <w:pPr>
        <w:pStyle w:val="Listenabsatz"/>
        <w:numPr>
          <w:ilvl w:val="0"/>
          <w:numId w:val="19"/>
        </w:numPr>
        <w:spacing w:after="0"/>
        <w:contextualSpacing w:val="0"/>
        <w:rPr>
          <w:sz w:val="21"/>
          <w:szCs w:val="21"/>
        </w:rPr>
      </w:pPr>
      <w:r>
        <w:rPr>
          <w:sz w:val="21"/>
          <w:szCs w:val="21"/>
        </w:rPr>
        <w:t>FG14</w:t>
      </w:r>
    </w:p>
    <w:p>
      <w:pPr>
        <w:pStyle w:val="Listenabsatz"/>
        <w:numPr>
          <w:ilvl w:val="1"/>
          <w:numId w:val="18"/>
        </w:numPr>
        <w:spacing w:after="0"/>
        <w:contextualSpacing w:val="0"/>
        <w:rPr>
          <w:sz w:val="21"/>
          <w:szCs w:val="21"/>
        </w:rPr>
      </w:pPr>
      <w:r>
        <w:rPr>
          <w:sz w:val="21"/>
          <w:szCs w:val="21"/>
        </w:rPr>
        <w:t>Melanie Brunke</w:t>
      </w:r>
      <w:r>
        <w:rPr>
          <w:sz w:val="21"/>
          <w:szCs w:val="21"/>
          <w:lang w:val="en-US"/>
        </w:rPr>
        <w:t xml:space="preserve"> </w:t>
      </w:r>
    </w:p>
    <w:p>
      <w:pPr>
        <w:pStyle w:val="Listenabsatz"/>
        <w:numPr>
          <w:ilvl w:val="0"/>
          <w:numId w:val="18"/>
        </w:numPr>
        <w:spacing w:after="0"/>
        <w:contextualSpacing w:val="0"/>
        <w:rPr>
          <w:sz w:val="21"/>
          <w:szCs w:val="21"/>
          <w:lang w:val="en-US"/>
        </w:rPr>
      </w:pPr>
      <w:r>
        <w:rPr>
          <w:sz w:val="21"/>
          <w:szCs w:val="21"/>
        </w:rPr>
        <w:t xml:space="preserve">FG17 </w:t>
      </w:r>
    </w:p>
    <w:p>
      <w:pPr>
        <w:pStyle w:val="Listenabsatz"/>
        <w:numPr>
          <w:ilvl w:val="1"/>
          <w:numId w:val="18"/>
        </w:numPr>
        <w:spacing w:after="0"/>
        <w:contextualSpacing w:val="0"/>
        <w:rPr>
          <w:sz w:val="21"/>
          <w:szCs w:val="21"/>
          <w:lang w:val="en-US"/>
        </w:rPr>
      </w:pPr>
      <w:r>
        <w:rPr>
          <w:sz w:val="21"/>
          <w:szCs w:val="21"/>
          <w:lang w:val="en-US"/>
        </w:rPr>
        <w:t xml:space="preserve">Thorsten Wolff  </w:t>
      </w:r>
    </w:p>
    <w:p>
      <w:pPr>
        <w:pStyle w:val="Listenabsatz"/>
        <w:numPr>
          <w:ilvl w:val="0"/>
          <w:numId w:val="18"/>
        </w:numPr>
        <w:spacing w:after="0"/>
        <w:contextualSpacing w:val="0"/>
        <w:rPr>
          <w:sz w:val="21"/>
          <w:szCs w:val="21"/>
        </w:rPr>
      </w:pPr>
      <w:r>
        <w:rPr>
          <w:sz w:val="21"/>
          <w:szCs w:val="21"/>
        </w:rPr>
        <w:t>FG21</w:t>
      </w:r>
    </w:p>
    <w:p>
      <w:pPr>
        <w:pStyle w:val="Listenabsatz"/>
        <w:numPr>
          <w:ilvl w:val="0"/>
          <w:numId w:val="20"/>
        </w:numPr>
        <w:spacing w:after="0"/>
        <w:contextualSpacing w:val="0"/>
        <w:rPr>
          <w:sz w:val="21"/>
          <w:szCs w:val="21"/>
        </w:rPr>
      </w:pPr>
      <w:r>
        <w:rPr>
          <w:sz w:val="21"/>
          <w:szCs w:val="21"/>
        </w:rPr>
        <w:t>FG 32</w:t>
      </w:r>
    </w:p>
    <w:p>
      <w:pPr>
        <w:pStyle w:val="Listenabsatz"/>
        <w:numPr>
          <w:ilvl w:val="1"/>
          <w:numId w:val="18"/>
        </w:numPr>
        <w:spacing w:after="0"/>
        <w:contextualSpacing w:val="0"/>
        <w:rPr>
          <w:sz w:val="21"/>
          <w:szCs w:val="21"/>
        </w:rPr>
      </w:pPr>
      <w:r>
        <w:rPr>
          <w:sz w:val="21"/>
          <w:szCs w:val="21"/>
        </w:rPr>
        <w:t>Ute Rexroth</w:t>
      </w:r>
    </w:p>
    <w:p>
      <w:pPr>
        <w:pStyle w:val="Listenabsatz"/>
        <w:numPr>
          <w:ilvl w:val="1"/>
          <w:numId w:val="18"/>
        </w:numPr>
        <w:spacing w:after="0"/>
        <w:contextualSpacing w:val="0"/>
        <w:rPr>
          <w:sz w:val="21"/>
          <w:szCs w:val="21"/>
        </w:rPr>
      </w:pPr>
      <w:r>
        <w:rPr>
          <w:sz w:val="21"/>
          <w:szCs w:val="21"/>
        </w:rPr>
        <w:t>Michaela Diercke</w:t>
      </w:r>
    </w:p>
    <w:p>
      <w:pPr>
        <w:pStyle w:val="Listenabsatz"/>
        <w:numPr>
          <w:ilvl w:val="1"/>
          <w:numId w:val="18"/>
        </w:numPr>
        <w:spacing w:after="0"/>
        <w:contextualSpacing w:val="0"/>
        <w:rPr>
          <w:sz w:val="21"/>
          <w:szCs w:val="21"/>
        </w:rPr>
      </w:pPr>
      <w:r>
        <w:rPr>
          <w:sz w:val="21"/>
          <w:szCs w:val="21"/>
        </w:rPr>
        <w:t>Nadine Litzba (Protokoll)</w:t>
      </w:r>
    </w:p>
    <w:p>
      <w:pPr>
        <w:pStyle w:val="Listenabsatz"/>
        <w:numPr>
          <w:ilvl w:val="0"/>
          <w:numId w:val="18"/>
        </w:numPr>
        <w:spacing w:after="0"/>
        <w:contextualSpacing w:val="0"/>
        <w:rPr>
          <w:sz w:val="21"/>
          <w:szCs w:val="21"/>
        </w:rPr>
      </w:pPr>
      <w:r>
        <w:rPr>
          <w:sz w:val="21"/>
          <w:szCs w:val="21"/>
        </w:rPr>
        <w:t>FG33</w:t>
      </w:r>
    </w:p>
    <w:p>
      <w:pPr>
        <w:pStyle w:val="Listenabsatz"/>
        <w:numPr>
          <w:ilvl w:val="1"/>
          <w:numId w:val="18"/>
        </w:numPr>
        <w:spacing w:after="0"/>
        <w:contextualSpacing w:val="0"/>
        <w:rPr>
          <w:sz w:val="21"/>
          <w:szCs w:val="21"/>
        </w:rPr>
      </w:pPr>
      <w:r>
        <w:rPr>
          <w:sz w:val="21"/>
          <w:szCs w:val="21"/>
        </w:rPr>
        <w:t>Ole Wichmann</w:t>
      </w:r>
    </w:p>
    <w:p>
      <w:pPr>
        <w:pStyle w:val="Listenabsatz"/>
        <w:numPr>
          <w:ilvl w:val="0"/>
          <w:numId w:val="18"/>
        </w:numPr>
        <w:spacing w:after="0"/>
        <w:contextualSpacing w:val="0"/>
        <w:rPr>
          <w:sz w:val="21"/>
          <w:szCs w:val="21"/>
        </w:rPr>
      </w:pPr>
      <w:r>
        <w:rPr>
          <w:sz w:val="21"/>
          <w:szCs w:val="21"/>
        </w:rPr>
        <w:t>FG36</w:t>
      </w:r>
    </w:p>
    <w:p>
      <w:pPr>
        <w:pStyle w:val="Listenabsatz"/>
        <w:numPr>
          <w:ilvl w:val="1"/>
          <w:numId w:val="18"/>
        </w:numPr>
        <w:spacing w:after="0"/>
        <w:contextualSpacing w:val="0"/>
        <w:rPr>
          <w:sz w:val="21"/>
          <w:szCs w:val="21"/>
        </w:rPr>
      </w:pPr>
      <w:r>
        <w:rPr>
          <w:sz w:val="21"/>
          <w:szCs w:val="21"/>
        </w:rPr>
        <w:t>Walther Haas</w:t>
      </w:r>
    </w:p>
    <w:p>
      <w:pPr>
        <w:pStyle w:val="Listenabsatz"/>
        <w:numPr>
          <w:ilvl w:val="0"/>
          <w:numId w:val="18"/>
        </w:numPr>
        <w:spacing w:after="0"/>
        <w:contextualSpacing w:val="0"/>
        <w:rPr>
          <w:sz w:val="21"/>
          <w:szCs w:val="21"/>
        </w:rPr>
      </w:pPr>
      <w:r>
        <w:rPr>
          <w:sz w:val="21"/>
          <w:szCs w:val="21"/>
        </w:rPr>
        <w:t>FG37</w:t>
      </w:r>
    </w:p>
    <w:p>
      <w:pPr>
        <w:pStyle w:val="Listenabsatz"/>
        <w:numPr>
          <w:ilvl w:val="1"/>
          <w:numId w:val="18"/>
        </w:numPr>
        <w:spacing w:after="0"/>
        <w:contextualSpacing w:val="0"/>
        <w:rPr>
          <w:sz w:val="21"/>
          <w:szCs w:val="21"/>
        </w:rPr>
      </w:pPr>
      <w:r>
        <w:rPr>
          <w:sz w:val="21"/>
          <w:szCs w:val="21"/>
        </w:rPr>
        <w:t>Tim Eckmanns</w:t>
      </w:r>
    </w:p>
    <w:p>
      <w:pPr>
        <w:pStyle w:val="Listenabsatz"/>
        <w:numPr>
          <w:ilvl w:val="0"/>
          <w:numId w:val="19"/>
        </w:numPr>
        <w:spacing w:after="0"/>
        <w:contextualSpacing w:val="0"/>
        <w:rPr>
          <w:sz w:val="21"/>
          <w:szCs w:val="21"/>
        </w:rPr>
      </w:pPr>
      <w:r>
        <w:rPr>
          <w:sz w:val="21"/>
          <w:szCs w:val="21"/>
        </w:rPr>
        <w:t>IBBS</w:t>
      </w:r>
    </w:p>
    <w:p>
      <w:pPr>
        <w:pStyle w:val="Listenabsatz"/>
        <w:numPr>
          <w:ilvl w:val="1"/>
          <w:numId w:val="19"/>
        </w:numPr>
        <w:spacing w:after="0"/>
        <w:contextualSpacing w:val="0"/>
        <w:rPr>
          <w:sz w:val="21"/>
          <w:szCs w:val="21"/>
        </w:rPr>
      </w:pPr>
      <w:r>
        <w:rPr>
          <w:sz w:val="21"/>
          <w:szCs w:val="21"/>
        </w:rPr>
        <w:t>Christian Herzog</w:t>
      </w:r>
    </w:p>
    <w:p>
      <w:pPr>
        <w:pStyle w:val="Listenabsatz"/>
        <w:numPr>
          <w:ilvl w:val="0"/>
          <w:numId w:val="19"/>
        </w:numPr>
        <w:spacing w:after="0"/>
        <w:contextualSpacing w:val="0"/>
        <w:rPr>
          <w:sz w:val="21"/>
          <w:szCs w:val="21"/>
        </w:rPr>
      </w:pPr>
      <w:r>
        <w:rPr>
          <w:sz w:val="21"/>
          <w:szCs w:val="21"/>
        </w:rPr>
        <w:t>Presse</w:t>
      </w:r>
    </w:p>
    <w:p>
      <w:pPr>
        <w:pStyle w:val="Listenabsatz"/>
        <w:numPr>
          <w:ilvl w:val="1"/>
          <w:numId w:val="19"/>
        </w:numPr>
        <w:spacing w:after="0"/>
        <w:contextualSpacing w:val="0"/>
        <w:rPr>
          <w:sz w:val="21"/>
          <w:szCs w:val="21"/>
        </w:rPr>
      </w:pPr>
      <w:r>
        <w:rPr>
          <w:sz w:val="21"/>
          <w:szCs w:val="21"/>
        </w:rPr>
        <w:t xml:space="preserve">Ronja Wenchel </w:t>
      </w:r>
    </w:p>
    <w:p>
      <w:pPr>
        <w:pStyle w:val="Listenabsatz"/>
        <w:numPr>
          <w:ilvl w:val="0"/>
          <w:numId w:val="19"/>
        </w:numPr>
        <w:spacing w:after="0"/>
        <w:contextualSpacing w:val="0"/>
        <w:rPr>
          <w:sz w:val="21"/>
          <w:szCs w:val="21"/>
        </w:rPr>
      </w:pPr>
      <w:r>
        <w:rPr>
          <w:sz w:val="21"/>
          <w:szCs w:val="21"/>
        </w:rPr>
        <w:t>ZBS1</w:t>
      </w:r>
    </w:p>
    <w:p>
      <w:pPr>
        <w:pStyle w:val="Listenabsatz"/>
        <w:numPr>
          <w:ilvl w:val="0"/>
          <w:numId w:val="18"/>
        </w:numPr>
        <w:spacing w:after="0"/>
        <w:contextualSpacing w:val="0"/>
        <w:rPr>
          <w:sz w:val="21"/>
          <w:szCs w:val="21"/>
        </w:rPr>
      </w:pPr>
      <w:r>
        <w:rPr>
          <w:sz w:val="21"/>
          <w:szCs w:val="21"/>
        </w:rPr>
        <w:t>ZIG1</w:t>
      </w:r>
    </w:p>
    <w:p>
      <w:pPr>
        <w:pStyle w:val="Listenabsatz"/>
        <w:numPr>
          <w:ilvl w:val="1"/>
          <w:numId w:val="19"/>
        </w:numPr>
        <w:spacing w:after="0"/>
        <w:contextualSpacing w:val="0"/>
        <w:rPr>
          <w:sz w:val="21"/>
          <w:szCs w:val="21"/>
        </w:rPr>
      </w:pPr>
      <w:r>
        <w:rPr>
          <w:sz w:val="21"/>
          <w:szCs w:val="21"/>
        </w:rPr>
        <w:t>Andreas Jansen</w:t>
      </w:r>
    </w:p>
    <w:p>
      <w:pPr>
        <w:pStyle w:val="Listenabsatz"/>
        <w:numPr>
          <w:ilvl w:val="0"/>
          <w:numId w:val="18"/>
        </w:numPr>
        <w:spacing w:after="0"/>
        <w:contextualSpacing w:val="0"/>
        <w:rPr>
          <w:sz w:val="21"/>
          <w:szCs w:val="21"/>
        </w:rPr>
      </w:pPr>
      <w:r>
        <w:rPr>
          <w:sz w:val="21"/>
          <w:szCs w:val="21"/>
        </w:rPr>
        <w:t xml:space="preserve">BZGA </w:t>
      </w:r>
    </w:p>
    <w:p>
      <w:pPr>
        <w:pStyle w:val="Listenabsatz"/>
        <w:numPr>
          <w:ilvl w:val="1"/>
          <w:numId w:val="18"/>
        </w:numPr>
        <w:spacing w:after="0"/>
        <w:contextualSpacing w:val="0"/>
        <w:rPr>
          <w:sz w:val="22"/>
        </w:rPr>
      </w:pPr>
      <w:proofErr w:type="spellStart"/>
      <w:r>
        <w:rPr>
          <w:sz w:val="21"/>
          <w:szCs w:val="21"/>
          <w:lang w:val="en-US"/>
        </w:rPr>
        <w:t>Heidrun</w:t>
      </w:r>
      <w:proofErr w:type="spellEnd"/>
      <w:r>
        <w:rPr>
          <w:sz w:val="21"/>
          <w:szCs w:val="21"/>
          <w:lang w:val="en-US"/>
        </w:rPr>
        <w:t xml:space="preserve"> </w:t>
      </w:r>
      <w:proofErr w:type="spellStart"/>
      <w:r>
        <w:rPr>
          <w:sz w:val="21"/>
          <w:szCs w:val="21"/>
          <w:lang w:val="en-US"/>
        </w:rPr>
        <w:t>Thaiss</w:t>
      </w:r>
      <w:proofErr w:type="spellEnd"/>
    </w:p>
    <w:p>
      <w:pPr>
        <w:pStyle w:val="Listenabsatz"/>
        <w:numPr>
          <w:ilvl w:val="0"/>
          <w:numId w:val="18"/>
        </w:numPr>
        <w:spacing w:after="0"/>
        <w:contextualSpacing w:val="0"/>
        <w:rPr>
          <w:sz w:val="21"/>
          <w:szCs w:val="21"/>
        </w:rPr>
      </w:pPr>
      <w:r>
        <w:rPr>
          <w:sz w:val="21"/>
          <w:szCs w:val="21"/>
        </w:rPr>
        <w:t>Bundeswehr</w:t>
      </w:r>
    </w:p>
    <w:p>
      <w:pPr>
        <w:pStyle w:val="Listenabsatz"/>
        <w:numPr>
          <w:ilvl w:val="1"/>
          <w:numId w:val="18"/>
        </w:numPr>
        <w:spacing w:after="0"/>
        <w:contextualSpacing w:val="0"/>
      </w:pPr>
      <w:r>
        <w:rPr>
          <w:sz w:val="21"/>
          <w:szCs w:val="21"/>
        </w:rPr>
        <w:t xml:space="preserve">Frau Roßmann </w:t>
      </w:r>
    </w:p>
    <w:p>
      <w:pPr>
        <w:pStyle w:val="berschrift2"/>
      </w:pPr>
    </w:p>
    <w:p>
      <w:r>
        <w:br w:type="page"/>
      </w:r>
    </w:p>
    <w:tbl>
      <w:tblPr>
        <w:tblStyle w:val="Tabellenraster"/>
        <w:tblW w:w="8755" w:type="dxa"/>
        <w:tblLook w:val="00A0" w:firstRow="1" w:lastRow="0" w:firstColumn="1" w:lastColumn="0" w:noHBand="0" w:noVBand="0"/>
      </w:tblPr>
      <w:tblGrid>
        <w:gridCol w:w="762"/>
        <w:gridCol w:w="6292"/>
        <w:gridCol w:w="1701"/>
      </w:tblGrid>
      <w:tr>
        <w:tc>
          <w:tcPr>
            <w:tcW w:w="762" w:type="dxa"/>
          </w:tcPr>
          <w:p>
            <w:pPr>
              <w:rPr>
                <w:b/>
                <w:sz w:val="28"/>
                <w:szCs w:val="28"/>
              </w:rPr>
            </w:pPr>
            <w:r>
              <w:rPr>
                <w:b/>
                <w:sz w:val="28"/>
                <w:szCs w:val="28"/>
              </w:rPr>
              <w:lastRenderedPageBreak/>
              <w:t>TOP</w:t>
            </w:r>
          </w:p>
        </w:tc>
        <w:tc>
          <w:tcPr>
            <w:tcW w:w="6292" w:type="dxa"/>
          </w:tcPr>
          <w:p>
            <w:pPr>
              <w:rPr>
                <w:b/>
              </w:rPr>
            </w:pPr>
            <w:r>
              <w:rPr>
                <w:b/>
              </w:rPr>
              <w:t>Beitrag/Thema</w:t>
            </w:r>
          </w:p>
        </w:tc>
        <w:tc>
          <w:tcPr>
            <w:tcW w:w="1701" w:type="dxa"/>
          </w:tcPr>
          <w:p>
            <w:pPr>
              <w:rPr>
                <w:b/>
              </w:rPr>
            </w:pPr>
            <w:r>
              <w:rPr>
                <w:b/>
              </w:rPr>
              <w:t>eingebracht von</w:t>
            </w:r>
          </w:p>
        </w:tc>
      </w:tr>
      <w:tr>
        <w:tc>
          <w:tcPr>
            <w:tcW w:w="762" w:type="dxa"/>
          </w:tcPr>
          <w:p>
            <w:pPr>
              <w:rPr>
                <w:b/>
                <w:sz w:val="28"/>
                <w:szCs w:val="28"/>
              </w:rPr>
            </w:pPr>
            <w:r>
              <w:rPr>
                <w:b/>
                <w:sz w:val="28"/>
                <w:szCs w:val="28"/>
              </w:rPr>
              <w:t>1</w:t>
            </w:r>
          </w:p>
        </w:tc>
        <w:tc>
          <w:tcPr>
            <w:tcW w:w="6292" w:type="dxa"/>
          </w:tcPr>
          <w:p>
            <w:pPr>
              <w:rPr>
                <w:b/>
                <w:sz w:val="28"/>
                <w:szCs w:val="28"/>
              </w:rPr>
            </w:pPr>
            <w:r>
              <w:rPr>
                <w:b/>
                <w:sz w:val="28"/>
                <w:szCs w:val="28"/>
              </w:rPr>
              <w:t>Aktuelle Lage</w:t>
            </w:r>
          </w:p>
          <w:p>
            <w:pPr>
              <w:rPr>
                <w:b/>
              </w:rPr>
            </w:pPr>
            <w:r>
              <w:rPr>
                <w:b/>
              </w:rPr>
              <w:t>International Fälle, Schwere, Risikofaktoren</w:t>
            </w:r>
          </w:p>
          <w:p>
            <w:pPr>
              <w:pStyle w:val="Listenabsatz"/>
              <w:numPr>
                <w:ilvl w:val="0"/>
                <w:numId w:val="11"/>
              </w:numPr>
            </w:pPr>
            <w:r>
              <w:t xml:space="preserve">Trendanalyse international, Maßnahmen (Folien </w:t>
            </w:r>
            <w:hyperlink r:id="rId8" w:history="1">
              <w:r>
                <w:rPr>
                  <w:rStyle w:val="Hyperlink"/>
                </w:rPr>
                <w:t>hier</w:t>
              </w:r>
            </w:hyperlink>
            <w:r>
              <w:t>)</w:t>
            </w:r>
          </w:p>
          <w:p>
            <w:pPr>
              <w:pStyle w:val="Listenabsatz"/>
              <w:numPr>
                <w:ilvl w:val="0"/>
                <w:numId w:val="11"/>
              </w:numPr>
            </w:pPr>
            <w:r>
              <w:t xml:space="preserve">Länder über 70.000 Fällen: </w:t>
            </w:r>
          </w:p>
          <w:p>
            <w:pPr>
              <w:pStyle w:val="Listenabsatz"/>
              <w:numPr>
                <w:ilvl w:val="1"/>
                <w:numId w:val="11"/>
              </w:numPr>
            </w:pPr>
            <w:r>
              <w:t xml:space="preserve">In den USA Trend zu Entspannung sichtbar, 26.000 Todesfälle, inzwischen viele Testungen (3,1 </w:t>
            </w:r>
            <w:proofErr w:type="spellStart"/>
            <w:r>
              <w:t>Mio</w:t>
            </w:r>
            <w:proofErr w:type="spellEnd"/>
            <w:r>
              <w:t xml:space="preserve">), R = 1, Verdopplungszeit 11 Tage </w:t>
            </w:r>
          </w:p>
          <w:p>
            <w:pPr>
              <w:pStyle w:val="Listenabsatz"/>
              <w:numPr>
                <w:ilvl w:val="0"/>
                <w:numId w:val="11"/>
              </w:numPr>
            </w:pPr>
            <w:r>
              <w:t>Länder mit 7.000 – 70.000 Fällen:</w:t>
            </w:r>
          </w:p>
          <w:p>
            <w:pPr>
              <w:pStyle w:val="Listenabsatz"/>
              <w:numPr>
                <w:ilvl w:val="1"/>
                <w:numId w:val="11"/>
              </w:numPr>
            </w:pPr>
            <w:r>
              <w:t>In den europäischen Ländern konsolidiert sind die Zahl der Neuinfektionen oder sinkt.</w:t>
            </w:r>
          </w:p>
          <w:p>
            <w:pPr>
              <w:pStyle w:val="Listenabsatz"/>
              <w:numPr>
                <w:ilvl w:val="1"/>
                <w:numId w:val="11"/>
              </w:numPr>
            </w:pPr>
            <w:r>
              <w:t>Ein Anstieg ist in Russland und der Türkei zu sehen. Bericht darüber Anfang nächster Woche.</w:t>
            </w:r>
          </w:p>
          <w:p>
            <w:pPr>
              <w:pStyle w:val="Listenabsatz"/>
              <w:numPr>
                <w:ilvl w:val="1"/>
                <w:numId w:val="11"/>
              </w:numPr>
            </w:pPr>
            <w:r>
              <w:t xml:space="preserve">Gespräch von ZIG1 mit russischer nationaler PH Behörde am Freitag. </w:t>
            </w:r>
          </w:p>
          <w:p>
            <w:pPr>
              <w:pStyle w:val="Listenabsatz"/>
              <w:numPr>
                <w:ilvl w:val="0"/>
                <w:numId w:val="11"/>
              </w:numPr>
            </w:pPr>
            <w:r>
              <w:t xml:space="preserve">Länder mit 1.400 – 7.000 Fällen: </w:t>
            </w:r>
          </w:p>
          <w:p>
            <w:pPr>
              <w:pStyle w:val="Listenabsatz"/>
              <w:numPr>
                <w:ilvl w:val="1"/>
                <w:numId w:val="11"/>
              </w:numPr>
            </w:pPr>
            <w:r>
              <w:t>Hohe R in Saudi Arabien und den Vereinigten Arabischen Emiraten</w:t>
            </w:r>
          </w:p>
          <w:p>
            <w:pPr>
              <w:pStyle w:val="Listenabsatz"/>
              <w:numPr>
                <w:ilvl w:val="1"/>
                <w:numId w:val="11"/>
              </w:numPr>
            </w:pPr>
            <w:r>
              <w:t>Japan und Singapur werden weiter beobachtet</w:t>
            </w:r>
          </w:p>
          <w:p>
            <w:pPr>
              <w:pStyle w:val="Listenabsatz"/>
              <w:numPr>
                <w:ilvl w:val="0"/>
                <w:numId w:val="11"/>
              </w:numPr>
              <w:rPr>
                <w:u w:val="single"/>
              </w:rPr>
            </w:pPr>
            <w:r>
              <w:rPr>
                <w:u w:val="single"/>
              </w:rPr>
              <w:t>EMRO-Region:</w:t>
            </w:r>
          </w:p>
          <w:p>
            <w:pPr>
              <w:pStyle w:val="Listenabsatz"/>
              <w:numPr>
                <w:ilvl w:val="1"/>
                <w:numId w:val="11"/>
              </w:numPr>
            </w:pPr>
            <w:r>
              <w:t>Hotspot mit 75.000 Fällen ist der Iran, seit mehr als einer Woche Rückgang zu sehen, Testkit-Verfügbarkeit ist nun besser, da selbst produziert wird, Positivanteil inzwischen geringer.</w:t>
            </w:r>
          </w:p>
          <w:p>
            <w:pPr>
              <w:pStyle w:val="Listenabsatz"/>
              <w:numPr>
                <w:ilvl w:val="1"/>
                <w:numId w:val="11"/>
              </w:numPr>
            </w:pPr>
            <w:r>
              <w:t>In der EMRO-Region nehmen die Fallzahlen von Osten nach Westen ab. Im Maghreb-Staaten bislang kein besonders großes Ausbruchsgeschehen sichtbar, aber der westliche Bereich wird weiter beobachtet.</w:t>
            </w:r>
          </w:p>
          <w:p>
            <w:pPr>
              <w:pStyle w:val="Listenabsatz"/>
              <w:numPr>
                <w:ilvl w:val="1"/>
                <w:numId w:val="11"/>
              </w:numPr>
            </w:pPr>
            <w:r>
              <w:t>Im Jemen und ich Syrien niedrige Fallzahlen, auch aufgrund fehlender Teste – es wird mit der BW überlegt wo man unterstützen könnte</w:t>
            </w:r>
          </w:p>
          <w:p>
            <w:pPr>
              <w:pStyle w:val="Listenabsatz"/>
              <w:numPr>
                <w:ilvl w:val="1"/>
                <w:numId w:val="11"/>
              </w:numPr>
            </w:pPr>
            <w:r>
              <w:t xml:space="preserve">UN-Wirtschafts- und Sozialkommission für Westasien (ESCWA) geht von sehr hohen Verluste und gravierenden Folgen für den arabischen Raum aus, v.a. Menschen in Syrien und im Jemen benötigen Hilfe. Frauen sind generell besonders </w:t>
            </w:r>
            <w:proofErr w:type="spellStart"/>
            <w:r>
              <w:t>besonders</w:t>
            </w:r>
            <w:proofErr w:type="spellEnd"/>
            <w:r>
              <w:t xml:space="preserve"> gefährdet.</w:t>
            </w:r>
          </w:p>
          <w:p>
            <w:pPr>
              <w:pStyle w:val="Listenabsatz"/>
              <w:numPr>
                <w:ilvl w:val="0"/>
                <w:numId w:val="11"/>
              </w:numPr>
              <w:rPr>
                <w:u w:val="single"/>
              </w:rPr>
            </w:pPr>
            <w:r>
              <w:rPr>
                <w:u w:val="single"/>
              </w:rPr>
              <w:t>Saudi Arabien:</w:t>
            </w:r>
          </w:p>
          <w:p>
            <w:pPr>
              <w:pStyle w:val="Listenabsatz"/>
              <w:numPr>
                <w:ilvl w:val="1"/>
                <w:numId w:val="11"/>
              </w:numPr>
            </w:pPr>
            <w:r>
              <w:t xml:space="preserve">Die meisten Fälle im städtischen Bereich, Thema am Anfang sehr politisiert („schiitische Seuche“), wurde von dem Moment als relevanter eingeschätzt und auch die Laborkapazitäten hochgefahren als die Königsfamilie selbst betroffen war. </w:t>
            </w:r>
          </w:p>
          <w:p>
            <w:pPr>
              <w:pStyle w:val="Listenabsatz"/>
              <w:numPr>
                <w:ilvl w:val="1"/>
                <w:numId w:val="11"/>
              </w:numPr>
            </w:pPr>
            <w:r>
              <w:lastRenderedPageBreak/>
              <w:t>Die meisten Testungen finden in Kliniken statt.</w:t>
            </w:r>
          </w:p>
          <w:p>
            <w:pPr>
              <w:pStyle w:val="Listenabsatz"/>
              <w:numPr>
                <w:ilvl w:val="1"/>
                <w:numId w:val="11"/>
              </w:numPr>
            </w:pPr>
            <w:r>
              <w:t xml:space="preserve">Maßnahmen sind primär auf Städte konzentriert, in Städten gibt es auch </w:t>
            </w:r>
            <w:proofErr w:type="spellStart"/>
            <w:r>
              <w:t>grds</w:t>
            </w:r>
            <w:proofErr w:type="spellEnd"/>
            <w:r>
              <w:t>. eine bessere Versorgung, z.T. aber auch für die königliche Familie reservierte Kapazitäten.</w:t>
            </w:r>
          </w:p>
          <w:p>
            <w:pPr>
              <w:pStyle w:val="Listenabsatz"/>
              <w:numPr>
                <w:ilvl w:val="0"/>
                <w:numId w:val="11"/>
              </w:numPr>
              <w:rPr>
                <w:u w:val="single"/>
              </w:rPr>
            </w:pPr>
            <w:r>
              <w:rPr>
                <w:u w:val="single"/>
              </w:rPr>
              <w:t>Vereinigte Arabische Emirate:</w:t>
            </w:r>
          </w:p>
          <w:p>
            <w:pPr>
              <w:pStyle w:val="Listenabsatz"/>
              <w:numPr>
                <w:ilvl w:val="1"/>
                <w:numId w:val="11"/>
              </w:numPr>
            </w:pPr>
            <w:r>
              <w:t xml:space="preserve">Geringste Fallsterblichkeit weltweit, es wird extrem viel getestet, zusammen mit Südkorea der geringste Positivanteil. </w:t>
            </w:r>
          </w:p>
          <w:p>
            <w:pPr>
              <w:pStyle w:val="Listenabsatz"/>
              <w:numPr>
                <w:ilvl w:val="1"/>
                <w:numId w:val="11"/>
              </w:numPr>
            </w:pPr>
            <w:r>
              <w:t>Starke Reiserestriktionen, wenige verbliebene Einreisende müssen in 14-tägige Quarantäne.</w:t>
            </w:r>
          </w:p>
          <w:p/>
          <w:p>
            <w:pPr>
              <w:spacing w:line="276" w:lineRule="auto"/>
              <w:rPr>
                <w:b/>
              </w:rPr>
            </w:pPr>
            <w:r>
              <w:rPr>
                <w:b/>
              </w:rPr>
              <w:t xml:space="preserve">National </w:t>
            </w:r>
          </w:p>
          <w:p>
            <w:pPr>
              <w:pStyle w:val="Listenabsatz"/>
              <w:numPr>
                <w:ilvl w:val="0"/>
                <w:numId w:val="11"/>
              </w:numPr>
              <w:ind w:left="450"/>
              <w:rPr>
                <w:i/>
              </w:rPr>
            </w:pPr>
            <w:r>
              <w:rPr>
                <w:b/>
              </w:rPr>
              <w:t>Fallzahlen, Todesfälle, Inzidenz, Trend</w:t>
            </w:r>
            <w:r>
              <w:t xml:space="preserve"> (Folien </w:t>
            </w:r>
            <w:hyperlink r:id="rId9" w:history="1">
              <w:r>
                <w:rPr>
                  <w:rStyle w:val="Hyperlink"/>
                </w:rPr>
                <w:t>hier</w:t>
              </w:r>
            </w:hyperlink>
            <w:r>
              <w:t xml:space="preserve">) </w:t>
            </w:r>
          </w:p>
          <w:p>
            <w:pPr>
              <w:pStyle w:val="Listenabsatz"/>
              <w:numPr>
                <w:ilvl w:val="1"/>
                <w:numId w:val="11"/>
              </w:numPr>
            </w:pPr>
            <w:r>
              <w:t>Inzidenz 153, + 2486 neue Fälle, verhältnismäßig wenig trotz des langen Wochenendes</w:t>
            </w:r>
          </w:p>
          <w:p>
            <w:pPr>
              <w:pStyle w:val="Listenabsatz"/>
              <w:numPr>
                <w:ilvl w:val="1"/>
                <w:numId w:val="11"/>
              </w:numPr>
            </w:pPr>
            <w:r>
              <w:t>+285 Todesfälle, bis jetzt die höchste Anzahl an einem Tag, Anteil Verstorbener steigt auf 2,6</w:t>
            </w:r>
          </w:p>
          <w:p>
            <w:pPr>
              <w:pStyle w:val="Listenabsatz"/>
              <w:numPr>
                <w:ilvl w:val="1"/>
                <w:numId w:val="11"/>
              </w:numPr>
            </w:pPr>
            <w:r>
              <w:t>IHME prognostiziert den Peak der Todesfälle in D für den 14.04., in der Schweiz soll der Peak erst in einem Monat erreicht sein. Unklar wie berechnet.</w:t>
            </w:r>
          </w:p>
          <w:p>
            <w:pPr>
              <w:pStyle w:val="Listenabsatz"/>
              <w:numPr>
                <w:ilvl w:val="1"/>
                <w:numId w:val="11"/>
              </w:numPr>
              <w:rPr>
                <w:b/>
              </w:rPr>
            </w:pPr>
            <w:r>
              <w:t xml:space="preserve">Fälle unter Personal in med. Einrichtungen: </w:t>
            </w:r>
          </w:p>
          <w:p>
            <w:pPr>
              <w:pStyle w:val="Listenabsatz"/>
              <w:numPr>
                <w:ilvl w:val="2"/>
                <w:numId w:val="11"/>
              </w:numPr>
              <w:ind w:left="1584"/>
              <w:rPr>
                <w:b/>
              </w:rPr>
            </w:pPr>
            <w:r>
              <w:t>6.058 COVID-19-Fälle gemäß § 23 Abs. 3 IfSG tätig, von 5.639 waren weitere Angaben vorhanden, davon  239 hospitalisiert und 7 verstorben (0,12%)</w:t>
            </w:r>
          </w:p>
          <w:p>
            <w:pPr>
              <w:pStyle w:val="Listenabsatz"/>
              <w:numPr>
                <w:ilvl w:val="2"/>
                <w:numId w:val="11"/>
              </w:numPr>
              <w:ind w:left="1584"/>
              <w:rPr>
                <w:b/>
              </w:rPr>
            </w:pPr>
            <w:r>
              <w:t>In anderen Ländern dazu viel in der Presse, in D bislang wenig</w:t>
            </w:r>
          </w:p>
          <w:p>
            <w:pPr>
              <w:pStyle w:val="Listenabsatz"/>
              <w:numPr>
                <w:ilvl w:val="1"/>
                <w:numId w:val="11"/>
              </w:numPr>
              <w:rPr>
                <w:b/>
              </w:rPr>
            </w:pPr>
            <w:r>
              <w:t>Im Vergleich zur letzten Woche deutlicher Rückgang der Kreise mit sehr hoher kumulativen Inzidenz.</w:t>
            </w:r>
          </w:p>
          <w:p>
            <w:pPr>
              <w:pStyle w:val="Listenabsatz"/>
              <w:numPr>
                <w:ilvl w:val="1"/>
                <w:numId w:val="11"/>
              </w:numPr>
              <w:rPr>
                <w:b/>
              </w:rPr>
            </w:pPr>
            <w:r>
              <w:t>Trendanalysen der BL und Kreise zeigen deutlichen Abwärtstrend.</w:t>
            </w:r>
          </w:p>
          <w:p>
            <w:pPr>
              <w:pStyle w:val="Listenabsatz"/>
              <w:numPr>
                <w:ilvl w:val="1"/>
                <w:numId w:val="11"/>
              </w:numPr>
              <w:rPr>
                <w:b/>
              </w:rPr>
            </w:pPr>
            <w:r>
              <w:t>Nur noch 11 COVID-19-Fälle mit Expositionsort Ausland.</w:t>
            </w:r>
          </w:p>
          <w:p>
            <w:pPr>
              <w:pStyle w:val="Listenabsatz"/>
              <w:numPr>
                <w:ilvl w:val="1"/>
                <w:numId w:val="11"/>
              </w:numPr>
            </w:pPr>
            <w:r>
              <w:t xml:space="preserve">Laut Mobilitätsanalyse von Google geht Mobilität insgesamt herunter, in Parks und Wohngegenden nimmt sie etwas zu. </w:t>
            </w:r>
          </w:p>
          <w:p>
            <w:pPr>
              <w:pStyle w:val="Listenabsatz"/>
              <w:numPr>
                <w:ilvl w:val="0"/>
                <w:numId w:val="11"/>
              </w:numPr>
              <w:ind w:left="450"/>
              <w:rPr>
                <w:b/>
              </w:rPr>
            </w:pPr>
            <w:proofErr w:type="spellStart"/>
            <w:r>
              <w:rPr>
                <w:b/>
              </w:rPr>
              <w:t>Syndromische</w:t>
            </w:r>
            <w:proofErr w:type="spellEnd"/>
            <w:r>
              <w:rPr>
                <w:b/>
              </w:rPr>
              <w:t xml:space="preserve"> Surveillance</w:t>
            </w:r>
          </w:p>
          <w:p>
            <w:pPr>
              <w:pStyle w:val="Listenabsatz"/>
              <w:numPr>
                <w:ilvl w:val="1"/>
                <w:numId w:val="11"/>
              </w:numPr>
            </w:pPr>
            <w:r>
              <w:t>Grundsätzlich sieht man Effekt der Ostertage, ggf. Nachmeldungen und damit Veränderung möglich.</w:t>
            </w:r>
          </w:p>
          <w:p>
            <w:pPr>
              <w:pStyle w:val="Listenabsatz"/>
              <w:numPr>
                <w:ilvl w:val="1"/>
                <w:numId w:val="11"/>
              </w:numPr>
            </w:pPr>
            <w:r>
              <w:t xml:space="preserve">Grippeweb: </w:t>
            </w:r>
          </w:p>
          <w:p>
            <w:pPr>
              <w:pStyle w:val="Listenabsatz"/>
              <w:numPr>
                <w:ilvl w:val="2"/>
                <w:numId w:val="11"/>
              </w:numPr>
              <w:ind w:left="1584"/>
            </w:pPr>
            <w:r>
              <w:t>ILI-Raten auf sehr niedrigem Niveau, „Allzeittief“</w:t>
            </w:r>
          </w:p>
          <w:p>
            <w:pPr>
              <w:pStyle w:val="Listenabsatz"/>
              <w:numPr>
                <w:ilvl w:val="1"/>
                <w:numId w:val="11"/>
              </w:numPr>
            </w:pPr>
            <w:r>
              <w:lastRenderedPageBreak/>
              <w:t xml:space="preserve">AGI: </w:t>
            </w:r>
          </w:p>
          <w:p>
            <w:pPr>
              <w:pStyle w:val="Listenabsatz"/>
              <w:numPr>
                <w:ilvl w:val="2"/>
                <w:numId w:val="11"/>
              </w:numPr>
              <w:ind w:left="1584"/>
            </w:pPr>
            <w:r>
              <w:t>15 KW sehr wenig Meldungen (25% weniger), es gibt sicherlich Nachmeldungen, aber insges. Konsultationsinzidenz seit mehreren Wochen steil abfallend (über alle Altersgruppen)</w:t>
            </w:r>
          </w:p>
          <w:p>
            <w:pPr>
              <w:pStyle w:val="Listenabsatz"/>
              <w:numPr>
                <w:ilvl w:val="2"/>
                <w:numId w:val="11"/>
              </w:numPr>
              <w:ind w:left="1584"/>
            </w:pPr>
            <w:r>
              <w:t>Es sind in der 15 KW nur sehr wenige Proben eingegangen. Gründe dafür: Post über Feiertage verzögert, Praxen geschlossen und das Motivationsschreiben an die Praxen in dem zum weiteren Abstreichen der Patienten aufgefordert wird, ist noch nicht rausgeschickt worden. Die wenigen Proben waren Influenza negativ, aber eine Probe SARS-CoV-2 positiv (</w:t>
            </w:r>
            <w:proofErr w:type="spellStart"/>
            <w:r>
              <w:t>wahrsch</w:t>
            </w:r>
            <w:proofErr w:type="spellEnd"/>
            <w:r>
              <w:t>. verzerrt durch wenige Proben).</w:t>
            </w:r>
          </w:p>
          <w:p>
            <w:pPr>
              <w:pStyle w:val="Listenabsatz"/>
              <w:numPr>
                <w:ilvl w:val="1"/>
                <w:numId w:val="11"/>
              </w:numPr>
            </w:pPr>
            <w:proofErr w:type="spellStart"/>
            <w:r>
              <w:t>Syndromische</w:t>
            </w:r>
            <w:proofErr w:type="spellEnd"/>
            <w:r>
              <w:t xml:space="preserve"> Krankenhaus-Surveillance (ICOSARI) (Folien </w:t>
            </w:r>
            <w:hyperlink r:id="rId10" w:history="1">
              <w:r>
                <w:rPr>
                  <w:rStyle w:val="Hyperlink"/>
                </w:rPr>
                <w:t>hier</w:t>
              </w:r>
            </w:hyperlink>
            <w:r>
              <w:t>)</w:t>
            </w:r>
          </w:p>
          <w:p>
            <w:pPr>
              <w:pStyle w:val="Listenabsatz"/>
              <w:numPr>
                <w:ilvl w:val="2"/>
                <w:numId w:val="11"/>
              </w:numPr>
              <w:ind w:left="1584"/>
            </w:pPr>
            <w:r>
              <w:t>Unterschiedliche Abdeckung in versch. BL</w:t>
            </w:r>
          </w:p>
          <w:p>
            <w:pPr>
              <w:pStyle w:val="Listenabsatz"/>
              <w:numPr>
                <w:ilvl w:val="2"/>
                <w:numId w:val="11"/>
              </w:numPr>
              <w:ind w:left="1584"/>
            </w:pPr>
            <w:r>
              <w:t xml:space="preserve">Seit KW40/2015 Daten von entlassenen Patienten mit J-Diagnose (respiratorische ICD10-Diagnose), zusätzlich werden weitere Diagnosen, Beatmungsdauer, Dauer Intensivbehandlung und Alter, Geschlecht und BL übermittelt. </w:t>
            </w:r>
          </w:p>
          <w:p>
            <w:pPr>
              <w:pStyle w:val="Listenabsatz"/>
              <w:numPr>
                <w:ilvl w:val="2"/>
                <w:numId w:val="11"/>
              </w:numPr>
              <w:ind w:left="1584"/>
            </w:pPr>
            <w:r>
              <w:t>Zusätzlich seit 13.KW nicht  nur entlassene, sondern täglich auch Daten liegender Patienten.</w:t>
            </w:r>
          </w:p>
          <w:p>
            <w:pPr>
              <w:pStyle w:val="Listenabsatz"/>
              <w:numPr>
                <w:ilvl w:val="2"/>
                <w:numId w:val="11"/>
              </w:numPr>
              <w:ind w:left="1584"/>
            </w:pPr>
            <w:r>
              <w:t xml:space="preserve">Seit KW15 zusätzlich Informationen über Beatmungsprozeduren </w:t>
            </w:r>
          </w:p>
          <w:p>
            <w:pPr>
              <w:pStyle w:val="Listenabsatz"/>
              <w:numPr>
                <w:ilvl w:val="2"/>
                <w:numId w:val="11"/>
              </w:numPr>
              <w:ind w:left="1584"/>
            </w:pPr>
            <w:r>
              <w:t>73 KH liefern wöchentlich, 50 Häuser grundsätzlich täglich (Daten gehen aber nicht von allen an jedem Tag ein)</w:t>
            </w:r>
          </w:p>
          <w:p>
            <w:pPr>
              <w:pStyle w:val="Listenabsatz"/>
              <w:numPr>
                <w:ilvl w:val="2"/>
                <w:numId w:val="11"/>
              </w:numPr>
              <w:ind w:left="1584"/>
            </w:pPr>
            <w:r>
              <w:t xml:space="preserve">Pro Klinik 2 Datensätze: 1. Datensatz von Patienten mit </w:t>
            </w:r>
            <w:proofErr w:type="spellStart"/>
            <w:r>
              <w:t>respirator</w:t>
            </w:r>
            <w:proofErr w:type="spellEnd"/>
            <w:r>
              <w:t>. J-ICD10-Diagnose (plus beschriebene weitere Daten) (=</w:t>
            </w:r>
            <w:proofErr w:type="spellStart"/>
            <w:r>
              <w:t>Nennerdatensatz</w:t>
            </w:r>
            <w:proofErr w:type="spellEnd"/>
            <w:r>
              <w:t>), 2. Datensatz mit Daten für alle Patienten in der Klinik (mit wenigen weiteren Daten) (=Zählerdatensatz), Inzidenzberechnung ist durch diese beiden Datensätze möglich</w:t>
            </w:r>
          </w:p>
          <w:p>
            <w:pPr>
              <w:pStyle w:val="Listenabsatz"/>
              <w:numPr>
                <w:ilvl w:val="2"/>
                <w:numId w:val="11"/>
              </w:numPr>
              <w:ind w:left="1584"/>
            </w:pPr>
            <w:r>
              <w:t xml:space="preserve">COVID-19 ist codiert als U07.1! </w:t>
            </w:r>
          </w:p>
          <w:p>
            <w:pPr>
              <w:pStyle w:val="Listenabsatz"/>
              <w:numPr>
                <w:ilvl w:val="2"/>
                <w:numId w:val="11"/>
              </w:numPr>
              <w:ind w:left="1584"/>
            </w:pPr>
            <w:r>
              <w:t xml:space="preserve">Falls jedoch als Hauptdiagnose keine </w:t>
            </w:r>
            <w:proofErr w:type="spellStart"/>
            <w:r>
              <w:t>respirator</w:t>
            </w:r>
            <w:proofErr w:type="spellEnd"/>
            <w:r>
              <w:t xml:space="preserve">. Diagnose (J-Diagnose), sondern z.B. Sepsis (A41.*) diagnostiziert wird, </w:t>
            </w:r>
            <w:r>
              <w:lastRenderedPageBreak/>
              <w:t>werden die Daten in ICOSARI nicht im 1. Datensatz (</w:t>
            </w:r>
            <w:proofErr w:type="spellStart"/>
            <w:r>
              <w:t>Nennerdatensatz</w:t>
            </w:r>
            <w:proofErr w:type="spellEnd"/>
            <w:r>
              <w:t>) übermittelt und können damit nicht ausgewertet werden.</w:t>
            </w:r>
          </w:p>
          <w:p>
            <w:pPr>
              <w:pStyle w:val="Listenabsatz"/>
              <w:numPr>
                <w:ilvl w:val="2"/>
                <w:numId w:val="11"/>
              </w:numPr>
              <w:ind w:left="1584"/>
            </w:pPr>
            <w:r>
              <w:t>Aktuelle Daten: 58% der Pat. Liegen noch im KH, 55% der Pat. sind männlich, 32% liegen auf der Intensivstation, 14% sind beatmet, 8% verstorben</w:t>
            </w:r>
          </w:p>
          <w:p>
            <w:pPr>
              <w:pStyle w:val="Listenabsatz"/>
              <w:numPr>
                <w:ilvl w:val="2"/>
                <w:numId w:val="11"/>
              </w:numPr>
              <w:ind w:left="1584"/>
            </w:pPr>
            <w:r>
              <w:t>Gesamtfallzahl je Altersgruppe: zw. 50 und 90 Jahren kommt es häufiger zu Intensivbehandlungen, in letzten Wochen Zunahme v.a. von Pat. im Alter von 70-90 Jahren</w:t>
            </w:r>
          </w:p>
          <w:p>
            <w:pPr>
              <w:pStyle w:val="Listenabsatz"/>
              <w:numPr>
                <w:ilvl w:val="2"/>
                <w:numId w:val="11"/>
              </w:numPr>
              <w:ind w:left="1584"/>
            </w:pPr>
            <w:r>
              <w:t xml:space="preserve">Chron. Vorerkrankungen in </w:t>
            </w:r>
            <w:proofErr w:type="spellStart"/>
            <w:r>
              <w:t>EpidBull</w:t>
            </w:r>
            <w:proofErr w:type="spellEnd"/>
            <w:r>
              <w:t xml:space="preserve"> 14/2020 publiziert. Wenn man sich diese Untergruppe der Risikofaktoren anschaut (Bluthochdruck, Diabetes/Stoffwechselerkrankungen, COPD, Krebs/Lymphom, Niereninsuffizienz, Lebererkrankung), scheint es so zu sein, dass COVID-19-Verstorbene zuvor weniger Risikofaktoren gehabt haben als Influenza-Verstorbene.  </w:t>
            </w:r>
          </w:p>
          <w:p>
            <w:pPr>
              <w:pStyle w:val="Listenabsatz"/>
              <w:numPr>
                <w:ilvl w:val="2"/>
                <w:numId w:val="11"/>
              </w:numPr>
              <w:ind w:left="1584"/>
            </w:pPr>
            <w:r>
              <w:t>Es wird daran gearbeitet weitere Vorerkrankungen identifiziert zu können.</w:t>
            </w:r>
          </w:p>
          <w:p>
            <w:pPr>
              <w:pStyle w:val="Listenabsatz"/>
              <w:numPr>
                <w:ilvl w:val="2"/>
                <w:numId w:val="11"/>
              </w:numPr>
              <w:ind w:left="1584"/>
            </w:pPr>
            <w:r>
              <w:t xml:space="preserve">Es gibt verschiedene Parameter für Erkrankungsschwere in ICOSARI: Ort der Behandlung, Krankheitsergebnisse (z.B. Tod) und Prozeduren (z.B. Beatmung, ggf. wird auch Dialyse noch mit integriert) </w:t>
            </w:r>
          </w:p>
          <w:p>
            <w:pPr>
              <w:pStyle w:val="Listenabsatz"/>
              <w:numPr>
                <w:ilvl w:val="2"/>
                <w:numId w:val="11"/>
              </w:numPr>
              <w:ind w:left="1584"/>
            </w:pPr>
            <w:r>
              <w:t>Eine Diskussion über die gemeinsame Nomenklatur Risikofaktoren/ Grunderkrankungen muss noch geführt werden, es sollte ein gemeinsames Sprachverständnis (RKI/BZgA) gefunden werden</w:t>
            </w:r>
          </w:p>
          <w:p>
            <w:pPr>
              <w:pStyle w:val="Listenabsatz"/>
              <w:numPr>
                <w:ilvl w:val="2"/>
                <w:numId w:val="11"/>
              </w:numPr>
              <w:ind w:left="1584"/>
            </w:pPr>
            <w:r>
              <w:t xml:space="preserve">Das Risiko, bei Hospitalisierung mit COVID-19 zu versterben ist in der Altersgruppe 60-69 Jahre 6mal höher, wenn eine der genannten Vorerkrankungen (Diabetes, Bluthochdruck etc.) vorliegt. </w:t>
            </w:r>
          </w:p>
          <w:p>
            <w:pPr>
              <w:pStyle w:val="Listenabsatz"/>
              <w:numPr>
                <w:ilvl w:val="2"/>
                <w:numId w:val="11"/>
              </w:numPr>
              <w:spacing w:after="120"/>
              <w:ind w:left="1582" w:hanging="357"/>
              <w:contextualSpacing w:val="0"/>
            </w:pPr>
            <w:r>
              <w:t>Die Daten zur Schwere des Verlaufs und zu den Risikofaktoren werden nun wöchentlich dargestellt, wenn vorhanden mit weiteren Infos zu Beatmungszeiten.</w:t>
            </w:r>
          </w:p>
          <w:p>
            <w:pPr>
              <w:pStyle w:val="Listenabsatz"/>
              <w:numPr>
                <w:ilvl w:val="0"/>
                <w:numId w:val="11"/>
              </w:numPr>
              <w:ind w:left="450"/>
              <w:rPr>
                <w:b/>
              </w:rPr>
            </w:pPr>
            <w:r>
              <w:rPr>
                <w:b/>
              </w:rPr>
              <w:t>Durchgeführte Tests und Testkapazitäten</w:t>
            </w:r>
          </w:p>
          <w:p>
            <w:pPr>
              <w:pStyle w:val="Listenabsatz"/>
              <w:numPr>
                <w:ilvl w:val="1"/>
                <w:numId w:val="11"/>
              </w:numPr>
              <w:rPr>
                <w:b/>
              </w:rPr>
            </w:pPr>
            <w:r>
              <w:t xml:space="preserve">191 Labore insgesamt beteiligt, 149 Labore </w:t>
            </w:r>
            <w:r>
              <w:lastRenderedPageBreak/>
              <w:t>haben in KW15 über ihre Tests berichtet</w:t>
            </w:r>
          </w:p>
          <w:p>
            <w:pPr>
              <w:pStyle w:val="Listenabsatz"/>
              <w:numPr>
                <w:ilvl w:val="1"/>
                <w:numId w:val="11"/>
              </w:numPr>
              <w:rPr>
                <w:b/>
              </w:rPr>
            </w:pPr>
            <w:r>
              <w:t xml:space="preserve">Die </w:t>
            </w:r>
            <w:proofErr w:type="spellStart"/>
            <w:r>
              <w:t>Testzahl</w:t>
            </w:r>
            <w:proofErr w:type="spellEnd"/>
            <w:r>
              <w:t xml:space="preserve"> hat etwas abgenommen, aber insges. über 360.000 Tests. </w:t>
            </w:r>
            <w:proofErr w:type="spellStart"/>
            <w:r>
              <w:t>Positivenanteil</w:t>
            </w:r>
            <w:proofErr w:type="spellEnd"/>
            <w:r>
              <w:t xml:space="preserve"> ist etwas zurückgegangen. </w:t>
            </w:r>
          </w:p>
          <w:p>
            <w:pPr>
              <w:pStyle w:val="Listenabsatz"/>
              <w:numPr>
                <w:ilvl w:val="1"/>
                <w:numId w:val="11"/>
              </w:numPr>
              <w:rPr>
                <w:b/>
              </w:rPr>
            </w:pPr>
            <w:r>
              <w:t xml:space="preserve">Insgesamt 1,7 </w:t>
            </w:r>
            <w:proofErr w:type="spellStart"/>
            <w:r>
              <w:t>Mio</w:t>
            </w:r>
            <w:proofErr w:type="spellEnd"/>
            <w:r>
              <w:t xml:space="preserve"> Tests durchgeführt, entspricht grob den Meldedaten (da einige Doppeltestungen)</w:t>
            </w:r>
          </w:p>
          <w:p>
            <w:pPr>
              <w:pStyle w:val="Listenabsatz"/>
              <w:numPr>
                <w:ilvl w:val="1"/>
                <w:numId w:val="11"/>
              </w:numPr>
              <w:rPr>
                <w:b/>
              </w:rPr>
            </w:pPr>
            <w:r>
              <w:t>Testkapazitäten: 112 übermittelnde Labore: 123.000 pro Tag, d.h. 730.000 Tests pro Woche</w:t>
            </w:r>
          </w:p>
          <w:p>
            <w:pPr>
              <w:pStyle w:val="Listenabsatz"/>
              <w:numPr>
                <w:ilvl w:val="1"/>
                <w:numId w:val="11"/>
              </w:numPr>
              <w:rPr>
                <w:b/>
              </w:rPr>
            </w:pPr>
            <w:r>
              <w:t>Es gibt regionale Unterschiede, aber derzeit Kapazitäten nicht ganz ausgenutzt, Rückstau wurde abgebaut</w:t>
            </w:r>
          </w:p>
          <w:p>
            <w:pPr>
              <w:pStyle w:val="Listenabsatz"/>
              <w:numPr>
                <w:ilvl w:val="1"/>
                <w:numId w:val="11"/>
              </w:numPr>
              <w:rPr>
                <w:b/>
              </w:rPr>
            </w:pPr>
            <w:r>
              <w:t xml:space="preserve">Große Anzahl von Laboren berichtet über Lieferschwierigkeiten. </w:t>
            </w:r>
          </w:p>
          <w:p>
            <w:pPr>
              <w:pStyle w:val="Listenabsatz"/>
              <w:numPr>
                <w:ilvl w:val="1"/>
                <w:numId w:val="11"/>
              </w:numPr>
              <w:rPr>
                <w:b/>
              </w:rPr>
            </w:pPr>
            <w:r>
              <w:t xml:space="preserve">In AGI gab es Nachfragen welche totale Testkapazität vom RKI im weiteren Verlauf angestrebt wird, da Labore derzeit nicht ausgelastet sind. Gleichzeitig kam aber auch die Anfrage, ob auch klinisch-radiologische und –epidemiologische Fälle mit einbezogen werden, da nicht alle getestet werden können. Hier gibt es also teils widersprüchliche Eindrücke bzw. Aussagen. </w:t>
            </w:r>
          </w:p>
          <w:p>
            <w:pPr>
              <w:pStyle w:val="Listenabsatz"/>
              <w:numPr>
                <w:ilvl w:val="1"/>
                <w:numId w:val="11"/>
              </w:numPr>
            </w:pPr>
            <w:r>
              <w:t xml:space="preserve">Grundsätzlich sollten, gerade bei sinkenden Fallzahlen ggf. alle ARE getestet werden. Thema soll am 16.04. im Krisenstab diskutiert werden. </w:t>
            </w:r>
          </w:p>
          <w:p>
            <w:pPr>
              <w:pStyle w:val="Listenabsatz"/>
              <w:numPr>
                <w:ilvl w:val="1"/>
                <w:numId w:val="11"/>
              </w:numPr>
            </w:pPr>
            <w:r>
              <w:t xml:space="preserve">Es gibt häufig Fragen zur Kostenübernahme von Public </w:t>
            </w:r>
            <w:proofErr w:type="spellStart"/>
            <w:r>
              <w:t>health</w:t>
            </w:r>
            <w:proofErr w:type="spellEnd"/>
            <w:r>
              <w:t xml:space="preserve"> (PH)-Testen in KH und Altenheimen. Empfehlungen gehen dahin auch </w:t>
            </w:r>
            <w:proofErr w:type="spellStart"/>
            <w:r>
              <w:t>asympt</w:t>
            </w:r>
            <w:proofErr w:type="spellEnd"/>
            <w:r>
              <w:t xml:space="preserve">. Personal zu testen, damit sie weiter arbeiten können. </w:t>
            </w:r>
          </w:p>
          <w:p>
            <w:pPr>
              <w:pStyle w:val="Listenabsatz"/>
              <w:numPr>
                <w:ilvl w:val="1"/>
                <w:numId w:val="11"/>
              </w:numPr>
            </w:pPr>
            <w:r>
              <w:t>Grundsätzlich werden die PH-Teste vom GA angefordert und vom Land bezahlt. Allerdings müssen GÄ z.T. mehr für die Beauftragung der Labordiagnostik zahlen als die Krankenkassen, daher der Wunsch weniger zu testen (z.B. bei klinisch-</w:t>
            </w:r>
            <w:proofErr w:type="spellStart"/>
            <w:r>
              <w:t>epidemiolog</w:t>
            </w:r>
            <w:proofErr w:type="spellEnd"/>
            <w:r>
              <w:t xml:space="preserve">. Fällen). </w:t>
            </w:r>
          </w:p>
          <w:p>
            <w:pPr>
              <w:pStyle w:val="Listenabsatz"/>
              <w:numPr>
                <w:ilvl w:val="1"/>
                <w:numId w:val="11"/>
              </w:numPr>
            </w:pPr>
            <w:r>
              <w:t xml:space="preserve">Gerade in der Phase der Lockerung sollten keine Teste vermieden werden. </w:t>
            </w:r>
          </w:p>
          <w:p>
            <w:pPr>
              <w:pStyle w:val="Listenabsatz"/>
              <w:numPr>
                <w:ilvl w:val="1"/>
                <w:numId w:val="11"/>
              </w:numPr>
              <w:spacing w:after="120"/>
              <w:ind w:left="1077" w:hanging="357"/>
            </w:pPr>
            <w:r>
              <w:t xml:space="preserve">Chef des </w:t>
            </w:r>
            <w:proofErr w:type="spellStart"/>
            <w:r>
              <w:t>BKamt</w:t>
            </w:r>
            <w:proofErr w:type="spellEnd"/>
            <w:r>
              <w:t xml:space="preserve"> und Chefs der Staatskanzleien sollen das klären</w:t>
            </w:r>
          </w:p>
          <w:p>
            <w:pPr>
              <w:spacing w:after="120"/>
              <w:rPr>
                <w:i/>
              </w:rPr>
            </w:pPr>
            <w:proofErr w:type="spellStart"/>
            <w:r>
              <w:rPr>
                <w:i/>
              </w:rPr>
              <w:t>ToDo</w:t>
            </w:r>
            <w:proofErr w:type="spellEnd"/>
            <w:r>
              <w:rPr>
                <w:i/>
              </w:rPr>
              <w:t xml:space="preserve">: Bericht ans BMG per E-Mail an </w:t>
            </w:r>
            <w:proofErr w:type="spellStart"/>
            <w:r>
              <w:rPr>
                <w:i/>
              </w:rPr>
              <w:t>VPräs</w:t>
            </w:r>
            <w:proofErr w:type="spellEnd"/>
            <w:r>
              <w:rPr>
                <w:i/>
              </w:rPr>
              <w:t xml:space="preserve"> – der die E-Mail weiterleiten wird mit der Bitte das zu klären. – FG32</w:t>
            </w:r>
          </w:p>
          <w:p>
            <w:pPr>
              <w:pStyle w:val="Listenabsatz"/>
              <w:numPr>
                <w:ilvl w:val="0"/>
                <w:numId w:val="11"/>
              </w:numPr>
              <w:ind w:left="450"/>
              <w:rPr>
                <w:b/>
              </w:rPr>
            </w:pPr>
            <w:r>
              <w:rPr>
                <w:b/>
              </w:rPr>
              <w:t>Schätzung der Reproduktionszahl/</w:t>
            </w:r>
            <w:proofErr w:type="spellStart"/>
            <w:r>
              <w:rPr>
                <w:b/>
              </w:rPr>
              <w:t>Nowcasting</w:t>
            </w:r>
            <w:proofErr w:type="spellEnd"/>
            <w:r>
              <w:rPr>
                <w:b/>
              </w:rPr>
              <w:t xml:space="preserve">: </w:t>
            </w:r>
          </w:p>
          <w:p>
            <w:pPr>
              <w:pStyle w:val="Listenabsatz"/>
              <w:numPr>
                <w:ilvl w:val="1"/>
                <w:numId w:val="11"/>
              </w:numPr>
            </w:pPr>
            <w:proofErr w:type="spellStart"/>
            <w:r>
              <w:t>Nowcasting</w:t>
            </w:r>
            <w:proofErr w:type="spellEnd"/>
            <w:r>
              <w:t xml:space="preserve">-Methode überarbeitet, Stabilisierung der Anzahl der Neuerkrankungen </w:t>
            </w:r>
            <w:r>
              <w:lastRenderedPageBreak/>
              <w:t>auf Nivea von 3000/3500</w:t>
            </w:r>
          </w:p>
          <w:p>
            <w:pPr>
              <w:pStyle w:val="Listenabsatz"/>
              <w:numPr>
                <w:ilvl w:val="1"/>
                <w:numId w:val="11"/>
              </w:numPr>
            </w:pPr>
            <w:r>
              <w:t>Derzeit arbeitet Hr. an der Heiden an der Berechnung der Reproduktionszahl für die BL</w:t>
            </w:r>
          </w:p>
          <w:p>
            <w:pPr>
              <w:pStyle w:val="Listenabsatz"/>
              <w:numPr>
                <w:ilvl w:val="1"/>
                <w:numId w:val="11"/>
              </w:numPr>
            </w:pPr>
            <w:r>
              <w:t>In den kommenden Tagen wird zunehmend auf die Reproduktionszahl geschaut werden und sie sollte daher immer ausgewiesen werden</w:t>
            </w:r>
          </w:p>
          <w:p>
            <w:pPr>
              <w:pStyle w:val="Listenabsatz"/>
              <w:numPr>
                <w:ilvl w:val="1"/>
                <w:numId w:val="11"/>
              </w:numPr>
            </w:pPr>
            <w:r>
              <w:t>Wichtig ist, dass kleine Veränderungen der Modellierungen z.T. große Effekte zeigen, daher stabiles, publiziertes Verfahren wichtig, das dann nicht mehr verändert wird.</w:t>
            </w:r>
          </w:p>
          <w:p>
            <w:pPr>
              <w:pStyle w:val="Listenabsatz"/>
              <w:numPr>
                <w:ilvl w:val="1"/>
                <w:numId w:val="11"/>
              </w:numPr>
            </w:pPr>
            <w:proofErr w:type="spellStart"/>
            <w:r>
              <w:t>EpiBul</w:t>
            </w:r>
            <w:proofErr w:type="spellEnd"/>
            <w:r>
              <w:t xml:space="preserve"> Artikel soll im Laufe des Tages veröffentlicht werden. </w:t>
            </w:r>
          </w:p>
          <w:p/>
          <w:p>
            <w:pPr>
              <w:spacing w:after="120"/>
              <w:rPr>
                <w:i/>
              </w:rPr>
            </w:pPr>
            <w:proofErr w:type="spellStart"/>
            <w:r>
              <w:rPr>
                <w:i/>
              </w:rPr>
              <w:t>ToDo</w:t>
            </w:r>
            <w:proofErr w:type="spellEnd"/>
            <w:r>
              <w:rPr>
                <w:i/>
              </w:rPr>
              <w:t xml:space="preserve">: Die Schätzung von R und auch die Abb. zum </w:t>
            </w:r>
            <w:proofErr w:type="spellStart"/>
            <w:r>
              <w:rPr>
                <w:i/>
              </w:rPr>
              <w:t>Nowcasting</w:t>
            </w:r>
            <w:proofErr w:type="spellEnd"/>
            <w:r>
              <w:rPr>
                <w:i/>
              </w:rPr>
              <w:t xml:space="preserve"> soll vom LZ in den Lagebericht aufgenommen werden.</w:t>
            </w:r>
          </w:p>
        </w:tc>
        <w:tc>
          <w:tcPr>
            <w:tcW w:w="1701" w:type="dxa"/>
          </w:tcPr>
          <w:p/>
          <w:p/>
          <w:p>
            <w:r>
              <w:t>ZIG1</w:t>
            </w:r>
          </w:p>
          <w:p/>
          <w:p/>
          <w:p/>
          <w:p/>
          <w:p/>
          <w:p/>
          <w:p/>
          <w:p/>
          <w:p/>
          <w:p/>
          <w:p/>
          <w:p/>
          <w:p/>
          <w:p/>
          <w:p/>
          <w:p/>
          <w:p/>
          <w:p/>
          <w:p/>
          <w:p/>
          <w:p/>
          <w:p/>
          <w:p/>
          <w:p/>
          <w:p/>
          <w:p/>
          <w:p/>
          <w:p/>
          <w:p/>
          <w:p/>
          <w:p/>
          <w:p/>
          <w:p/>
          <w:p/>
          <w:p/>
          <w:p/>
          <w:p/>
          <w:p/>
          <w:p/>
          <w:p/>
          <w:p/>
          <w:p/>
          <w:p/>
          <w:p/>
          <w:p/>
          <w:p/>
          <w:p/>
          <w:p/>
          <w:p/>
          <w:p/>
          <w:p/>
          <w:p/>
          <w:p/>
          <w:p/>
          <w:p>
            <w:r>
              <w:t>FG32</w:t>
            </w:r>
          </w:p>
          <w:p/>
          <w:p/>
          <w:p/>
          <w:p/>
          <w:p/>
          <w:p/>
          <w:p/>
          <w:p/>
          <w:p/>
          <w:p/>
          <w:p/>
          <w:p/>
          <w:p/>
          <w:p/>
          <w:p/>
          <w:p/>
          <w:p/>
          <w:p/>
          <w:p/>
          <w:p/>
          <w:p/>
          <w:p/>
          <w:p/>
          <w:p/>
          <w:p/>
          <w:p/>
          <w:p/>
          <w:p>
            <w:r>
              <w:t>FG36</w:t>
            </w:r>
          </w:p>
          <w:p/>
          <w:p/>
          <w:p/>
          <w:p/>
          <w:p/>
          <w:p/>
          <w:p/>
          <w:p/>
          <w:p/>
          <w:p/>
          <w:p/>
          <w:p/>
          <w:p/>
          <w:p/>
          <w:p/>
          <w:p/>
          <w:p/>
          <w:p/>
          <w:p/>
          <w:p/>
          <w:p/>
          <w:p/>
          <w:p/>
          <w:p/>
          <w:p/>
          <w:p>
            <w:r>
              <w:t>FG36</w:t>
            </w:r>
          </w:p>
          <w:p/>
          <w:p/>
          <w:p/>
          <w:p/>
          <w:p/>
          <w:p/>
          <w:p/>
          <w:p/>
          <w:p/>
          <w:p/>
          <w:p/>
          <w:p/>
          <w:p/>
          <w:p/>
          <w:p/>
          <w:p/>
          <w:p/>
          <w:p/>
          <w:p/>
          <w:p/>
          <w:p/>
          <w:p/>
          <w:p/>
          <w:p/>
          <w:p/>
          <w:p/>
          <w:p/>
          <w:p/>
          <w:p/>
          <w:p/>
          <w:p/>
          <w:p/>
          <w:p/>
          <w:p/>
          <w:p/>
          <w:p/>
          <w:p/>
          <w:p/>
          <w:p/>
          <w:p/>
          <w:p/>
          <w:p/>
          <w:p/>
          <w:p/>
          <w:p/>
          <w:p/>
          <w:p/>
          <w:p/>
          <w:p/>
          <w:p/>
          <w:p/>
          <w:p/>
          <w:p/>
          <w:p/>
          <w:p/>
          <w:p/>
          <w:p/>
          <w:p/>
          <w:p/>
          <w:p/>
          <w:p/>
          <w:p/>
          <w:p/>
          <w:p/>
          <w:p/>
          <w:p/>
          <w:p/>
          <w:p/>
          <w:p/>
          <w:p/>
          <w:p/>
          <w:p/>
          <w:p/>
          <w:p/>
          <w:p>
            <w:r>
              <w:lastRenderedPageBreak/>
              <w:t>AL3</w:t>
            </w:r>
          </w:p>
          <w:p/>
          <w:p/>
          <w:p/>
          <w:p/>
          <w:p/>
          <w:p/>
          <w:p/>
          <w:p/>
          <w:p/>
          <w:p/>
          <w:p/>
          <w:p/>
          <w:p/>
          <w:p/>
          <w:p/>
          <w:p/>
          <w:p/>
          <w:p/>
          <w:p/>
          <w:p/>
          <w:p/>
          <w:p/>
          <w:p/>
          <w:p/>
          <w:p/>
          <w:p/>
          <w:p/>
          <w:p/>
          <w:p/>
          <w:p/>
          <w:p/>
          <w:p/>
          <w:p/>
          <w:p/>
          <w:p/>
          <w:p/>
          <w:p/>
          <w:p/>
          <w:p/>
          <w:p/>
          <w:p/>
          <w:p/>
          <w:p/>
          <w:p/>
          <w:p/>
          <w:p>
            <w:r>
              <w:t>FG32/ AL3/</w:t>
            </w:r>
          </w:p>
          <w:p>
            <w:proofErr w:type="spellStart"/>
            <w:r>
              <w:lastRenderedPageBreak/>
              <w:t>VPräs</w:t>
            </w:r>
            <w:proofErr w:type="spellEnd"/>
            <w:r>
              <w:t xml:space="preserve">/ </w:t>
            </w:r>
            <w:proofErr w:type="spellStart"/>
            <w:r>
              <w:t>Präs</w:t>
            </w:r>
            <w:proofErr w:type="spellEnd"/>
          </w:p>
          <w:p/>
          <w:p/>
          <w:p/>
          <w:p/>
          <w:p/>
          <w:p/>
          <w:p/>
          <w:p/>
          <w:p/>
          <w:p/>
          <w:p/>
          <w:p/>
          <w:p/>
          <w:p/>
          <w:p/>
          <w:p/>
          <w:p/>
        </w:tc>
      </w:tr>
      <w:tr>
        <w:tc>
          <w:tcPr>
            <w:tcW w:w="762" w:type="dxa"/>
          </w:tcPr>
          <w:p>
            <w:pPr>
              <w:rPr>
                <w:b/>
                <w:sz w:val="28"/>
                <w:szCs w:val="28"/>
              </w:rPr>
            </w:pPr>
            <w:r>
              <w:rPr>
                <w:b/>
                <w:sz w:val="28"/>
                <w:szCs w:val="28"/>
              </w:rPr>
              <w:lastRenderedPageBreak/>
              <w:t>2</w:t>
            </w:r>
          </w:p>
        </w:tc>
        <w:tc>
          <w:tcPr>
            <w:tcW w:w="6292" w:type="dxa"/>
          </w:tcPr>
          <w:p>
            <w:pPr>
              <w:rPr>
                <w:b/>
                <w:sz w:val="28"/>
                <w:szCs w:val="28"/>
              </w:rPr>
            </w:pPr>
            <w:r>
              <w:rPr>
                <w:b/>
                <w:sz w:val="28"/>
                <w:szCs w:val="28"/>
              </w:rPr>
              <w:t>Erkenntnisse über Erreger</w:t>
            </w:r>
          </w:p>
          <w:p>
            <w:pPr>
              <w:rPr>
                <w:b/>
              </w:rPr>
            </w:pPr>
            <w:r>
              <w:rPr>
                <w:b/>
              </w:rPr>
              <w:t xml:space="preserve">Vorstellung des aktuellen Stands zu Impfung </w:t>
            </w:r>
            <w:r>
              <w:rPr>
                <w:b/>
              </w:rPr>
              <w:br/>
              <w:t xml:space="preserve">(Folien </w:t>
            </w:r>
            <w:hyperlink r:id="rId11" w:history="1">
              <w:r>
                <w:rPr>
                  <w:rStyle w:val="Hyperlink"/>
                  <w:b/>
                </w:rPr>
                <w:t>hier</w:t>
              </w:r>
            </w:hyperlink>
            <w:r>
              <w:rPr>
                <w:b/>
              </w:rPr>
              <w:t>)</w:t>
            </w:r>
          </w:p>
          <w:p>
            <w:pPr>
              <w:numPr>
                <w:ilvl w:val="0"/>
                <w:numId w:val="32"/>
              </w:numPr>
            </w:pPr>
            <w:r>
              <w:t>Selbst wenn Impfstoffe zu spät für Verlauf der Pandemie, dann wichtig in Post-Pandemie-Phase</w:t>
            </w:r>
          </w:p>
          <w:p>
            <w:pPr>
              <w:numPr>
                <w:ilvl w:val="0"/>
                <w:numId w:val="32"/>
              </w:numPr>
            </w:pPr>
            <w:r>
              <w:t xml:space="preserve">Laut aktueller Nature Publikation gibt es sehr viele Kandidaten in der Pipeline (115, 5 davon in Phase I) mit einem sehr großen Spektrum an unterschiedlichen Ansätzen. </w:t>
            </w:r>
          </w:p>
          <w:p>
            <w:pPr>
              <w:numPr>
                <w:ilvl w:val="0"/>
                <w:numId w:val="32"/>
              </w:numPr>
            </w:pPr>
            <w:r>
              <w:t>Alle Ansätze haben jedoch Spikeprotein als Ziel Blockierung der Interaktion mit ACE2-Rezeptoren</w:t>
            </w:r>
          </w:p>
          <w:p>
            <w:pPr>
              <w:numPr>
                <w:ilvl w:val="0"/>
                <w:numId w:val="32"/>
              </w:numPr>
            </w:pPr>
            <w:r>
              <w:t>Es gibt jedoch bislang keine Erfahrungen mit RNA- und DNA-Vakzinen, im Zulassungsprozess u.U. relevant.</w:t>
            </w:r>
          </w:p>
          <w:p>
            <w:pPr>
              <w:numPr>
                <w:ilvl w:val="0"/>
                <w:numId w:val="32"/>
              </w:numPr>
            </w:pPr>
            <w:r>
              <w:t>Entwicklungen verlaufen mit enormer Geschwindigkeit, Mitte März erste Phase I in USA und China</w:t>
            </w:r>
          </w:p>
          <w:p>
            <w:pPr>
              <w:numPr>
                <w:ilvl w:val="0"/>
                <w:numId w:val="32"/>
              </w:numPr>
            </w:pPr>
            <w:proofErr w:type="spellStart"/>
            <w:r>
              <w:t>Impfstoffkanditaten</w:t>
            </w:r>
            <w:proofErr w:type="spellEnd"/>
            <w:r>
              <w:t xml:space="preserve"> in Phase I-II aus den USA, China, UK und Kanada</w:t>
            </w:r>
          </w:p>
          <w:p>
            <w:pPr>
              <w:numPr>
                <w:ilvl w:val="0"/>
                <w:numId w:val="32"/>
              </w:numPr>
            </w:pPr>
            <w:r>
              <w:t>Der virale Vektorimpfstoff aus China soll in Phase II auch an (gesunden) über 80-jährigen getestet werden.</w:t>
            </w:r>
          </w:p>
          <w:p>
            <w:pPr>
              <w:numPr>
                <w:ilvl w:val="0"/>
                <w:numId w:val="32"/>
              </w:numPr>
            </w:pPr>
            <w:r>
              <w:t>UK will kombinierte I/II Studie durchführen.</w:t>
            </w:r>
          </w:p>
          <w:p>
            <w:pPr>
              <w:numPr>
                <w:ilvl w:val="0"/>
                <w:numId w:val="32"/>
              </w:numPr>
            </w:pPr>
            <w:r>
              <w:t xml:space="preserve">Viele </w:t>
            </w:r>
            <w:proofErr w:type="spellStart"/>
            <w:r>
              <w:t>Impfstoffkandiaten</w:t>
            </w:r>
            <w:proofErr w:type="spellEnd"/>
            <w:r>
              <w:t xml:space="preserve"> in </w:t>
            </w:r>
            <w:proofErr w:type="spellStart"/>
            <w:r>
              <w:t>Biotec</w:t>
            </w:r>
            <w:proofErr w:type="spellEnd"/>
            <w:r>
              <w:t xml:space="preserve"> Firmen und akademischen Gruppen entwickelt, dort keine </w:t>
            </w:r>
            <w:proofErr w:type="spellStart"/>
            <w:r>
              <w:t>keine</w:t>
            </w:r>
            <w:proofErr w:type="spellEnd"/>
            <w:r>
              <w:t xml:space="preserve"> Produktionskapazität, daher ist Tech Transfer nötig, Diskussionen laufen mit Gates </w:t>
            </w:r>
            <w:proofErr w:type="spellStart"/>
            <w:r>
              <w:t>Foundation</w:t>
            </w:r>
            <w:proofErr w:type="spellEnd"/>
            <w:r>
              <w:t xml:space="preserve"> und CEPI</w:t>
            </w:r>
          </w:p>
          <w:p>
            <w:pPr>
              <w:numPr>
                <w:ilvl w:val="0"/>
                <w:numId w:val="32"/>
              </w:numPr>
            </w:pPr>
            <w:r>
              <w:t>Noch fraglich, ob dann genügend Impfstoff zur Verfügung steht. Die US Regierung hat schon Produktionsstätten mittels ihrer Notstandsgesetze beschlagnahmt.</w:t>
            </w:r>
          </w:p>
          <w:p>
            <w:pPr>
              <w:numPr>
                <w:ilvl w:val="0"/>
                <w:numId w:val="32"/>
              </w:numPr>
            </w:pPr>
            <w:r>
              <w:lastRenderedPageBreak/>
              <w:t>Normalerweise plant man 12-18 Monate ab Beginn Phase I</w:t>
            </w:r>
          </w:p>
          <w:p>
            <w:pPr>
              <w:numPr>
                <w:ilvl w:val="0"/>
                <w:numId w:val="32"/>
              </w:numPr>
            </w:pPr>
            <w:r>
              <w:t>EMA und Pfizer überlegen, ob sie ggf. die Phase III Studien auslassen und direkt in eine breite Anwendung gehen, wenn das von den Regulatoren so entschieden wird, dann kann es schneller gehen als 12-18 Monate</w:t>
            </w:r>
          </w:p>
          <w:p>
            <w:pPr>
              <w:numPr>
                <w:ilvl w:val="0"/>
                <w:numId w:val="32"/>
              </w:numPr>
            </w:pPr>
            <w:r>
              <w:t>Solch eine Entscheidung bedeutet für uns: gute Risikokommunikation und entsprechende Post-Marketing Surveillance, damit man wesentliche Impfkomplikationen schnell erkennt</w:t>
            </w:r>
          </w:p>
          <w:p>
            <w:pPr>
              <w:numPr>
                <w:ilvl w:val="0"/>
                <w:numId w:val="32"/>
              </w:numPr>
            </w:pPr>
            <w:r>
              <w:t xml:space="preserve">Derzeit wird in der Literatur Immune Enhancement diskutiert (schwere Erkrankung durch Impfung) </w:t>
            </w:r>
          </w:p>
          <w:p>
            <w:pPr>
              <w:numPr>
                <w:ilvl w:val="0"/>
                <w:numId w:val="32"/>
              </w:numPr>
            </w:pPr>
            <w:r>
              <w:t xml:space="preserve">Impact verschiedener Impfstrategien während Pandemie und in Post-Pandemie-Phase, Priorisierung der Gruppen, unter Berücksichtigung einer steigenden Immunität in Bevölkerung, </w:t>
            </w:r>
            <w:proofErr w:type="spellStart"/>
            <w:r>
              <w:t>serolog</w:t>
            </w:r>
            <w:proofErr w:type="spellEnd"/>
            <w:r>
              <w:t>. Studien auch für diese Fragen wichtig, Modellierung einer „Test-</w:t>
            </w:r>
            <w:proofErr w:type="spellStart"/>
            <w:r>
              <w:t>Vaccinate</w:t>
            </w:r>
            <w:proofErr w:type="spellEnd"/>
            <w:r>
              <w:t>“-Strategie: Zunächst Schnelltest, dann erst Impfung (vgl. Dengue)</w:t>
            </w:r>
          </w:p>
          <w:p>
            <w:pPr>
              <w:numPr>
                <w:ilvl w:val="0"/>
                <w:numId w:val="32"/>
              </w:numPr>
            </w:pPr>
            <w:r>
              <w:t>Eine AG zum Thema wurde in der STIKO aufgebaut</w:t>
            </w:r>
          </w:p>
          <w:p>
            <w:pPr>
              <w:numPr>
                <w:ilvl w:val="0"/>
                <w:numId w:val="32"/>
              </w:numPr>
            </w:pPr>
            <w:r>
              <w:t>Studie zur pandemischen Kontaktmatrix</w:t>
            </w:r>
          </w:p>
          <w:p>
            <w:pPr>
              <w:numPr>
                <w:ilvl w:val="0"/>
                <w:numId w:val="32"/>
              </w:numPr>
            </w:pPr>
            <w:r>
              <w:t>Auf Anfrage vom PEI Hintergrundinzidenzen für Nebenwirkungssignale wieder priorisiert, um Daten zu haben bei Einführung der Impfung</w:t>
            </w:r>
          </w:p>
          <w:p>
            <w:pPr>
              <w:numPr>
                <w:ilvl w:val="0"/>
                <w:numId w:val="32"/>
              </w:numPr>
            </w:pPr>
            <w:r>
              <w:t>Konzept zur Einführung der COVID-19 Impfung soll zusammen mit dem PEI geschrieben werden, UK hat solch ein Konzept schon, auch Studien zu Impfkomplikationen/-effektivität geplant, da viele Impfstoffe in Pipeline, die nicht gut getestet sind.</w:t>
            </w:r>
          </w:p>
          <w:p>
            <w:pPr>
              <w:numPr>
                <w:ilvl w:val="0"/>
                <w:numId w:val="32"/>
              </w:numPr>
            </w:pPr>
            <w:r>
              <w:t>BCG-Impfstoffe:</w:t>
            </w:r>
          </w:p>
          <w:p>
            <w:pPr>
              <w:numPr>
                <w:ilvl w:val="1"/>
                <w:numId w:val="32"/>
              </w:numPr>
            </w:pPr>
            <w:r>
              <w:t xml:space="preserve">möglicher unspezifischer Effekt („Immun-Training“) </w:t>
            </w:r>
          </w:p>
          <w:p>
            <w:pPr>
              <w:numPr>
                <w:ilvl w:val="1"/>
                <w:numId w:val="32"/>
              </w:numPr>
            </w:pPr>
            <w:r>
              <w:t>unklar, ob tatsächlich wirksam, werden Studien ergeben</w:t>
            </w:r>
          </w:p>
          <w:p>
            <w:pPr>
              <w:numPr>
                <w:ilvl w:val="1"/>
                <w:numId w:val="32"/>
              </w:numPr>
            </w:pPr>
            <w:r>
              <w:t xml:space="preserve">Ergebnisse beruhen auf Studien in high </w:t>
            </w:r>
            <w:proofErr w:type="spellStart"/>
            <w:r>
              <w:t>mortality</w:t>
            </w:r>
            <w:proofErr w:type="spellEnd"/>
            <w:r>
              <w:t xml:space="preserve"> </w:t>
            </w:r>
            <w:proofErr w:type="spellStart"/>
            <w:r>
              <w:t>settings</w:t>
            </w:r>
            <w:proofErr w:type="spellEnd"/>
            <w:r>
              <w:t>, z.T. mit Bias</w:t>
            </w:r>
          </w:p>
          <w:p>
            <w:pPr>
              <w:numPr>
                <w:ilvl w:val="1"/>
                <w:numId w:val="32"/>
              </w:numPr>
            </w:pPr>
            <w:r>
              <w:t xml:space="preserve">3 </w:t>
            </w:r>
            <w:proofErr w:type="spellStart"/>
            <w:r>
              <w:t>studien</w:t>
            </w:r>
            <w:proofErr w:type="spellEnd"/>
            <w:r>
              <w:t xml:space="preserve"> in Phase III: ggf. Ansatz für </w:t>
            </w:r>
            <w:proofErr w:type="spellStart"/>
            <w:r>
              <w:t>mediz</w:t>
            </w:r>
            <w:proofErr w:type="spellEnd"/>
            <w:r>
              <w:t>. Personal zur Überbrückung</w:t>
            </w:r>
          </w:p>
          <w:p>
            <w:pPr>
              <w:numPr>
                <w:ilvl w:val="0"/>
                <w:numId w:val="32"/>
              </w:numPr>
            </w:pPr>
            <w:r>
              <w:t xml:space="preserve">Derzeit kann man schwer sagen welcher Impfstoffansatz der erfolgversprechendste ist, Joint </w:t>
            </w:r>
            <w:proofErr w:type="spellStart"/>
            <w:r>
              <w:t>Procurement</w:t>
            </w:r>
            <w:proofErr w:type="spellEnd"/>
            <w:r>
              <w:t xml:space="preserve"> vorab schwierig, CEPI (auch finanziert durch BMBF) wirkt hoffentlich bei Tech Transfer ausgleichend. </w:t>
            </w:r>
          </w:p>
          <w:p>
            <w:pPr>
              <w:numPr>
                <w:ilvl w:val="0"/>
                <w:numId w:val="32"/>
              </w:numPr>
            </w:pPr>
            <w:r>
              <w:t xml:space="preserve">Es gibt keine Erfahrung wie gut und wie dauerhaft die Immunität durch die Impfung sein wird. </w:t>
            </w:r>
          </w:p>
          <w:p>
            <w:pPr>
              <w:numPr>
                <w:ilvl w:val="0"/>
                <w:numId w:val="32"/>
              </w:numPr>
            </w:pPr>
            <w:r>
              <w:t xml:space="preserve">Firmen sind zuversichtlich, dass ein Impfstoff entwickelt werden kann. Bei MERS und SARS wurde die </w:t>
            </w:r>
            <w:r>
              <w:lastRenderedPageBreak/>
              <w:t xml:space="preserve">Impfstoffentwicklung in Phase II  </w:t>
            </w:r>
            <w:proofErr w:type="spellStart"/>
            <w:r>
              <w:t>wg</w:t>
            </w:r>
            <w:proofErr w:type="spellEnd"/>
            <w:r>
              <w:t xml:space="preserve"> fehlender Finanzierung angehalten</w:t>
            </w:r>
          </w:p>
          <w:p>
            <w:pPr>
              <w:numPr>
                <w:ilvl w:val="0"/>
                <w:numId w:val="32"/>
              </w:numPr>
            </w:pPr>
            <w:r>
              <w:t xml:space="preserve">Es gibt keine Erfahrung mit </w:t>
            </w:r>
            <w:proofErr w:type="spellStart"/>
            <w:r>
              <w:t>mRNA</w:t>
            </w:r>
            <w:proofErr w:type="spellEnd"/>
            <w:r>
              <w:t>- Impfstoffen, aber ein großer Vorteil wäre, dass wenn man die Produktionsstätten hat, rel. schnell viel Impfstoff hergestellt werden kann.</w:t>
            </w:r>
          </w:p>
          <w:p>
            <w:pPr>
              <w:numPr>
                <w:ilvl w:val="0"/>
                <w:numId w:val="32"/>
              </w:numPr>
            </w:pPr>
            <w:r>
              <w:t xml:space="preserve">Immunantwort bei älteren Personen: Normalerweise laufen Studien nur mit Probanden zw. 18-60 J., es wäre gut in Phase II auch in höhere Altersgruppen zu gehen, die derzeitige Studie in China wird nur mit gesunden alten Probanden durchgeführt. Post- </w:t>
            </w:r>
            <w:proofErr w:type="spellStart"/>
            <w:r>
              <w:t>marketing</w:t>
            </w:r>
            <w:proofErr w:type="spellEnd"/>
            <w:r>
              <w:t xml:space="preserve"> Surveillance ist daher sehr wichtig.</w:t>
            </w:r>
          </w:p>
          <w:p>
            <w:pPr>
              <w:pStyle w:val="Listenabsatz"/>
              <w:numPr>
                <w:ilvl w:val="0"/>
                <w:numId w:val="32"/>
              </w:numPr>
            </w:pPr>
            <w:r>
              <w:t>Anmerkung zur Impfstrategie: z.T. bei Impfungen unerwünschte Wirkungen, die auch bei der Erkrankung  vorkommen (dabei aber in größerem Maßstab), wurde auch bei anderen Impfstoffen beobachtet</w:t>
            </w:r>
          </w:p>
        </w:tc>
        <w:tc>
          <w:tcPr>
            <w:tcW w:w="1701" w:type="dxa"/>
          </w:tcPr>
          <w:p/>
          <w:p>
            <w:r>
              <w:t>FG33/alle</w:t>
            </w:r>
          </w:p>
          <w:p/>
        </w:tc>
      </w:tr>
      <w:tr>
        <w:trPr>
          <w:trHeight w:val="319"/>
        </w:trPr>
        <w:tc>
          <w:tcPr>
            <w:tcW w:w="762" w:type="dxa"/>
          </w:tcPr>
          <w:p>
            <w:pPr>
              <w:rPr>
                <w:b/>
                <w:sz w:val="28"/>
                <w:szCs w:val="28"/>
              </w:rPr>
            </w:pPr>
            <w:r>
              <w:rPr>
                <w:b/>
                <w:sz w:val="28"/>
                <w:szCs w:val="28"/>
              </w:rPr>
              <w:lastRenderedPageBreak/>
              <w:t>3</w:t>
            </w:r>
          </w:p>
        </w:tc>
        <w:tc>
          <w:tcPr>
            <w:tcW w:w="6292" w:type="dxa"/>
          </w:tcPr>
          <w:p>
            <w:pPr>
              <w:rPr>
                <w:b/>
                <w:sz w:val="28"/>
                <w:szCs w:val="28"/>
              </w:rPr>
            </w:pPr>
            <w:r>
              <w:rPr>
                <w:b/>
                <w:sz w:val="28"/>
                <w:szCs w:val="28"/>
              </w:rPr>
              <w:t>Aktuelle Risikobewertung</w:t>
            </w:r>
          </w:p>
          <w:p>
            <w:pPr>
              <w:rPr>
                <w:b/>
              </w:rPr>
            </w:pPr>
            <w:r>
              <w:rPr>
                <w:b/>
              </w:rPr>
              <w:t>-</w:t>
            </w:r>
          </w:p>
        </w:tc>
        <w:tc>
          <w:tcPr>
            <w:tcW w:w="1701" w:type="dxa"/>
          </w:tcPr>
          <w:p/>
        </w:tc>
      </w:tr>
      <w:tr>
        <w:tc>
          <w:tcPr>
            <w:tcW w:w="762" w:type="dxa"/>
          </w:tcPr>
          <w:p>
            <w:pPr>
              <w:rPr>
                <w:b/>
                <w:sz w:val="28"/>
                <w:szCs w:val="28"/>
              </w:rPr>
            </w:pPr>
            <w:r>
              <w:rPr>
                <w:b/>
                <w:sz w:val="28"/>
                <w:szCs w:val="28"/>
              </w:rPr>
              <w:t>4</w:t>
            </w:r>
          </w:p>
        </w:tc>
        <w:tc>
          <w:tcPr>
            <w:tcW w:w="6292" w:type="dxa"/>
          </w:tcPr>
          <w:p>
            <w:pPr>
              <w:rPr>
                <w:b/>
                <w:sz w:val="28"/>
                <w:szCs w:val="28"/>
              </w:rPr>
            </w:pPr>
            <w:r>
              <w:rPr>
                <w:b/>
                <w:sz w:val="28"/>
                <w:szCs w:val="28"/>
              </w:rPr>
              <w:t>Kommunikation</w:t>
            </w:r>
          </w:p>
          <w:p>
            <w:pPr>
              <w:rPr>
                <w:b/>
              </w:rPr>
            </w:pPr>
            <w:r>
              <w:rPr>
                <w:b/>
              </w:rPr>
              <w:t>BZgA</w:t>
            </w:r>
          </w:p>
          <w:p>
            <w:pPr>
              <w:pStyle w:val="Listenabsatz"/>
              <w:numPr>
                <w:ilvl w:val="0"/>
                <w:numId w:val="28"/>
              </w:numPr>
              <w:ind w:left="450"/>
            </w:pPr>
            <w:r>
              <w:t xml:space="preserve">Mund-Nase-Bedeckung ist weiterhin Thema </w:t>
            </w:r>
          </w:p>
          <w:p>
            <w:pPr>
              <w:pStyle w:val="Listenabsatz"/>
              <w:numPr>
                <w:ilvl w:val="0"/>
                <w:numId w:val="28"/>
              </w:numPr>
              <w:ind w:left="450"/>
            </w:pPr>
            <w:r>
              <w:t>KMK und Lehrerschaft hat angefragt zu Unterstützung bzgl. Prüfungen, BZgA entwickelt Pakete mit Informationen zur Unterstützung bei Prüfungen, Einrichtungen sollen aktiv begleitet werden, Materialien sind vorhanden – Abstandhalten, Hygienemaßnahmen – klare Regeln wichtig</w:t>
            </w:r>
            <w:r>
              <w:br/>
              <w:t>Absprache mit RKI gewünscht</w:t>
            </w:r>
          </w:p>
          <w:p>
            <w:pPr>
              <w:pStyle w:val="Listenabsatz"/>
              <w:numPr>
                <w:ilvl w:val="0"/>
                <w:numId w:val="28"/>
              </w:numPr>
              <w:ind w:left="450"/>
            </w:pPr>
            <w:r>
              <w:t>In höheren Schulklassen Hygienemaßnahmen erst möglich, Vorbereitung ganz konkret vor Ort, wichtig Änderungen in Abläufen, die auch längerfristig eingehalten werden müssen</w:t>
            </w:r>
          </w:p>
          <w:p>
            <w:pPr>
              <w:pStyle w:val="Listenabsatz"/>
              <w:numPr>
                <w:ilvl w:val="0"/>
                <w:numId w:val="28"/>
              </w:numPr>
              <w:spacing w:after="120"/>
              <w:ind w:left="448" w:hanging="357"/>
            </w:pPr>
            <w:r>
              <w:t xml:space="preserve">Klärung der verwendeten Anzahl von Tagen vor Symptomen: Auf dem </w:t>
            </w:r>
            <w:proofErr w:type="spellStart"/>
            <w:r>
              <w:t>InfoFlyer</w:t>
            </w:r>
            <w:proofErr w:type="spellEnd"/>
            <w:r>
              <w:t xml:space="preserve"> der BZgA wird von 2-3 Tagen gesprochen. Es handelt sich aber um die Zeit vor Auftreten von Symptomen in der es zur Übertragung kommen kann – sollte zu 1-3 Tagen korrigiert werden.</w:t>
            </w:r>
          </w:p>
          <w:p>
            <w:r>
              <w:rPr>
                <w:b/>
              </w:rPr>
              <w:t>Presse</w:t>
            </w:r>
            <w:r>
              <w:t>:</w:t>
            </w:r>
          </w:p>
          <w:p>
            <w:pPr>
              <w:pStyle w:val="Listenabsatz"/>
              <w:numPr>
                <w:ilvl w:val="0"/>
                <w:numId w:val="29"/>
              </w:numPr>
              <w:ind w:left="450"/>
            </w:pPr>
            <w:r>
              <w:t xml:space="preserve">Viele Anfragen zum Flussdiagramm der Kriterien zum Kontaktpersonenmanagement, ggf. sollte und oder </w:t>
            </w:r>
            <w:proofErr w:type="spellStart"/>
            <w:r>
              <w:t>oder</w:t>
            </w:r>
            <w:proofErr w:type="spellEnd"/>
            <w:r>
              <w:t xml:space="preserve"> zugefügt werden</w:t>
            </w:r>
          </w:p>
          <w:p>
            <w:pPr>
              <w:pStyle w:val="Listenabsatz"/>
              <w:numPr>
                <w:ilvl w:val="0"/>
                <w:numId w:val="29"/>
              </w:numPr>
              <w:spacing w:after="120"/>
              <w:ind w:left="448" w:hanging="357"/>
            </w:pPr>
            <w:r>
              <w:t xml:space="preserve">Sollte zunächst von inhaltlich Verantwortlichen geklärt werden, dann setzt IBBS das in Flussdiagramm um. </w:t>
            </w:r>
          </w:p>
          <w:p>
            <w:pPr>
              <w:rPr>
                <w:i/>
              </w:rPr>
            </w:pPr>
            <w:proofErr w:type="spellStart"/>
            <w:r>
              <w:rPr>
                <w:i/>
              </w:rPr>
              <w:t>ToDo</w:t>
            </w:r>
            <w:proofErr w:type="spellEnd"/>
            <w:r>
              <w:rPr>
                <w:i/>
              </w:rPr>
              <w:t>: FG36 und FG37 prüfen die vorhandenen Flussdiagramm inhaltlich und informieren IBBS</w:t>
            </w:r>
          </w:p>
          <w:p>
            <w:r>
              <w:lastRenderedPageBreak/>
              <w:t xml:space="preserve"> </w:t>
            </w:r>
          </w:p>
        </w:tc>
        <w:tc>
          <w:tcPr>
            <w:tcW w:w="1701" w:type="dxa"/>
          </w:tcPr>
          <w:p>
            <w:pPr>
              <w:rPr>
                <w:sz w:val="28"/>
                <w:szCs w:val="28"/>
              </w:rPr>
            </w:pPr>
          </w:p>
          <w:p>
            <w:r>
              <w:t>BZgA/FG36</w:t>
            </w:r>
          </w:p>
          <w:p/>
          <w:p/>
          <w:p/>
          <w:p/>
          <w:p/>
          <w:p/>
          <w:p/>
          <w:p/>
          <w:p/>
          <w:p/>
          <w:p/>
          <w:p/>
          <w:p/>
          <w:p/>
          <w:p/>
          <w:p/>
          <w:p/>
          <w:p/>
          <w:p/>
          <w:p/>
          <w:p>
            <w:r>
              <w:t>Presse</w:t>
            </w:r>
          </w:p>
        </w:tc>
      </w:tr>
      <w:tr>
        <w:tc>
          <w:tcPr>
            <w:tcW w:w="762" w:type="dxa"/>
          </w:tcPr>
          <w:p>
            <w:pPr>
              <w:rPr>
                <w:b/>
                <w:sz w:val="28"/>
                <w:szCs w:val="28"/>
              </w:rPr>
            </w:pPr>
            <w:r>
              <w:rPr>
                <w:b/>
                <w:sz w:val="28"/>
                <w:szCs w:val="28"/>
              </w:rPr>
              <w:t>5</w:t>
            </w:r>
          </w:p>
        </w:tc>
        <w:tc>
          <w:tcPr>
            <w:tcW w:w="6292" w:type="dxa"/>
          </w:tcPr>
          <w:p>
            <w:pPr>
              <w:rPr>
                <w:b/>
                <w:sz w:val="28"/>
                <w:szCs w:val="28"/>
              </w:rPr>
            </w:pPr>
            <w:r>
              <w:rPr>
                <w:b/>
                <w:sz w:val="28"/>
                <w:szCs w:val="28"/>
              </w:rPr>
              <w:t>Strategie Fragen</w:t>
            </w:r>
          </w:p>
          <w:p>
            <w:pPr>
              <w:rPr>
                <w:b/>
              </w:rPr>
            </w:pPr>
            <w:r>
              <w:rPr>
                <w:b/>
              </w:rPr>
              <w:t xml:space="preserve">Allgemein </w:t>
            </w:r>
          </w:p>
          <w:p>
            <w:pPr>
              <w:rPr>
                <w:b/>
              </w:rPr>
            </w:pPr>
            <w:r>
              <w:rPr>
                <w:b/>
              </w:rPr>
              <w:t>Helmholtz- und Leopoldina-Stellungnahmen</w:t>
            </w:r>
          </w:p>
          <w:p>
            <w:pPr>
              <w:spacing w:after="120"/>
              <w:rPr>
                <w:b/>
              </w:rPr>
            </w:pPr>
            <w:r>
              <w:rPr>
                <w:b/>
              </w:rPr>
              <w:t>RKI-intern</w:t>
            </w:r>
          </w:p>
          <w:p>
            <w:pPr>
              <w:pStyle w:val="Listenabsatz"/>
              <w:numPr>
                <w:ilvl w:val="0"/>
                <w:numId w:val="15"/>
              </w:numPr>
              <w:ind w:left="450"/>
            </w:pPr>
            <w:r>
              <w:t xml:space="preserve">Es gibt ein 4-seitiges Strategie-Papier vom Helmholtz Zentrum, 3 Szenarien dargestellt: 1. R&gt;1, 2. R=1 , 3. R&lt;1. Letzteres Szenario wird favorisiert, sprechen sich dafür aus, dass strikte Maßnahmen noch länger aufrechterhalten bleiben. Keine bekannten Autoren, (Hr. Krause ist nicht beteiligt), stammen aus Braunschweig, Forschungszentrum Jülich, Frankfurt etc. </w:t>
            </w:r>
          </w:p>
          <w:p>
            <w:pPr>
              <w:pStyle w:val="Listenabsatz"/>
              <w:numPr>
                <w:ilvl w:val="0"/>
                <w:numId w:val="15"/>
              </w:numPr>
              <w:ind w:left="450"/>
              <w:rPr>
                <w:lang w:val="en-GB"/>
              </w:rPr>
            </w:pPr>
            <w:r>
              <w:rPr>
                <w:lang w:val="en-GB"/>
              </w:rPr>
              <w:t xml:space="preserve">WHO hat “Strategic Preparedness and Response Plan” </w:t>
            </w:r>
            <w:proofErr w:type="spellStart"/>
            <w:r>
              <w:rPr>
                <w:lang w:val="en-GB"/>
              </w:rPr>
              <w:t>veröffentlicht</w:t>
            </w:r>
            <w:proofErr w:type="spellEnd"/>
          </w:p>
          <w:p>
            <w:pPr>
              <w:pStyle w:val="Listenabsatz"/>
              <w:numPr>
                <w:ilvl w:val="0"/>
                <w:numId w:val="30"/>
              </w:numPr>
              <w:spacing w:after="120"/>
              <w:ind w:left="448" w:hanging="357"/>
            </w:pPr>
            <w:r>
              <w:t>Weitere Diskussion auf 16.04. verschoben</w:t>
            </w:r>
          </w:p>
        </w:tc>
        <w:tc>
          <w:tcPr>
            <w:tcW w:w="1701" w:type="dxa"/>
          </w:tcPr>
          <w:p/>
          <w:p>
            <w:r>
              <w:t>alle</w:t>
            </w:r>
          </w:p>
          <w:p/>
          <w:p/>
          <w:p>
            <w:r>
              <w:t xml:space="preserve"> </w:t>
            </w:r>
          </w:p>
        </w:tc>
      </w:tr>
      <w:tr>
        <w:tc>
          <w:tcPr>
            <w:tcW w:w="762" w:type="dxa"/>
          </w:tcPr>
          <w:p>
            <w:pPr>
              <w:rPr>
                <w:b/>
                <w:sz w:val="28"/>
                <w:szCs w:val="28"/>
              </w:rPr>
            </w:pPr>
            <w:r>
              <w:rPr>
                <w:b/>
                <w:sz w:val="28"/>
                <w:szCs w:val="28"/>
              </w:rPr>
              <w:t>6</w:t>
            </w:r>
          </w:p>
        </w:tc>
        <w:tc>
          <w:tcPr>
            <w:tcW w:w="6292" w:type="dxa"/>
          </w:tcPr>
          <w:p>
            <w:pPr>
              <w:rPr>
                <w:b/>
                <w:sz w:val="28"/>
                <w:szCs w:val="28"/>
              </w:rPr>
            </w:pPr>
            <w:r>
              <w:rPr>
                <w:b/>
                <w:sz w:val="28"/>
                <w:szCs w:val="28"/>
              </w:rPr>
              <w:t>Dokumente</w:t>
            </w:r>
          </w:p>
          <w:p>
            <w:pPr>
              <w:pStyle w:val="Listenabsatz"/>
              <w:numPr>
                <w:ilvl w:val="0"/>
                <w:numId w:val="30"/>
              </w:numPr>
              <w:ind w:left="450"/>
            </w:pPr>
            <w:proofErr w:type="spellStart"/>
            <w:r>
              <w:t>Dok</w:t>
            </w:r>
            <w:proofErr w:type="spellEnd"/>
            <w:r>
              <w:t xml:space="preserve"> zum </w:t>
            </w:r>
            <w:proofErr w:type="spellStart"/>
            <w:r>
              <w:t>Entlassmanagement</w:t>
            </w:r>
            <w:proofErr w:type="spellEnd"/>
            <w:r>
              <w:t xml:space="preserve"> ist überarbeitet und am 14.4. veröffentlicht worden</w:t>
            </w:r>
          </w:p>
          <w:p>
            <w:pPr>
              <w:pStyle w:val="Listenabsatz"/>
              <w:numPr>
                <w:ilvl w:val="0"/>
                <w:numId w:val="30"/>
              </w:numPr>
              <w:ind w:left="450"/>
            </w:pPr>
            <w:proofErr w:type="spellStart"/>
            <w:r>
              <w:t>EpiBul</w:t>
            </w:r>
            <w:proofErr w:type="spellEnd"/>
            <w:r>
              <w:t xml:space="preserve"> Artikel zu Mund-Nase-Bedeckung</w:t>
            </w:r>
          </w:p>
          <w:p/>
        </w:tc>
        <w:tc>
          <w:tcPr>
            <w:tcW w:w="1701" w:type="dxa"/>
          </w:tcPr>
          <w:p/>
          <w:p>
            <w:r>
              <w:t>IBBS/FG36</w:t>
            </w:r>
          </w:p>
        </w:tc>
      </w:tr>
      <w:tr>
        <w:tc>
          <w:tcPr>
            <w:tcW w:w="762" w:type="dxa"/>
          </w:tcPr>
          <w:p>
            <w:pPr>
              <w:rPr>
                <w:b/>
                <w:sz w:val="28"/>
                <w:szCs w:val="28"/>
              </w:rPr>
            </w:pPr>
            <w:r>
              <w:rPr>
                <w:b/>
                <w:sz w:val="28"/>
                <w:szCs w:val="28"/>
              </w:rPr>
              <w:t>7</w:t>
            </w:r>
          </w:p>
        </w:tc>
        <w:tc>
          <w:tcPr>
            <w:tcW w:w="6292" w:type="dxa"/>
          </w:tcPr>
          <w:p>
            <w:pPr>
              <w:rPr>
                <w:b/>
                <w:sz w:val="28"/>
                <w:szCs w:val="28"/>
              </w:rPr>
            </w:pPr>
            <w:r>
              <w:rPr>
                <w:b/>
                <w:sz w:val="28"/>
                <w:szCs w:val="28"/>
              </w:rPr>
              <w:t>Labordiagnostik</w:t>
            </w:r>
          </w:p>
          <w:p>
            <w:pPr>
              <w:pStyle w:val="Listenabsatz"/>
              <w:numPr>
                <w:ilvl w:val="0"/>
                <w:numId w:val="30"/>
              </w:numPr>
              <w:spacing w:after="120"/>
              <w:ind w:left="448" w:hanging="357"/>
            </w:pPr>
            <w:r>
              <w:t>Kaum Proben eingegangen, keine Änderung zum Vortag.</w:t>
            </w:r>
          </w:p>
        </w:tc>
        <w:tc>
          <w:tcPr>
            <w:tcW w:w="1701" w:type="dxa"/>
          </w:tcPr>
          <w:p/>
          <w:p>
            <w:r>
              <w:t>FG12</w:t>
            </w:r>
          </w:p>
          <w:p/>
        </w:tc>
      </w:tr>
      <w:tr>
        <w:tc>
          <w:tcPr>
            <w:tcW w:w="762" w:type="dxa"/>
          </w:tcPr>
          <w:p>
            <w:pPr>
              <w:rPr>
                <w:b/>
                <w:sz w:val="28"/>
                <w:szCs w:val="28"/>
              </w:rPr>
            </w:pPr>
            <w:r>
              <w:rPr>
                <w:b/>
                <w:sz w:val="28"/>
                <w:szCs w:val="28"/>
              </w:rPr>
              <w:t>8</w:t>
            </w:r>
          </w:p>
        </w:tc>
        <w:tc>
          <w:tcPr>
            <w:tcW w:w="6292" w:type="dxa"/>
          </w:tcPr>
          <w:p>
            <w:pPr>
              <w:rPr>
                <w:b/>
                <w:sz w:val="28"/>
                <w:szCs w:val="28"/>
              </w:rPr>
            </w:pPr>
            <w:r>
              <w:rPr>
                <w:b/>
                <w:sz w:val="28"/>
                <w:szCs w:val="28"/>
              </w:rPr>
              <w:t>Klinisches Management/Entlassungsmanagement</w:t>
            </w:r>
          </w:p>
          <w:p>
            <w:pPr>
              <w:rPr>
                <w:b/>
              </w:rPr>
            </w:pPr>
            <w:r>
              <w:rPr>
                <w:b/>
              </w:rPr>
              <w:t>-</w:t>
            </w:r>
          </w:p>
          <w:p/>
        </w:tc>
        <w:tc>
          <w:tcPr>
            <w:tcW w:w="1701" w:type="dxa"/>
          </w:tcPr>
          <w:p/>
          <w:p/>
        </w:tc>
      </w:tr>
      <w:tr>
        <w:tc>
          <w:tcPr>
            <w:tcW w:w="762" w:type="dxa"/>
          </w:tcPr>
          <w:p>
            <w:pPr>
              <w:rPr>
                <w:b/>
                <w:sz w:val="28"/>
                <w:szCs w:val="28"/>
              </w:rPr>
            </w:pPr>
            <w:r>
              <w:rPr>
                <w:b/>
                <w:sz w:val="28"/>
                <w:szCs w:val="28"/>
              </w:rPr>
              <w:t>9</w:t>
            </w:r>
          </w:p>
        </w:tc>
        <w:tc>
          <w:tcPr>
            <w:tcW w:w="6292" w:type="dxa"/>
          </w:tcPr>
          <w:p>
            <w:pPr>
              <w:rPr>
                <w:b/>
                <w:sz w:val="28"/>
                <w:szCs w:val="28"/>
              </w:rPr>
            </w:pPr>
            <w:r>
              <w:rPr>
                <w:b/>
                <w:sz w:val="28"/>
                <w:szCs w:val="28"/>
              </w:rPr>
              <w:t>Maßnahmen zum Infektionsschutz</w:t>
            </w:r>
          </w:p>
          <w:p>
            <w:pPr>
              <w:pStyle w:val="Listenabsatz"/>
              <w:numPr>
                <w:ilvl w:val="0"/>
                <w:numId w:val="30"/>
              </w:numPr>
              <w:ind w:left="372"/>
            </w:pPr>
            <w:r>
              <w:t>BMI wünscht, dass Verlegung von Pat. innerhalb D organisiert wird, Konzept unter FF des BMI wird erstellt</w:t>
            </w:r>
          </w:p>
          <w:p>
            <w:pPr>
              <w:pStyle w:val="Listenabsatz"/>
              <w:numPr>
                <w:ilvl w:val="0"/>
                <w:numId w:val="30"/>
              </w:numPr>
              <w:ind w:left="372"/>
            </w:pPr>
            <w:r>
              <w:t>RKI mit DIVI soll Auftrag bekommen eine Fachgruppe Intensivmedizin aufzubauen</w:t>
            </w:r>
          </w:p>
          <w:p>
            <w:pPr>
              <w:pStyle w:val="Listenabsatz"/>
              <w:numPr>
                <w:ilvl w:val="0"/>
                <w:numId w:val="30"/>
              </w:numPr>
              <w:ind w:left="372"/>
            </w:pPr>
            <w:r>
              <w:t>V.a. BW und Hilfsorganisationen eingebunden</w:t>
            </w:r>
          </w:p>
          <w:p/>
        </w:tc>
        <w:tc>
          <w:tcPr>
            <w:tcW w:w="1701" w:type="dxa"/>
          </w:tcPr>
          <w:p/>
          <w:p>
            <w:r>
              <w:t>IBBS</w:t>
            </w:r>
          </w:p>
        </w:tc>
      </w:tr>
      <w:tr>
        <w:tc>
          <w:tcPr>
            <w:tcW w:w="762" w:type="dxa"/>
          </w:tcPr>
          <w:p>
            <w:pPr>
              <w:rPr>
                <w:b/>
                <w:sz w:val="28"/>
                <w:szCs w:val="28"/>
              </w:rPr>
            </w:pPr>
            <w:r>
              <w:rPr>
                <w:b/>
                <w:sz w:val="28"/>
                <w:szCs w:val="28"/>
              </w:rPr>
              <w:t>10</w:t>
            </w:r>
          </w:p>
        </w:tc>
        <w:tc>
          <w:tcPr>
            <w:tcW w:w="6292" w:type="dxa"/>
          </w:tcPr>
          <w:p>
            <w:pPr>
              <w:rPr>
                <w:b/>
                <w:sz w:val="28"/>
                <w:szCs w:val="28"/>
              </w:rPr>
            </w:pPr>
            <w:r>
              <w:rPr>
                <w:b/>
                <w:sz w:val="28"/>
                <w:szCs w:val="28"/>
              </w:rPr>
              <w:t>Surveillance</w:t>
            </w:r>
          </w:p>
          <w:p>
            <w:r>
              <w:rPr>
                <w:b/>
              </w:rPr>
              <w:t>-</w:t>
            </w:r>
          </w:p>
        </w:tc>
        <w:tc>
          <w:tcPr>
            <w:tcW w:w="1701" w:type="dxa"/>
          </w:tcPr>
          <w:p/>
          <w:p/>
        </w:tc>
      </w:tr>
      <w:tr>
        <w:tc>
          <w:tcPr>
            <w:tcW w:w="762" w:type="dxa"/>
          </w:tcPr>
          <w:p>
            <w:pPr>
              <w:rPr>
                <w:b/>
                <w:sz w:val="28"/>
                <w:szCs w:val="28"/>
              </w:rPr>
            </w:pPr>
            <w:r>
              <w:rPr>
                <w:b/>
                <w:sz w:val="28"/>
                <w:szCs w:val="28"/>
              </w:rPr>
              <w:t>11</w:t>
            </w:r>
          </w:p>
        </w:tc>
        <w:tc>
          <w:tcPr>
            <w:tcW w:w="6292" w:type="dxa"/>
          </w:tcPr>
          <w:p>
            <w:pPr>
              <w:rPr>
                <w:b/>
              </w:rPr>
            </w:pPr>
            <w:r>
              <w:rPr>
                <w:b/>
              </w:rPr>
              <w:t>Transport und Grenzübergangsstellen</w:t>
            </w:r>
          </w:p>
          <w:p>
            <w:pPr>
              <w:pStyle w:val="Listenabsatz"/>
              <w:numPr>
                <w:ilvl w:val="0"/>
                <w:numId w:val="30"/>
              </w:numPr>
              <w:spacing w:after="120"/>
              <w:ind w:left="448" w:hanging="357"/>
            </w:pPr>
            <w:r>
              <w:t>Internetseite und Handzettel/Poster für Reisende aktualisiert, werden in Kürze online gehen.</w:t>
            </w:r>
          </w:p>
        </w:tc>
        <w:tc>
          <w:tcPr>
            <w:tcW w:w="1701" w:type="dxa"/>
          </w:tcPr>
          <w:p/>
          <w:p/>
        </w:tc>
      </w:tr>
      <w:tr>
        <w:tc>
          <w:tcPr>
            <w:tcW w:w="762" w:type="dxa"/>
          </w:tcPr>
          <w:p>
            <w:pPr>
              <w:rPr>
                <w:b/>
                <w:sz w:val="28"/>
                <w:szCs w:val="28"/>
              </w:rPr>
            </w:pPr>
            <w:r>
              <w:rPr>
                <w:b/>
                <w:sz w:val="28"/>
                <w:szCs w:val="28"/>
              </w:rPr>
              <w:t>12</w:t>
            </w:r>
          </w:p>
        </w:tc>
        <w:tc>
          <w:tcPr>
            <w:tcW w:w="6292" w:type="dxa"/>
          </w:tcPr>
          <w:p>
            <w:pPr>
              <w:rPr>
                <w:b/>
                <w:color w:val="FF0000"/>
                <w:sz w:val="28"/>
                <w:szCs w:val="28"/>
              </w:rPr>
            </w:pPr>
            <w:r>
              <w:rPr>
                <w:b/>
                <w:sz w:val="28"/>
                <w:szCs w:val="28"/>
              </w:rPr>
              <w:t xml:space="preserve">Internationales </w:t>
            </w:r>
            <w:r>
              <w:rPr>
                <w:b/>
                <w:color w:val="FF0000"/>
                <w:sz w:val="28"/>
                <w:szCs w:val="28"/>
              </w:rPr>
              <w:t>(nur freitags)</w:t>
            </w:r>
          </w:p>
          <w:p>
            <w:pPr>
              <w:rPr>
                <w:b/>
              </w:rPr>
            </w:pPr>
            <w:r>
              <w:rPr>
                <w:b/>
              </w:rPr>
              <w:t>-</w:t>
            </w:r>
          </w:p>
        </w:tc>
        <w:tc>
          <w:tcPr>
            <w:tcW w:w="1701" w:type="dxa"/>
          </w:tcPr>
          <w:p/>
        </w:tc>
      </w:tr>
      <w:tr>
        <w:tc>
          <w:tcPr>
            <w:tcW w:w="762" w:type="dxa"/>
          </w:tcPr>
          <w:p>
            <w:pPr>
              <w:rPr>
                <w:b/>
                <w:sz w:val="28"/>
                <w:szCs w:val="28"/>
              </w:rPr>
            </w:pPr>
            <w:r>
              <w:rPr>
                <w:b/>
                <w:sz w:val="28"/>
                <w:szCs w:val="28"/>
              </w:rPr>
              <w:lastRenderedPageBreak/>
              <w:t>13</w:t>
            </w:r>
          </w:p>
        </w:tc>
        <w:tc>
          <w:tcPr>
            <w:tcW w:w="6292" w:type="dxa"/>
          </w:tcPr>
          <w:p>
            <w:pPr>
              <w:rPr>
                <w:b/>
                <w:color w:val="FF0000"/>
                <w:sz w:val="28"/>
                <w:szCs w:val="28"/>
              </w:rPr>
            </w:pPr>
            <w:r>
              <w:rPr>
                <w:b/>
                <w:sz w:val="28"/>
                <w:szCs w:val="28"/>
              </w:rPr>
              <w:t xml:space="preserve">Update Digitale Projekte </w:t>
            </w:r>
            <w:r>
              <w:rPr>
                <w:b/>
                <w:color w:val="FF0000"/>
                <w:sz w:val="28"/>
                <w:szCs w:val="28"/>
              </w:rPr>
              <w:t>(nur montags)</w:t>
            </w:r>
          </w:p>
          <w:p>
            <w:r>
              <w:t xml:space="preserve">Wird am 16.04. besprochen </w:t>
            </w:r>
          </w:p>
        </w:tc>
        <w:tc>
          <w:tcPr>
            <w:tcW w:w="1701" w:type="dxa"/>
          </w:tcPr>
          <w:p/>
        </w:tc>
      </w:tr>
      <w:tr>
        <w:tc>
          <w:tcPr>
            <w:tcW w:w="762" w:type="dxa"/>
          </w:tcPr>
          <w:p>
            <w:pPr>
              <w:rPr>
                <w:b/>
                <w:sz w:val="28"/>
                <w:szCs w:val="28"/>
              </w:rPr>
            </w:pPr>
            <w:r>
              <w:rPr>
                <w:b/>
                <w:sz w:val="28"/>
                <w:szCs w:val="28"/>
              </w:rPr>
              <w:t>14</w:t>
            </w:r>
          </w:p>
        </w:tc>
        <w:tc>
          <w:tcPr>
            <w:tcW w:w="6292" w:type="dxa"/>
          </w:tcPr>
          <w:p>
            <w:pPr>
              <w:rPr>
                <w:b/>
                <w:sz w:val="28"/>
                <w:szCs w:val="28"/>
              </w:rPr>
            </w:pPr>
            <w:r>
              <w:rPr>
                <w:b/>
                <w:sz w:val="28"/>
                <w:szCs w:val="28"/>
              </w:rPr>
              <w:t>Information aus dem Lagezentrum</w:t>
            </w:r>
          </w:p>
          <w:p>
            <w:pPr>
              <w:rPr>
                <w:b/>
              </w:rPr>
            </w:pPr>
            <w:r>
              <w:rPr>
                <w:b/>
              </w:rPr>
              <w:t>-</w:t>
            </w:r>
          </w:p>
        </w:tc>
        <w:tc>
          <w:tcPr>
            <w:tcW w:w="1701" w:type="dxa"/>
          </w:tcPr>
          <w:p/>
        </w:tc>
      </w:tr>
      <w:tr>
        <w:tc>
          <w:tcPr>
            <w:tcW w:w="762" w:type="dxa"/>
          </w:tcPr>
          <w:p>
            <w:pPr>
              <w:rPr>
                <w:b/>
                <w:sz w:val="28"/>
                <w:szCs w:val="28"/>
              </w:rPr>
            </w:pPr>
            <w:r>
              <w:rPr>
                <w:b/>
                <w:sz w:val="28"/>
                <w:szCs w:val="28"/>
              </w:rPr>
              <w:t>15</w:t>
            </w:r>
          </w:p>
        </w:tc>
        <w:tc>
          <w:tcPr>
            <w:tcW w:w="6292" w:type="dxa"/>
          </w:tcPr>
          <w:p>
            <w:pPr>
              <w:rPr>
                <w:b/>
                <w:sz w:val="28"/>
                <w:szCs w:val="28"/>
              </w:rPr>
            </w:pPr>
            <w:r>
              <w:rPr>
                <w:b/>
                <w:sz w:val="28"/>
                <w:szCs w:val="28"/>
              </w:rPr>
              <w:t>Wichtige Termine</w:t>
            </w:r>
          </w:p>
          <w:p>
            <w:pPr>
              <w:rPr>
                <w:b/>
              </w:rPr>
            </w:pPr>
            <w:r>
              <w:rPr>
                <w:b/>
              </w:rPr>
              <w:t>-</w:t>
            </w:r>
          </w:p>
        </w:tc>
        <w:tc>
          <w:tcPr>
            <w:tcW w:w="1701" w:type="dxa"/>
          </w:tcPr>
          <w:p/>
        </w:tc>
      </w:tr>
      <w:tr>
        <w:tc>
          <w:tcPr>
            <w:tcW w:w="762" w:type="dxa"/>
          </w:tcPr>
          <w:p>
            <w:pPr>
              <w:rPr>
                <w:b/>
                <w:sz w:val="28"/>
                <w:szCs w:val="28"/>
              </w:rPr>
            </w:pPr>
            <w:r>
              <w:rPr>
                <w:b/>
                <w:sz w:val="28"/>
                <w:szCs w:val="28"/>
              </w:rPr>
              <w:t>16</w:t>
            </w:r>
          </w:p>
        </w:tc>
        <w:tc>
          <w:tcPr>
            <w:tcW w:w="6292" w:type="dxa"/>
          </w:tcPr>
          <w:p>
            <w:pPr>
              <w:rPr>
                <w:b/>
                <w:sz w:val="28"/>
                <w:szCs w:val="28"/>
              </w:rPr>
            </w:pPr>
            <w:r>
              <w:rPr>
                <w:b/>
                <w:sz w:val="28"/>
                <w:szCs w:val="28"/>
              </w:rPr>
              <w:t>Andere Themen</w:t>
            </w:r>
          </w:p>
          <w:p>
            <w:pPr>
              <w:pStyle w:val="Listenabsatz"/>
              <w:numPr>
                <w:ilvl w:val="0"/>
                <w:numId w:val="5"/>
              </w:numPr>
              <w:ind w:left="372"/>
              <w:rPr>
                <w:b/>
              </w:rPr>
            </w:pPr>
            <w:r>
              <w:t>Nächste Sitzung: Donnerstag 15.04.2020, 11:00-12:30</w:t>
            </w:r>
          </w:p>
        </w:tc>
        <w:tc>
          <w:tcPr>
            <w:tcW w:w="1701" w:type="dxa"/>
          </w:tcPr>
          <w:p/>
        </w:tc>
      </w:tr>
    </w:tbl>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5"/>
    <w:multiLevelType w:val="hybridMultilevel"/>
    <w:tmpl w:val="37123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C926AB"/>
    <w:multiLevelType w:val="hybridMultilevel"/>
    <w:tmpl w:val="1D6E50C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210A1F"/>
    <w:multiLevelType w:val="hybridMultilevel"/>
    <w:tmpl w:val="B30EC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5F3DEA"/>
    <w:multiLevelType w:val="hybridMultilevel"/>
    <w:tmpl w:val="5E289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B4A5D"/>
    <w:multiLevelType w:val="hybridMultilevel"/>
    <w:tmpl w:val="178E2B9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1E121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C3E1197"/>
    <w:multiLevelType w:val="hybridMultilevel"/>
    <w:tmpl w:val="8DC08ADC"/>
    <w:lvl w:ilvl="0" w:tplc="04070001">
      <w:start w:val="1"/>
      <w:numFmt w:val="bullet"/>
      <w:lvlText w:val=""/>
      <w:lvlJc w:val="left"/>
      <w:pPr>
        <w:ind w:left="720" w:hanging="360"/>
      </w:pPr>
      <w:rPr>
        <w:rFonts w:ascii="Symbol" w:hAnsi="Symbol"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B87458"/>
    <w:multiLevelType w:val="hybridMultilevel"/>
    <w:tmpl w:val="19589AA0"/>
    <w:lvl w:ilvl="0" w:tplc="955C989C">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F69177D"/>
    <w:multiLevelType w:val="hybridMultilevel"/>
    <w:tmpl w:val="2E583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418CF"/>
    <w:multiLevelType w:val="hybridMultilevel"/>
    <w:tmpl w:val="A5BE1E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1A5375"/>
    <w:multiLevelType w:val="hybridMultilevel"/>
    <w:tmpl w:val="D1A677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45F21567"/>
    <w:multiLevelType w:val="hybridMultilevel"/>
    <w:tmpl w:val="6E90F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0A411D"/>
    <w:multiLevelType w:val="hybridMultilevel"/>
    <w:tmpl w:val="622E1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E42E3F"/>
    <w:multiLevelType w:val="hybridMultilevel"/>
    <w:tmpl w:val="1AB4C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8C1294"/>
    <w:multiLevelType w:val="hybridMultilevel"/>
    <w:tmpl w:val="363AD3E8"/>
    <w:lvl w:ilvl="0" w:tplc="E4146BB0">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07176"/>
    <w:multiLevelType w:val="hybridMultilevel"/>
    <w:tmpl w:val="287CA2B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F2B797E"/>
    <w:multiLevelType w:val="hybridMultilevel"/>
    <w:tmpl w:val="04325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28"/>
  </w:num>
  <w:num w:numId="4">
    <w:abstractNumId w:val="16"/>
  </w:num>
  <w:num w:numId="5">
    <w:abstractNumId w:val="18"/>
  </w:num>
  <w:num w:numId="6">
    <w:abstractNumId w:val="8"/>
  </w:num>
  <w:num w:numId="7">
    <w:abstractNumId w:val="21"/>
  </w:num>
  <w:num w:numId="8">
    <w:abstractNumId w:val="15"/>
  </w:num>
  <w:num w:numId="9">
    <w:abstractNumId w:val="20"/>
  </w:num>
  <w:num w:numId="10">
    <w:abstractNumId w:val="22"/>
  </w:num>
  <w:num w:numId="11">
    <w:abstractNumId w:val="30"/>
  </w:num>
  <w:num w:numId="12">
    <w:abstractNumId w:val="25"/>
  </w:num>
  <w:num w:numId="13">
    <w:abstractNumId w:val="9"/>
  </w:num>
  <w:num w:numId="14">
    <w:abstractNumId w:val="24"/>
  </w:num>
  <w:num w:numId="15">
    <w:abstractNumId w:val="11"/>
  </w:num>
  <w:num w:numId="16">
    <w:abstractNumId w:val="10"/>
  </w:num>
  <w:num w:numId="17">
    <w:abstractNumId w:val="27"/>
  </w:num>
  <w:num w:numId="18">
    <w:abstractNumId w:val="6"/>
  </w:num>
  <w:num w:numId="19">
    <w:abstractNumId w:val="5"/>
  </w:num>
  <w:num w:numId="20">
    <w:abstractNumId w:val="19"/>
  </w:num>
  <w:num w:numId="21">
    <w:abstractNumId w:val="3"/>
  </w:num>
  <w:num w:numId="22">
    <w:abstractNumId w:val="12"/>
  </w:num>
  <w:num w:numId="23">
    <w:abstractNumId w:val="2"/>
  </w:num>
  <w:num w:numId="24">
    <w:abstractNumId w:val="13"/>
  </w:num>
  <w:num w:numId="25">
    <w:abstractNumId w:val="26"/>
  </w:num>
  <w:num w:numId="26">
    <w:abstractNumId w:val="1"/>
  </w:num>
  <w:num w:numId="27">
    <w:abstractNumId w:val="4"/>
  </w:num>
  <w:num w:numId="28">
    <w:abstractNumId w:val="14"/>
  </w:num>
  <w:num w:numId="29">
    <w:abstractNumId w:val="0"/>
  </w:num>
  <w:num w:numId="30">
    <w:abstractNumId w:val="31"/>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1D531-E81A-4F7F-B7AC-E0057396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773476939">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International_15_04.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mpfstoffPipeline_Stand15April2020.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ICOSARI_COVID-19_2020_04_15.ppt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04-15.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D1638CC2F34C48A85483A10D9486D1"/>
        <w:category>
          <w:name w:val="Allgemein"/>
          <w:gallery w:val="placeholder"/>
        </w:category>
        <w:types>
          <w:type w:val="bbPlcHdr"/>
        </w:types>
        <w:behaviors>
          <w:behavior w:val="content"/>
        </w:behaviors>
        <w:guid w:val="{C8BF339A-C7C3-4811-84EA-0F267D0F4080}"/>
      </w:docPartPr>
      <w:docPartBody>
        <w:p>
          <w:pPr>
            <w:pStyle w:val="4FD1638CC2F34C48A85483A10D9486D1"/>
          </w:pPr>
          <w:r>
            <w:rPr>
              <w:rStyle w:val="Platzhaltertext"/>
            </w:rPr>
            <w:t>Klicken Sie hier, um Text einzugeben.</w:t>
          </w:r>
        </w:p>
      </w:docPartBody>
    </w:docPart>
    <w:docPart>
      <w:docPartPr>
        <w:name w:val="70453C9276B646228C40A7A320BC343F"/>
        <w:category>
          <w:name w:val="Allgemein"/>
          <w:gallery w:val="placeholder"/>
        </w:category>
        <w:types>
          <w:type w:val="bbPlcHdr"/>
        </w:types>
        <w:behaviors>
          <w:behavior w:val="content"/>
        </w:behaviors>
        <w:guid w:val="{A7456E51-AE66-4CD2-93C0-C9F5B41135B0}"/>
      </w:docPartPr>
      <w:docPartBody>
        <w:p>
          <w:pPr>
            <w:pStyle w:val="70453C9276B646228C40A7A320BC343F"/>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5B39"/>
    <w:rPr>
      <w:color w:val="808080"/>
    </w:rPr>
  </w:style>
  <w:style w:type="paragraph" w:customStyle="1" w:styleId="4FD1638CC2F34C48A85483A10D9486D1">
    <w:name w:val="4FD1638CC2F34C48A85483A10D9486D1"/>
    <w:rsid w:val="005E5B39"/>
  </w:style>
  <w:style w:type="paragraph" w:customStyle="1" w:styleId="70453C9276B646228C40A7A320BC343F">
    <w:name w:val="70453C9276B646228C40A7A320BC343F"/>
    <w:rsid w:val="005E5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11D7C-01FB-4C6A-B725-EAA23BF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2303</Words>
  <Characters>14511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45</cp:revision>
  <cp:lastPrinted>2020-04-15T16:12:00Z</cp:lastPrinted>
  <dcterms:created xsi:type="dcterms:W3CDTF">2020-04-15T10:49:00Z</dcterms:created>
  <dcterms:modified xsi:type="dcterms:W3CDTF">2021-04-12T14:32:00Z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-1337402490</vt:i4>
  </property>
</Properties>
</file>