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4FD1638CC2F34C48A85483A10D9486D1"/>
          </w:placeholder>
        </w:sdtPr>
        <w:sdtContent>
          <w:sdt>
            <w:sdtPr>
              <w:rPr>
                <w:i/>
                <w:sz w:val="22"/>
              </w:rPr>
              <w:id w:val="334350100"/>
              <w:placeholder>
                <w:docPart w:val="70453C9276B646228C40A7A320BC343F"/>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4FD1638CC2F34C48A85483A10D9486D1"/>
          </w:placeholder>
        </w:sdtPr>
        <w:sdtContent>
          <w:r>
            <w:rPr>
              <w:i/>
              <w:sz w:val="22"/>
            </w:rPr>
            <w:t>16.04.2020, 11-12:45 Uhr</w:t>
          </w:r>
        </w:sdtContent>
      </w:sdt>
    </w:p>
    <w:p>
      <w:pPr>
        <w:rPr>
          <w:b/>
          <w:sz w:val="22"/>
        </w:rPr>
      </w:pPr>
      <w:r>
        <w:rPr>
          <w:b/>
          <w:i/>
          <w:sz w:val="22"/>
        </w:rPr>
        <w:t>Sitzungsort</w:t>
      </w:r>
      <w:r>
        <w:rPr>
          <w:b/>
          <w:sz w:val="22"/>
        </w:rPr>
        <w:t xml:space="preserve"> Teilnehmende: </w:t>
      </w:r>
    </w:p>
    <w:p>
      <w:pPr>
        <w:pStyle w:val="Listenabsatz"/>
        <w:numPr>
          <w:ilvl w:val="0"/>
          <w:numId w:val="18"/>
        </w:numPr>
        <w:spacing w:after="0"/>
        <w:contextualSpacing w:val="0"/>
        <w:rPr>
          <w:sz w:val="22"/>
          <w:szCs w:val="22"/>
        </w:rPr>
      </w:pPr>
      <w:r>
        <w:rPr>
          <w:sz w:val="22"/>
          <w:szCs w:val="22"/>
        </w:rPr>
        <w:t>Institutsleitung</w:t>
      </w:r>
    </w:p>
    <w:p>
      <w:pPr>
        <w:pStyle w:val="Listenabsatz"/>
        <w:numPr>
          <w:ilvl w:val="1"/>
          <w:numId w:val="18"/>
        </w:numPr>
        <w:spacing w:after="0"/>
        <w:contextualSpacing w:val="0"/>
        <w:rPr>
          <w:sz w:val="22"/>
          <w:szCs w:val="22"/>
        </w:rPr>
      </w:pPr>
      <w:r>
        <w:rPr>
          <w:sz w:val="22"/>
          <w:szCs w:val="22"/>
        </w:rPr>
        <w:t>Lothar Wieler</w:t>
      </w:r>
    </w:p>
    <w:p>
      <w:pPr>
        <w:pStyle w:val="Listenabsatz"/>
        <w:numPr>
          <w:ilvl w:val="1"/>
          <w:numId w:val="18"/>
        </w:numPr>
        <w:spacing w:after="0"/>
        <w:contextualSpacing w:val="0"/>
        <w:rPr>
          <w:sz w:val="22"/>
          <w:szCs w:val="22"/>
        </w:rPr>
      </w:pPr>
      <w:r>
        <w:rPr>
          <w:sz w:val="22"/>
          <w:szCs w:val="22"/>
        </w:rPr>
        <w:t>Lars Schaade (Moderation)</w:t>
      </w:r>
    </w:p>
    <w:p>
      <w:pPr>
        <w:pStyle w:val="Listenabsatz"/>
        <w:numPr>
          <w:ilvl w:val="0"/>
          <w:numId w:val="18"/>
        </w:numPr>
        <w:spacing w:after="0"/>
        <w:contextualSpacing w:val="0"/>
        <w:rPr>
          <w:sz w:val="22"/>
          <w:szCs w:val="22"/>
        </w:rPr>
      </w:pPr>
      <w:r>
        <w:rPr>
          <w:sz w:val="22"/>
          <w:szCs w:val="22"/>
        </w:rPr>
        <w:t>Abt. 1 Leitung</w:t>
      </w:r>
    </w:p>
    <w:p>
      <w:pPr>
        <w:pStyle w:val="Listenabsatz"/>
        <w:numPr>
          <w:ilvl w:val="1"/>
          <w:numId w:val="18"/>
        </w:numPr>
        <w:spacing w:after="0"/>
        <w:contextualSpacing w:val="0"/>
        <w:rPr>
          <w:sz w:val="22"/>
          <w:szCs w:val="22"/>
        </w:rPr>
      </w:pPr>
      <w:r>
        <w:rPr>
          <w:sz w:val="22"/>
          <w:szCs w:val="22"/>
        </w:rPr>
        <w:t>Martin Mielke</w:t>
      </w:r>
    </w:p>
    <w:p>
      <w:pPr>
        <w:pStyle w:val="Listenabsatz"/>
        <w:numPr>
          <w:ilvl w:val="0"/>
          <w:numId w:val="18"/>
        </w:numPr>
        <w:spacing w:after="0"/>
        <w:contextualSpacing w:val="0"/>
        <w:rPr>
          <w:sz w:val="22"/>
          <w:szCs w:val="22"/>
        </w:rPr>
      </w:pPr>
      <w:r>
        <w:rPr>
          <w:sz w:val="22"/>
          <w:szCs w:val="22"/>
        </w:rPr>
        <w:t>Abt. 2 Leitung</w:t>
      </w:r>
    </w:p>
    <w:p>
      <w:pPr>
        <w:pStyle w:val="Listenabsatz"/>
        <w:numPr>
          <w:ilvl w:val="1"/>
          <w:numId w:val="18"/>
        </w:numPr>
        <w:spacing w:after="0"/>
        <w:contextualSpacing w:val="0"/>
        <w:rPr>
          <w:sz w:val="22"/>
          <w:szCs w:val="22"/>
        </w:rPr>
      </w:pPr>
      <w:r>
        <w:rPr>
          <w:sz w:val="22"/>
          <w:szCs w:val="22"/>
        </w:rPr>
        <w:t>Thomas Lampert</w:t>
      </w:r>
    </w:p>
    <w:p>
      <w:pPr>
        <w:pStyle w:val="Listenabsatz"/>
        <w:numPr>
          <w:ilvl w:val="0"/>
          <w:numId w:val="18"/>
        </w:numPr>
        <w:spacing w:after="0"/>
        <w:contextualSpacing w:val="0"/>
        <w:rPr>
          <w:sz w:val="22"/>
          <w:szCs w:val="22"/>
        </w:rPr>
      </w:pPr>
      <w:r>
        <w:rPr>
          <w:sz w:val="22"/>
          <w:szCs w:val="22"/>
        </w:rPr>
        <w:t>Abt. 3 Leitung</w:t>
      </w:r>
    </w:p>
    <w:p>
      <w:pPr>
        <w:pStyle w:val="Listenabsatz"/>
        <w:numPr>
          <w:ilvl w:val="0"/>
          <w:numId w:val="18"/>
        </w:numPr>
        <w:spacing w:after="0"/>
        <w:contextualSpacing w:val="0"/>
        <w:rPr>
          <w:sz w:val="22"/>
          <w:szCs w:val="22"/>
        </w:rPr>
      </w:pPr>
      <w:r>
        <w:rPr>
          <w:sz w:val="22"/>
          <w:szCs w:val="22"/>
        </w:rPr>
        <w:t>ZIG Leitung</w:t>
      </w:r>
    </w:p>
    <w:p>
      <w:pPr>
        <w:pStyle w:val="Listenabsatz"/>
        <w:numPr>
          <w:ilvl w:val="0"/>
          <w:numId w:val="19"/>
        </w:numPr>
        <w:spacing w:after="0"/>
        <w:contextualSpacing w:val="0"/>
        <w:rPr>
          <w:sz w:val="22"/>
          <w:szCs w:val="22"/>
        </w:rPr>
      </w:pPr>
      <w:r>
        <w:rPr>
          <w:sz w:val="22"/>
          <w:szCs w:val="22"/>
        </w:rPr>
        <w:t>FG12</w:t>
      </w:r>
    </w:p>
    <w:p>
      <w:pPr>
        <w:pStyle w:val="Listenabsatz"/>
        <w:numPr>
          <w:ilvl w:val="1"/>
          <w:numId w:val="18"/>
        </w:numPr>
        <w:spacing w:after="0"/>
        <w:contextualSpacing w:val="0"/>
        <w:rPr>
          <w:sz w:val="22"/>
          <w:szCs w:val="22"/>
        </w:rPr>
      </w:pPr>
      <w:r>
        <w:rPr>
          <w:sz w:val="22"/>
          <w:szCs w:val="22"/>
        </w:rPr>
        <w:t>Annette Mankertz</w:t>
      </w:r>
    </w:p>
    <w:p>
      <w:pPr>
        <w:pStyle w:val="Listenabsatz"/>
        <w:numPr>
          <w:ilvl w:val="0"/>
          <w:numId w:val="19"/>
        </w:numPr>
        <w:spacing w:after="0"/>
        <w:contextualSpacing w:val="0"/>
        <w:rPr>
          <w:sz w:val="22"/>
          <w:szCs w:val="22"/>
        </w:rPr>
      </w:pPr>
      <w:r>
        <w:rPr>
          <w:sz w:val="22"/>
          <w:szCs w:val="22"/>
        </w:rPr>
        <w:t>FG14</w:t>
      </w:r>
    </w:p>
    <w:p>
      <w:pPr>
        <w:pStyle w:val="Listenabsatz"/>
        <w:numPr>
          <w:ilvl w:val="1"/>
          <w:numId w:val="18"/>
        </w:numPr>
        <w:spacing w:after="0"/>
        <w:contextualSpacing w:val="0"/>
        <w:rPr>
          <w:sz w:val="22"/>
          <w:szCs w:val="22"/>
        </w:rPr>
      </w:pPr>
      <w:r>
        <w:rPr>
          <w:sz w:val="22"/>
          <w:szCs w:val="22"/>
        </w:rPr>
        <w:t>Melanie Brunke</w:t>
      </w:r>
      <w:r>
        <w:rPr>
          <w:sz w:val="22"/>
          <w:szCs w:val="22"/>
          <w:lang w:val="en-US"/>
        </w:rPr>
        <w:t xml:space="preserve"> </w:t>
      </w:r>
    </w:p>
    <w:p>
      <w:pPr>
        <w:pStyle w:val="Listenabsatz"/>
        <w:numPr>
          <w:ilvl w:val="1"/>
          <w:numId w:val="18"/>
        </w:numPr>
        <w:spacing w:after="0"/>
        <w:contextualSpacing w:val="0"/>
        <w:rPr>
          <w:sz w:val="22"/>
          <w:szCs w:val="22"/>
        </w:rPr>
      </w:pPr>
      <w:r>
        <w:rPr>
          <w:sz w:val="22"/>
          <w:szCs w:val="22"/>
        </w:rPr>
        <w:t>Mardjan Arvand</w:t>
      </w:r>
    </w:p>
    <w:p>
      <w:pPr>
        <w:pStyle w:val="Listenabsatz"/>
        <w:numPr>
          <w:ilvl w:val="0"/>
          <w:numId w:val="18"/>
        </w:numPr>
        <w:spacing w:after="0"/>
        <w:contextualSpacing w:val="0"/>
        <w:rPr>
          <w:sz w:val="22"/>
          <w:szCs w:val="22"/>
          <w:lang w:val="en-US"/>
        </w:rPr>
      </w:pPr>
      <w:r>
        <w:rPr>
          <w:sz w:val="22"/>
          <w:szCs w:val="22"/>
        </w:rPr>
        <w:t xml:space="preserve">FG17 </w:t>
      </w:r>
    </w:p>
    <w:p>
      <w:pPr>
        <w:pStyle w:val="Listenabsatz"/>
        <w:numPr>
          <w:ilvl w:val="1"/>
          <w:numId w:val="18"/>
        </w:numPr>
        <w:spacing w:after="0"/>
        <w:contextualSpacing w:val="0"/>
        <w:rPr>
          <w:sz w:val="22"/>
          <w:szCs w:val="22"/>
          <w:lang w:val="en-US"/>
        </w:rPr>
      </w:pPr>
      <w:r>
        <w:rPr>
          <w:sz w:val="22"/>
          <w:szCs w:val="22"/>
          <w:lang w:val="en-US"/>
        </w:rPr>
        <w:t xml:space="preserve">Thorsten Wolff  </w:t>
      </w:r>
    </w:p>
    <w:p>
      <w:pPr>
        <w:pStyle w:val="Listenabsatz"/>
        <w:numPr>
          <w:ilvl w:val="0"/>
          <w:numId w:val="20"/>
        </w:numPr>
        <w:spacing w:after="0"/>
        <w:contextualSpacing w:val="0"/>
        <w:rPr>
          <w:sz w:val="22"/>
          <w:szCs w:val="22"/>
        </w:rPr>
      </w:pPr>
      <w:r>
        <w:rPr>
          <w:sz w:val="22"/>
          <w:szCs w:val="22"/>
        </w:rPr>
        <w:t>FG 32</w:t>
      </w:r>
    </w:p>
    <w:p>
      <w:pPr>
        <w:pStyle w:val="Listenabsatz"/>
        <w:numPr>
          <w:ilvl w:val="1"/>
          <w:numId w:val="18"/>
        </w:numPr>
        <w:spacing w:after="0"/>
        <w:contextualSpacing w:val="0"/>
        <w:rPr>
          <w:sz w:val="22"/>
          <w:szCs w:val="22"/>
        </w:rPr>
      </w:pPr>
      <w:r>
        <w:rPr>
          <w:sz w:val="22"/>
          <w:szCs w:val="22"/>
        </w:rPr>
        <w:t>Ute Rexroth</w:t>
      </w:r>
    </w:p>
    <w:p>
      <w:pPr>
        <w:pStyle w:val="Listenabsatz"/>
        <w:numPr>
          <w:ilvl w:val="1"/>
          <w:numId w:val="18"/>
        </w:numPr>
        <w:spacing w:after="0"/>
        <w:contextualSpacing w:val="0"/>
        <w:rPr>
          <w:sz w:val="22"/>
          <w:szCs w:val="22"/>
        </w:rPr>
      </w:pPr>
      <w:r>
        <w:rPr>
          <w:sz w:val="22"/>
          <w:szCs w:val="22"/>
        </w:rPr>
        <w:t>Michaela Diercke</w:t>
      </w:r>
    </w:p>
    <w:p>
      <w:pPr>
        <w:pStyle w:val="Listenabsatz"/>
        <w:numPr>
          <w:ilvl w:val="0"/>
          <w:numId w:val="18"/>
        </w:numPr>
        <w:spacing w:after="0"/>
        <w:contextualSpacing w:val="0"/>
        <w:rPr>
          <w:sz w:val="22"/>
          <w:szCs w:val="22"/>
        </w:rPr>
      </w:pPr>
      <w:r>
        <w:rPr>
          <w:sz w:val="22"/>
          <w:szCs w:val="22"/>
        </w:rPr>
        <w:t>FG34</w:t>
      </w:r>
    </w:p>
    <w:p>
      <w:pPr>
        <w:pStyle w:val="Listenabsatz"/>
        <w:numPr>
          <w:ilvl w:val="1"/>
          <w:numId w:val="18"/>
        </w:numPr>
        <w:spacing w:after="0"/>
        <w:contextualSpacing w:val="0"/>
        <w:rPr>
          <w:sz w:val="22"/>
          <w:szCs w:val="22"/>
        </w:rPr>
      </w:pPr>
      <w:r>
        <w:rPr>
          <w:sz w:val="22"/>
          <w:szCs w:val="22"/>
        </w:rPr>
        <w:t>Andrea Sailer (Protokoll)</w:t>
      </w:r>
    </w:p>
    <w:p>
      <w:pPr>
        <w:pStyle w:val="Listenabsatz"/>
        <w:numPr>
          <w:ilvl w:val="0"/>
          <w:numId w:val="18"/>
        </w:numPr>
        <w:spacing w:after="0"/>
        <w:contextualSpacing w:val="0"/>
        <w:rPr>
          <w:sz w:val="22"/>
          <w:szCs w:val="22"/>
        </w:rPr>
      </w:pPr>
      <w:r>
        <w:rPr>
          <w:sz w:val="22"/>
          <w:szCs w:val="22"/>
        </w:rPr>
        <w:t>FG36</w:t>
      </w:r>
    </w:p>
    <w:p>
      <w:pPr>
        <w:pStyle w:val="Listenabsatz"/>
        <w:numPr>
          <w:ilvl w:val="1"/>
          <w:numId w:val="18"/>
        </w:numPr>
        <w:spacing w:after="0"/>
        <w:contextualSpacing w:val="0"/>
        <w:rPr>
          <w:sz w:val="22"/>
          <w:szCs w:val="22"/>
        </w:rPr>
      </w:pPr>
      <w:r>
        <w:rPr>
          <w:sz w:val="22"/>
          <w:szCs w:val="22"/>
        </w:rPr>
        <w:t>Walter Haas</w:t>
      </w:r>
    </w:p>
    <w:p>
      <w:pPr>
        <w:pStyle w:val="Listenabsatz"/>
        <w:numPr>
          <w:ilvl w:val="0"/>
          <w:numId w:val="18"/>
        </w:numPr>
        <w:spacing w:after="0"/>
        <w:contextualSpacing w:val="0"/>
        <w:rPr>
          <w:sz w:val="22"/>
          <w:szCs w:val="22"/>
        </w:rPr>
      </w:pPr>
      <w:r>
        <w:rPr>
          <w:sz w:val="22"/>
          <w:szCs w:val="22"/>
        </w:rPr>
        <w:t>FG37</w:t>
      </w:r>
    </w:p>
    <w:p>
      <w:pPr>
        <w:pStyle w:val="Listenabsatz"/>
        <w:numPr>
          <w:ilvl w:val="1"/>
          <w:numId w:val="18"/>
        </w:numPr>
        <w:spacing w:after="0"/>
        <w:contextualSpacing w:val="0"/>
        <w:rPr>
          <w:sz w:val="22"/>
          <w:szCs w:val="22"/>
        </w:rPr>
      </w:pPr>
      <w:r>
        <w:rPr>
          <w:sz w:val="22"/>
          <w:szCs w:val="22"/>
        </w:rPr>
        <w:t>Tim Eckmanns</w:t>
      </w:r>
    </w:p>
    <w:p>
      <w:pPr>
        <w:pStyle w:val="Listenabsatz"/>
        <w:numPr>
          <w:ilvl w:val="0"/>
          <w:numId w:val="19"/>
        </w:numPr>
        <w:spacing w:after="0"/>
        <w:contextualSpacing w:val="0"/>
        <w:rPr>
          <w:sz w:val="22"/>
          <w:szCs w:val="22"/>
        </w:rPr>
      </w:pPr>
      <w:r>
        <w:rPr>
          <w:sz w:val="22"/>
          <w:szCs w:val="22"/>
        </w:rPr>
        <w:t>IBBS</w:t>
      </w:r>
    </w:p>
    <w:p>
      <w:pPr>
        <w:pStyle w:val="Listenabsatz"/>
        <w:numPr>
          <w:ilvl w:val="1"/>
          <w:numId w:val="19"/>
        </w:numPr>
        <w:spacing w:after="0"/>
        <w:contextualSpacing w:val="0"/>
        <w:rPr>
          <w:sz w:val="22"/>
          <w:szCs w:val="22"/>
        </w:rPr>
      </w:pPr>
      <w:r>
        <w:rPr>
          <w:sz w:val="22"/>
          <w:szCs w:val="22"/>
        </w:rPr>
        <w:t>Christian Herzog</w:t>
      </w:r>
    </w:p>
    <w:p>
      <w:pPr>
        <w:pStyle w:val="Listenabsatz"/>
        <w:numPr>
          <w:ilvl w:val="1"/>
          <w:numId w:val="19"/>
        </w:numPr>
        <w:spacing w:after="0"/>
        <w:contextualSpacing w:val="0"/>
        <w:rPr>
          <w:sz w:val="22"/>
          <w:szCs w:val="22"/>
        </w:rPr>
      </w:pPr>
      <w:r>
        <w:rPr>
          <w:sz w:val="22"/>
          <w:szCs w:val="22"/>
        </w:rPr>
        <w:t>Claudia Schulz-Weidhaas</w:t>
      </w:r>
    </w:p>
    <w:p>
      <w:pPr>
        <w:pStyle w:val="Listenabsatz"/>
        <w:numPr>
          <w:ilvl w:val="0"/>
          <w:numId w:val="19"/>
        </w:numPr>
        <w:spacing w:after="0"/>
        <w:contextualSpacing w:val="0"/>
        <w:rPr>
          <w:sz w:val="22"/>
          <w:szCs w:val="22"/>
        </w:rPr>
      </w:pPr>
      <w:r>
        <w:rPr>
          <w:sz w:val="22"/>
          <w:szCs w:val="22"/>
        </w:rPr>
        <w:t>Presse</w:t>
      </w:r>
    </w:p>
    <w:p>
      <w:pPr>
        <w:pStyle w:val="Listenabsatz"/>
        <w:numPr>
          <w:ilvl w:val="1"/>
          <w:numId w:val="19"/>
        </w:numPr>
        <w:spacing w:after="0"/>
        <w:contextualSpacing w:val="0"/>
        <w:rPr>
          <w:sz w:val="22"/>
          <w:szCs w:val="22"/>
        </w:rPr>
      </w:pPr>
      <w:r>
        <w:rPr>
          <w:sz w:val="22"/>
          <w:szCs w:val="22"/>
        </w:rPr>
        <w:t xml:space="preserve">Ronja Wenchel </w:t>
      </w:r>
    </w:p>
    <w:p>
      <w:pPr>
        <w:pStyle w:val="Listenabsatz"/>
        <w:numPr>
          <w:ilvl w:val="0"/>
          <w:numId w:val="19"/>
        </w:numPr>
        <w:spacing w:after="0"/>
        <w:contextualSpacing w:val="0"/>
        <w:rPr>
          <w:sz w:val="22"/>
          <w:szCs w:val="22"/>
        </w:rPr>
      </w:pPr>
      <w:r>
        <w:rPr>
          <w:sz w:val="22"/>
          <w:szCs w:val="22"/>
        </w:rPr>
        <w:t>ZBS1</w:t>
      </w:r>
    </w:p>
    <w:p>
      <w:pPr>
        <w:pStyle w:val="Listenabsatz"/>
        <w:numPr>
          <w:ilvl w:val="1"/>
          <w:numId w:val="19"/>
        </w:numPr>
        <w:spacing w:after="0"/>
        <w:contextualSpacing w:val="0"/>
        <w:rPr>
          <w:sz w:val="22"/>
          <w:szCs w:val="22"/>
        </w:rPr>
      </w:pPr>
      <w:r>
        <w:rPr>
          <w:sz w:val="22"/>
          <w:szCs w:val="22"/>
        </w:rPr>
        <w:t>Janine Michel</w:t>
      </w:r>
    </w:p>
    <w:p>
      <w:pPr>
        <w:pStyle w:val="Listenabsatz"/>
        <w:numPr>
          <w:ilvl w:val="0"/>
          <w:numId w:val="18"/>
        </w:numPr>
        <w:spacing w:after="0"/>
        <w:contextualSpacing w:val="0"/>
        <w:rPr>
          <w:sz w:val="22"/>
          <w:szCs w:val="22"/>
        </w:rPr>
      </w:pPr>
      <w:r>
        <w:rPr>
          <w:sz w:val="22"/>
          <w:szCs w:val="22"/>
        </w:rPr>
        <w:t>ZIG1</w:t>
      </w:r>
    </w:p>
    <w:p>
      <w:pPr>
        <w:pStyle w:val="Listenabsatz"/>
        <w:numPr>
          <w:ilvl w:val="1"/>
          <w:numId w:val="19"/>
        </w:numPr>
        <w:spacing w:after="0"/>
        <w:contextualSpacing w:val="0"/>
        <w:rPr>
          <w:sz w:val="22"/>
          <w:szCs w:val="22"/>
        </w:rPr>
      </w:pPr>
      <w:r>
        <w:rPr>
          <w:sz w:val="22"/>
          <w:szCs w:val="22"/>
        </w:rPr>
        <w:t>Andreas Jansen</w:t>
      </w:r>
    </w:p>
    <w:p>
      <w:pPr>
        <w:pStyle w:val="Listenabsatz"/>
        <w:numPr>
          <w:ilvl w:val="0"/>
          <w:numId w:val="18"/>
        </w:numPr>
        <w:spacing w:after="0"/>
        <w:contextualSpacing w:val="0"/>
        <w:rPr>
          <w:sz w:val="22"/>
          <w:szCs w:val="22"/>
        </w:rPr>
      </w:pPr>
      <w:r>
        <w:rPr>
          <w:sz w:val="22"/>
          <w:szCs w:val="22"/>
        </w:rPr>
        <w:t xml:space="preserve">BZGA </w:t>
      </w:r>
    </w:p>
    <w:p>
      <w:pPr>
        <w:pStyle w:val="Listenabsatz"/>
        <w:numPr>
          <w:ilvl w:val="1"/>
          <w:numId w:val="18"/>
        </w:numPr>
        <w:spacing w:after="0"/>
        <w:contextualSpacing w:val="0"/>
        <w:rPr>
          <w:sz w:val="22"/>
          <w:szCs w:val="22"/>
        </w:rPr>
      </w:pPr>
      <w:proofErr w:type="spellStart"/>
      <w:r>
        <w:rPr>
          <w:sz w:val="22"/>
          <w:szCs w:val="22"/>
          <w:lang w:val="en-US"/>
        </w:rPr>
        <w:t>Heidrun</w:t>
      </w:r>
      <w:proofErr w:type="spellEnd"/>
      <w:r>
        <w:rPr>
          <w:sz w:val="22"/>
          <w:szCs w:val="22"/>
          <w:lang w:val="en-US"/>
        </w:rPr>
        <w:t xml:space="preserve"> </w:t>
      </w:r>
      <w:proofErr w:type="spellStart"/>
      <w:r>
        <w:rPr>
          <w:sz w:val="22"/>
          <w:szCs w:val="22"/>
          <w:lang w:val="en-US"/>
        </w:rPr>
        <w:t>Thaiss</w:t>
      </w:r>
      <w:proofErr w:type="spellEnd"/>
    </w:p>
    <w:p>
      <w:pPr>
        <w:pStyle w:val="Listenabsatz"/>
        <w:numPr>
          <w:ilvl w:val="0"/>
          <w:numId w:val="18"/>
        </w:numPr>
        <w:spacing w:after="0"/>
        <w:contextualSpacing w:val="0"/>
        <w:rPr>
          <w:sz w:val="22"/>
          <w:szCs w:val="22"/>
        </w:rPr>
      </w:pPr>
      <w:r>
        <w:rPr>
          <w:sz w:val="22"/>
          <w:szCs w:val="22"/>
        </w:rPr>
        <w:t>Bundeswehr</w:t>
      </w:r>
    </w:p>
    <w:p>
      <w:pPr>
        <w:pStyle w:val="Listenabsatz"/>
        <w:numPr>
          <w:ilvl w:val="1"/>
          <w:numId w:val="18"/>
        </w:numPr>
        <w:spacing w:after="0"/>
        <w:contextualSpacing w:val="0"/>
      </w:pPr>
      <w:r>
        <w:rPr>
          <w:sz w:val="22"/>
          <w:szCs w:val="22"/>
        </w:rPr>
        <w:t xml:space="preserve">Frau Roßmann </w:t>
      </w:r>
      <w:r>
        <w:br w:type="page"/>
      </w:r>
    </w:p>
    <w:tbl>
      <w:tblPr>
        <w:tblStyle w:val="Tabellenraster"/>
        <w:tblW w:w="8687" w:type="dxa"/>
        <w:tblLayout w:type="fixed"/>
        <w:tblLook w:val="00A0" w:firstRow="1" w:lastRow="0" w:firstColumn="1" w:lastColumn="0" w:noHBand="0" w:noVBand="0"/>
      </w:tblPr>
      <w:tblGrid>
        <w:gridCol w:w="762"/>
        <w:gridCol w:w="6434"/>
        <w:gridCol w:w="1491"/>
      </w:tblGrid>
      <w:tr>
        <w:tc>
          <w:tcPr>
            <w:tcW w:w="762" w:type="dxa"/>
          </w:tcPr>
          <w:p>
            <w:pPr>
              <w:rPr>
                <w:b/>
                <w:sz w:val="28"/>
                <w:szCs w:val="28"/>
              </w:rPr>
            </w:pPr>
            <w:r>
              <w:rPr>
                <w:b/>
                <w:sz w:val="28"/>
                <w:szCs w:val="28"/>
              </w:rPr>
              <w:lastRenderedPageBreak/>
              <w:t>TOP</w:t>
            </w:r>
          </w:p>
        </w:tc>
        <w:tc>
          <w:tcPr>
            <w:tcW w:w="6434" w:type="dxa"/>
          </w:tcPr>
          <w:p>
            <w:pPr>
              <w:rPr>
                <w:b/>
              </w:rPr>
            </w:pPr>
            <w:r>
              <w:rPr>
                <w:b/>
              </w:rPr>
              <w:t>Beitrag/Thema</w:t>
            </w:r>
          </w:p>
        </w:tc>
        <w:tc>
          <w:tcPr>
            <w:tcW w:w="1491" w:type="dxa"/>
          </w:tcPr>
          <w:p>
            <w:pPr>
              <w:rPr>
                <w:b/>
                <w:sz w:val="22"/>
                <w:szCs w:val="22"/>
              </w:rPr>
            </w:pPr>
            <w:r>
              <w:rPr>
                <w:b/>
                <w:sz w:val="22"/>
                <w:szCs w:val="22"/>
              </w:rPr>
              <w:t>eingebracht von</w:t>
            </w:r>
          </w:p>
        </w:tc>
      </w:tr>
      <w:tr>
        <w:tc>
          <w:tcPr>
            <w:tcW w:w="762" w:type="dxa"/>
          </w:tcPr>
          <w:p>
            <w:pPr>
              <w:rPr>
                <w:b/>
                <w:sz w:val="28"/>
                <w:szCs w:val="28"/>
              </w:rPr>
            </w:pPr>
            <w:r>
              <w:rPr>
                <w:b/>
                <w:sz w:val="28"/>
                <w:szCs w:val="28"/>
              </w:rPr>
              <w:t>1</w:t>
            </w:r>
          </w:p>
        </w:tc>
        <w:tc>
          <w:tcPr>
            <w:tcW w:w="6434" w:type="dxa"/>
          </w:tcPr>
          <w:p>
            <w:pPr>
              <w:rPr>
                <w:b/>
                <w:sz w:val="28"/>
                <w:szCs w:val="28"/>
              </w:rPr>
            </w:pPr>
            <w:r>
              <w:rPr>
                <w:b/>
                <w:sz w:val="28"/>
                <w:szCs w:val="28"/>
              </w:rPr>
              <w:t>Aktuelle Lage</w:t>
            </w:r>
          </w:p>
          <w:p>
            <w:pPr>
              <w:rPr>
                <w:b/>
              </w:rPr>
            </w:pPr>
            <w:r>
              <w:rPr>
                <w:b/>
              </w:rPr>
              <w:t>International Fälle, Schwere, Risikofaktoren</w:t>
            </w:r>
          </w:p>
          <w:p>
            <w:pPr>
              <w:pStyle w:val="Listenabsatz"/>
              <w:numPr>
                <w:ilvl w:val="0"/>
                <w:numId w:val="11"/>
              </w:numPr>
              <w:ind w:left="448" w:hanging="357"/>
            </w:pPr>
            <w:r>
              <w:t xml:space="preserve">Trendanalyse international, Maßnahmen (Folien </w:t>
            </w:r>
            <w:hyperlink r:id="rId8" w:history="1">
              <w:r>
                <w:rPr>
                  <w:rStyle w:val="Hyperlink"/>
                </w:rPr>
                <w:t>hier</w:t>
              </w:r>
            </w:hyperlink>
            <w:r>
              <w:t>)</w:t>
            </w:r>
          </w:p>
          <w:p>
            <w:pPr>
              <w:pStyle w:val="Listenabsatz"/>
              <w:numPr>
                <w:ilvl w:val="0"/>
                <w:numId w:val="11"/>
              </w:numPr>
              <w:ind w:left="448" w:hanging="357"/>
            </w:pPr>
            <w:r>
              <w:t xml:space="preserve">Länder über 70.000 Fällen: </w:t>
            </w:r>
          </w:p>
          <w:p>
            <w:pPr>
              <w:pStyle w:val="Listenabsatz"/>
              <w:numPr>
                <w:ilvl w:val="1"/>
                <w:numId w:val="11"/>
              </w:numPr>
            </w:pPr>
            <w:r>
              <w:t>Regierung USA steht wegen Einstellung der Zahlungen an WHO unter starker Kritik.</w:t>
            </w:r>
          </w:p>
          <w:p>
            <w:pPr>
              <w:pStyle w:val="Listenabsatz"/>
              <w:numPr>
                <w:ilvl w:val="0"/>
                <w:numId w:val="11"/>
              </w:numPr>
              <w:ind w:left="448" w:hanging="357"/>
            </w:pPr>
            <w:r>
              <w:t xml:space="preserve">Länder mit 7.000 – 70.000 Fällen: </w:t>
            </w:r>
          </w:p>
          <w:p>
            <w:pPr>
              <w:pStyle w:val="Listenabsatz"/>
              <w:numPr>
                <w:ilvl w:val="1"/>
                <w:numId w:val="11"/>
              </w:numPr>
            </w:pPr>
            <w:r>
              <w:t xml:space="preserve">Keine große Veränderung seit gestern, bei den meisten Länder ist </w:t>
            </w:r>
            <w:proofErr w:type="spellStart"/>
            <w:r>
              <w:t>Rt</w:t>
            </w:r>
            <w:proofErr w:type="spellEnd"/>
            <w:r>
              <w:t xml:space="preserve"> unter oder nahe 1; Problem: Türkei, Russland.</w:t>
            </w:r>
          </w:p>
          <w:p>
            <w:pPr>
              <w:pStyle w:val="Listenabsatz"/>
              <w:numPr>
                <w:ilvl w:val="0"/>
                <w:numId w:val="11"/>
              </w:numPr>
              <w:ind w:left="448" w:hanging="357"/>
            </w:pPr>
            <w:r>
              <w:t xml:space="preserve">Länder mit 1.400 – 7.000 Fällen: </w:t>
            </w:r>
          </w:p>
          <w:p>
            <w:pPr>
              <w:pStyle w:val="Listenabsatz"/>
              <w:numPr>
                <w:ilvl w:val="1"/>
                <w:numId w:val="11"/>
              </w:numPr>
            </w:pPr>
            <w:r>
              <w:t>Singapur: deutlicher Anstieg der Fallzahl</w:t>
            </w:r>
          </w:p>
          <w:p>
            <w:pPr>
              <w:pStyle w:val="Listenabsatz"/>
              <w:numPr>
                <w:ilvl w:val="0"/>
                <w:numId w:val="11"/>
              </w:numPr>
              <w:ind w:left="448" w:hanging="357"/>
              <w:rPr>
                <w:u w:val="single"/>
              </w:rPr>
            </w:pPr>
            <w:r>
              <w:rPr>
                <w:u w:val="single"/>
              </w:rPr>
              <w:t xml:space="preserve">Singapur: </w:t>
            </w:r>
          </w:p>
          <w:p>
            <w:pPr>
              <w:pStyle w:val="Listenabsatz"/>
              <w:numPr>
                <w:ilvl w:val="1"/>
                <w:numId w:val="11"/>
              </w:numPr>
            </w:pPr>
            <w:r>
              <w:t xml:space="preserve">3.252 Fälle, 10 Todesfälle, sehr geringe Fallsterblichkeit: 0,3%, 1.287 hospitalisierte Fälle, Inzidenz/100.000 </w:t>
            </w:r>
            <w:proofErr w:type="spellStart"/>
            <w:r>
              <w:t>Ew</w:t>
            </w:r>
            <w:proofErr w:type="spellEnd"/>
            <w:r>
              <w:t>.: 57,7</w:t>
            </w:r>
          </w:p>
          <w:p>
            <w:pPr>
              <w:pStyle w:val="Listenabsatz"/>
              <w:numPr>
                <w:ilvl w:val="1"/>
                <w:numId w:val="11"/>
              </w:numPr>
            </w:pPr>
            <w:r>
              <w:t xml:space="preserve">viele Testungen mit </w:t>
            </w:r>
            <w:proofErr w:type="spellStart"/>
            <w:r>
              <w:t>Positivenanteil</w:t>
            </w:r>
            <w:proofErr w:type="spellEnd"/>
            <w:r>
              <w:t xml:space="preserve"> von 4,5%</w:t>
            </w:r>
          </w:p>
          <w:p>
            <w:pPr>
              <w:pStyle w:val="Listenabsatz"/>
              <w:numPr>
                <w:ilvl w:val="1"/>
                <w:numId w:val="11"/>
              </w:numPr>
            </w:pPr>
            <w:r>
              <w:t xml:space="preserve">deutlicher Anstieg der Neuinfektionen in letzten 2 Wochen </w:t>
            </w:r>
          </w:p>
          <w:p>
            <w:pPr>
              <w:pStyle w:val="Listenabsatz"/>
              <w:numPr>
                <w:ilvl w:val="1"/>
                <w:numId w:val="11"/>
              </w:numPr>
            </w:pPr>
            <w:r>
              <w:t>Bisher kein „Lock-down“, Maßnahmen primär Reisebeschränkungen</w:t>
            </w:r>
          </w:p>
          <w:p>
            <w:pPr>
              <w:pStyle w:val="Listenabsatz"/>
              <w:numPr>
                <w:ilvl w:val="1"/>
                <w:numId w:val="11"/>
              </w:numPr>
            </w:pPr>
            <w:r>
              <w:t>Seit 07.04 neue Periode mit wesentlich stärkeren Maßnahmen: Ausgangsbeschränkungen, Schließung von Schulen und nicht-essentiellen Arbeitsplätzen; strikte Durchsetzung der Maßnahmen; Einreisende müssen 14 Tage in Quarantäne.</w:t>
            </w:r>
          </w:p>
          <w:p>
            <w:pPr>
              <w:pStyle w:val="Listenabsatz"/>
              <w:numPr>
                <w:ilvl w:val="1"/>
                <w:numId w:val="11"/>
              </w:numPr>
            </w:pPr>
            <w:r>
              <w:t xml:space="preserve">Sehr </w:t>
            </w:r>
            <w:proofErr w:type="spellStart"/>
            <w:r>
              <w:t>diffenzierte</w:t>
            </w:r>
            <w:proofErr w:type="spellEnd"/>
            <w:r>
              <w:t xml:space="preserve"> Erfassung der Fälle, importierte Fälle (568), „</w:t>
            </w:r>
            <w:proofErr w:type="spellStart"/>
            <w:r>
              <w:t>community</w:t>
            </w:r>
            <w:proofErr w:type="spellEnd"/>
            <w:r>
              <w:t xml:space="preserve"> </w:t>
            </w:r>
            <w:proofErr w:type="spellStart"/>
            <w:r>
              <w:t>transmission</w:t>
            </w:r>
            <w:proofErr w:type="spellEnd"/>
            <w:r>
              <w:t>“ (867), „</w:t>
            </w:r>
            <w:proofErr w:type="spellStart"/>
            <w:r>
              <w:t>construction</w:t>
            </w:r>
            <w:proofErr w:type="spellEnd"/>
            <w:r>
              <w:t xml:space="preserve"> </w:t>
            </w:r>
            <w:proofErr w:type="spellStart"/>
            <w:r>
              <w:t>clusters</w:t>
            </w:r>
            <w:proofErr w:type="spellEnd"/>
            <w:r>
              <w:t>“ (1.699)</w:t>
            </w:r>
          </w:p>
          <w:p>
            <w:pPr>
              <w:pStyle w:val="Listenabsatz"/>
              <w:numPr>
                <w:ilvl w:val="1"/>
                <w:numId w:val="11"/>
              </w:numPr>
            </w:pPr>
            <w:r>
              <w:t xml:space="preserve">1.Welle: importierte Fälle, 2.Welle: </w:t>
            </w:r>
            <w:proofErr w:type="spellStart"/>
            <w:r>
              <w:t>autochtone</w:t>
            </w:r>
            <w:proofErr w:type="spellEnd"/>
            <w:r>
              <w:t xml:space="preserve"> Fälle, 3.Welle: Gastarbeiter. </w:t>
            </w:r>
          </w:p>
          <w:p>
            <w:pPr>
              <w:pStyle w:val="Listenabsatz"/>
              <w:numPr>
                <w:ilvl w:val="1"/>
                <w:numId w:val="11"/>
              </w:numPr>
            </w:pPr>
            <w:r>
              <w:t>Fast 300.000 Gastarbeiter, Arbeit auf Baustellen, Hauptproblem liegt bei Unterkünften, Schlafsiedlungen mit bis zu 20.000 Betten auf engsten Raum, mangelnde hygienische Verhältnisse. Wurden bisher in Strategie von Singapur nicht berücksichtigt, führt aber dazu, dass sich die Fallzahl auch in Allgemein</w:t>
            </w:r>
            <w:r>
              <w:softHyphen/>
              <w:t>bevölkerung wieder erhöht.</w:t>
            </w:r>
          </w:p>
          <w:p>
            <w:pPr>
              <w:pStyle w:val="Listenabsatz"/>
              <w:numPr>
                <w:ilvl w:val="1"/>
                <w:numId w:val="11"/>
              </w:numPr>
            </w:pPr>
            <w:r>
              <w:t>Inzwischen 8 Unterkünfte in Quarantäne für 4 Wochen; keine Lösung, da weiterhin gleiche Unterbringung.</w:t>
            </w:r>
          </w:p>
          <w:p>
            <w:pPr>
              <w:pStyle w:val="Listenabsatz"/>
              <w:numPr>
                <w:ilvl w:val="1"/>
                <w:numId w:val="11"/>
              </w:numPr>
            </w:pPr>
            <w:r>
              <w:t>Schlussfolgerung: Schwache soziale Gruppen müssen mitberücksichtigt werden.</w:t>
            </w:r>
          </w:p>
          <w:p>
            <w:pPr>
              <w:pStyle w:val="Listenabsatz"/>
              <w:numPr>
                <w:ilvl w:val="0"/>
                <w:numId w:val="11"/>
              </w:numPr>
              <w:ind w:left="448" w:hanging="357"/>
              <w:rPr>
                <w:u w:val="single"/>
              </w:rPr>
            </w:pPr>
            <w:r>
              <w:rPr>
                <w:u w:val="single"/>
              </w:rPr>
              <w:lastRenderedPageBreak/>
              <w:t xml:space="preserve">Publikation aus Island </w:t>
            </w:r>
          </w:p>
          <w:p>
            <w:pPr>
              <w:pStyle w:val="Listenabsatz"/>
              <w:numPr>
                <w:ilvl w:val="1"/>
                <w:numId w:val="11"/>
              </w:numPr>
            </w:pPr>
            <w:r>
              <w:t>PCR-Screening-Studie: 31.01.-04.04: Testung von 6% der Bevölkerung; 1.Gruppe: Risikopersonen (Reiseanamnese, Kontakt zu COVID-Patienten), 2.Gruppe: nicht repräsentative Zufallsstichprobe</w:t>
            </w:r>
          </w:p>
          <w:p>
            <w:pPr>
              <w:pStyle w:val="Listenabsatz"/>
              <w:numPr>
                <w:ilvl w:val="1"/>
                <w:numId w:val="11"/>
              </w:numPr>
            </w:pPr>
            <w:r>
              <w:t>Gruppe 1: 13,3% positiv, Gruppe 2: 0,7% positiv</w:t>
            </w:r>
          </w:p>
          <w:p>
            <w:pPr>
              <w:pStyle w:val="Listenabsatz"/>
              <w:numPr>
                <w:ilvl w:val="1"/>
                <w:numId w:val="11"/>
              </w:numPr>
            </w:pPr>
            <w:r>
              <w:t xml:space="preserve">Infektionsursache Reiseanamnese nimmt ab, </w:t>
            </w:r>
            <w:proofErr w:type="spellStart"/>
            <w:r>
              <w:t>autochtone</w:t>
            </w:r>
            <w:proofErr w:type="spellEnd"/>
            <w:r>
              <w:t xml:space="preserve"> Übertragung nimmt zu.</w:t>
            </w:r>
          </w:p>
          <w:p>
            <w:pPr>
              <w:pStyle w:val="Listenabsatz"/>
              <w:numPr>
                <w:ilvl w:val="1"/>
                <w:numId w:val="11"/>
              </w:numPr>
            </w:pPr>
            <w:r>
              <w:t>Kinder unter 10 Jahren und Frauen hatten eine geringere Inzidenz, Gründe hierfür sind unklar.</w:t>
            </w:r>
          </w:p>
          <w:p>
            <w:pPr>
              <w:pStyle w:val="Listenabsatz"/>
              <w:numPr>
                <w:ilvl w:val="1"/>
                <w:numId w:val="11"/>
              </w:numPr>
            </w:pPr>
            <w:r>
              <w:t xml:space="preserve">Schlussfolgerung, dass Kinder weniger betroffen sind, kann anhand der Studie nicht getroffen werden. </w:t>
            </w:r>
          </w:p>
          <w:p>
            <w:proofErr w:type="spellStart"/>
            <w:r>
              <w:rPr>
                <w:i/>
              </w:rPr>
              <w:t>ToDo</w:t>
            </w:r>
            <w:proofErr w:type="spellEnd"/>
            <w:r>
              <w:rPr>
                <w:i/>
              </w:rPr>
              <w:t>: Publikation wird an Lage geschickt</w:t>
            </w:r>
            <w:r>
              <w:t>.</w:t>
            </w:r>
          </w:p>
          <w:p/>
          <w:p>
            <w:pPr>
              <w:spacing w:line="276" w:lineRule="auto"/>
              <w:rPr>
                <w:b/>
              </w:rPr>
            </w:pPr>
            <w:r>
              <w:rPr>
                <w:b/>
              </w:rPr>
              <w:t xml:space="preserve">National </w:t>
            </w:r>
          </w:p>
          <w:p>
            <w:pPr>
              <w:pStyle w:val="Listenabsatz"/>
              <w:numPr>
                <w:ilvl w:val="0"/>
                <w:numId w:val="11"/>
              </w:numPr>
              <w:ind w:left="450"/>
              <w:rPr>
                <w:i/>
              </w:rPr>
            </w:pPr>
            <w:r>
              <w:rPr>
                <w:b/>
              </w:rPr>
              <w:t>Fallzahlen, Todesfälle, Inzidenz, Trend</w:t>
            </w:r>
            <w:r>
              <w:t xml:space="preserve"> (Folien </w:t>
            </w:r>
            <w:hyperlink r:id="rId9" w:history="1">
              <w:r>
                <w:rPr>
                  <w:rStyle w:val="Hyperlink"/>
                </w:rPr>
                <w:t>hier</w:t>
              </w:r>
            </w:hyperlink>
            <w:r>
              <w:t xml:space="preserve">) </w:t>
            </w:r>
          </w:p>
          <w:p>
            <w:pPr>
              <w:pStyle w:val="Listenabsatz"/>
              <w:numPr>
                <w:ilvl w:val="1"/>
                <w:numId w:val="11"/>
              </w:numPr>
            </w:pPr>
            <w:r>
              <w:t>Inzidenz 157, + 2.866 neue Fälle</w:t>
            </w:r>
          </w:p>
          <w:p>
            <w:pPr>
              <w:pStyle w:val="Listenabsatz"/>
              <w:numPr>
                <w:ilvl w:val="1"/>
                <w:numId w:val="11"/>
              </w:numPr>
            </w:pPr>
            <w:r>
              <w:t>+315 Todesfälle, bis jetzt die höchste Anzahl an einem Tag, Anteil Verstorbener steigt auf 2,7</w:t>
            </w:r>
          </w:p>
          <w:p>
            <w:pPr>
              <w:pStyle w:val="Listenabsatz"/>
              <w:numPr>
                <w:ilvl w:val="1"/>
                <w:numId w:val="11"/>
              </w:numPr>
            </w:pPr>
            <w:r>
              <w:t xml:space="preserve">Für intern nun auch </w:t>
            </w:r>
            <w:proofErr w:type="spellStart"/>
            <w:r>
              <w:t>Epikurve</w:t>
            </w:r>
            <w:proofErr w:type="spellEnd"/>
            <w:r>
              <w:t xml:space="preserve"> nach Meldedatum und Krankheitsstatus verfügbar.</w:t>
            </w:r>
          </w:p>
          <w:p>
            <w:pPr>
              <w:pStyle w:val="Listenabsatz"/>
              <w:numPr>
                <w:ilvl w:val="1"/>
                <w:numId w:val="11"/>
              </w:numPr>
            </w:pPr>
            <w:r>
              <w:t>R0 heute 0,9</w:t>
            </w:r>
          </w:p>
          <w:p>
            <w:pPr>
              <w:pStyle w:val="Listenabsatz"/>
              <w:numPr>
                <w:ilvl w:val="1"/>
                <w:numId w:val="11"/>
              </w:numPr>
            </w:pPr>
            <w:r>
              <w:t>Alters- &amp; Geschlechtsverteilung: keine großen Änderungen</w:t>
            </w:r>
          </w:p>
          <w:p>
            <w:pPr>
              <w:pStyle w:val="Listenabsatz"/>
              <w:numPr>
                <w:ilvl w:val="1"/>
                <w:numId w:val="11"/>
              </w:numPr>
              <w:rPr>
                <w:b/>
              </w:rPr>
            </w:pPr>
            <w:r>
              <w:t>Fälle unter Personal in med. Einrichtungen: 6.395</w:t>
            </w:r>
          </w:p>
          <w:p>
            <w:pPr>
              <w:pStyle w:val="Listenabsatz"/>
              <w:numPr>
                <w:ilvl w:val="1"/>
                <w:numId w:val="11"/>
              </w:numPr>
            </w:pPr>
            <w:r>
              <w:t xml:space="preserve">Beschluss der MPK: RKI  Containment Scouts 5/20.000 EW. sollen bereitgestellt werden;  können schnell per Amtshilfeersuchen angefordert werden. GA müssen, wenn sie mehr Personal bekommen, auch bessere Daten liefern. </w:t>
            </w:r>
          </w:p>
          <w:p>
            <w:pPr>
              <w:pStyle w:val="Listenabsatz"/>
              <w:numPr>
                <w:ilvl w:val="1"/>
                <w:numId w:val="11"/>
              </w:numPr>
            </w:pPr>
            <w:r>
              <w:t>Übermittelte Fälle nach Expositionsort: Ausland nimmt stark ab, häufig keine Angabe verfügbar.</w:t>
            </w:r>
          </w:p>
          <w:p>
            <w:pPr>
              <w:pStyle w:val="Listenabsatz"/>
              <w:ind w:left="0"/>
              <w:rPr>
                <w:i/>
              </w:rPr>
            </w:pPr>
            <w:proofErr w:type="spellStart"/>
            <w:r>
              <w:rPr>
                <w:i/>
              </w:rPr>
              <w:t>ToDo</w:t>
            </w:r>
            <w:proofErr w:type="spellEnd"/>
            <w:r>
              <w:rPr>
                <w:i/>
              </w:rPr>
              <w:t>: Aufstellung, wie viele Fälle auf „</w:t>
            </w:r>
            <w:proofErr w:type="spellStart"/>
            <w:r>
              <w:rPr>
                <w:i/>
              </w:rPr>
              <w:t>community</w:t>
            </w:r>
            <w:proofErr w:type="spellEnd"/>
            <w:r>
              <w:rPr>
                <w:i/>
              </w:rPr>
              <w:t xml:space="preserve"> </w:t>
            </w:r>
            <w:proofErr w:type="spellStart"/>
            <w:r>
              <w:rPr>
                <w:i/>
              </w:rPr>
              <w:t>transmission</w:t>
            </w:r>
            <w:proofErr w:type="spellEnd"/>
            <w:r>
              <w:rPr>
                <w:i/>
              </w:rPr>
              <w:t>“ und wie viele auf Gemeinschafts</w:t>
            </w:r>
            <w:r>
              <w:rPr>
                <w:i/>
              </w:rPr>
              <w:softHyphen/>
              <w:t>unterkünfte zurückzuführen sind.</w:t>
            </w:r>
          </w:p>
          <w:p>
            <w:pPr>
              <w:pStyle w:val="Listenabsatz"/>
              <w:numPr>
                <w:ilvl w:val="1"/>
                <w:numId w:val="11"/>
              </w:numPr>
              <w:spacing w:after="120"/>
              <w:ind w:left="1077" w:hanging="357"/>
            </w:pPr>
            <w:r>
              <w:t>Ist den Daten nicht immer einfach zu entnehmen, im Moment nur grobe Einteilung in Deutschland vs. Ausland; es wird versucht die Transmission in Deutschland besser aufzuschlüsseln, auch „keine Angabe“ muss genauer betrachtet werden.</w:t>
            </w:r>
          </w:p>
          <w:p>
            <w:pPr>
              <w:pStyle w:val="Listenabsatz"/>
              <w:numPr>
                <w:ilvl w:val="0"/>
                <w:numId w:val="11"/>
              </w:numPr>
              <w:ind w:left="448" w:hanging="357"/>
              <w:rPr>
                <w:u w:val="single"/>
                <w:lang w:val="en-US"/>
              </w:rPr>
            </w:pPr>
            <w:proofErr w:type="spellStart"/>
            <w:r>
              <w:rPr>
                <w:u w:val="single"/>
                <w:lang w:val="en-US"/>
              </w:rPr>
              <w:t>Antibiotika-Resistenz</w:t>
            </w:r>
            <w:proofErr w:type="spellEnd"/>
            <w:r>
              <w:rPr>
                <w:u w:val="single"/>
                <w:lang w:val="en-US"/>
              </w:rPr>
              <w:t xml:space="preserve"> Surveillance: SARS-Cov2 </w:t>
            </w:r>
          </w:p>
          <w:p>
            <w:pPr>
              <w:pStyle w:val="Listenabsatz"/>
              <w:numPr>
                <w:ilvl w:val="1"/>
                <w:numId w:val="11"/>
              </w:numPr>
            </w:pPr>
            <w:r>
              <w:t xml:space="preserve">Anzahl Testungen steigt an; Knick in der Kurve am 26.03 mit Einführung einer neuen Teststrategie, gleichzeitig Abnahme der </w:t>
            </w:r>
            <w:proofErr w:type="spellStart"/>
            <w:r>
              <w:t>Positivenrate</w:t>
            </w:r>
            <w:proofErr w:type="spellEnd"/>
            <w:r>
              <w:t>.</w:t>
            </w:r>
          </w:p>
          <w:p>
            <w:pPr>
              <w:pStyle w:val="Listenabsatz"/>
              <w:numPr>
                <w:ilvl w:val="1"/>
                <w:numId w:val="11"/>
              </w:numPr>
            </w:pPr>
            <w:r>
              <w:t xml:space="preserve">Bundesländer: ähnliche Entwicklungen: BW, BY, </w:t>
            </w:r>
            <w:r>
              <w:lastRenderedPageBreak/>
              <w:t>NRW haben die meisten Fälle und führen am meisten Testungen durch; insgesamt sind relativ gute Testkapazitäten vorhanden.</w:t>
            </w:r>
          </w:p>
          <w:p>
            <w:pPr>
              <w:pStyle w:val="Listenabsatz"/>
              <w:numPr>
                <w:ilvl w:val="1"/>
                <w:numId w:val="11"/>
              </w:numPr>
            </w:pPr>
            <w:r>
              <w:t>Testverzug bundesweit: großer Zeitverzug deutet auf Überlastung hin. Es sieht so aus, als würde der Testverzug wieder zunehmen. Ca. 2 Tage von Probenentnahme bis zur Testung ist zu lange.</w:t>
            </w:r>
          </w:p>
          <w:p>
            <w:pPr>
              <w:pStyle w:val="Listenabsatz"/>
              <w:numPr>
                <w:ilvl w:val="1"/>
                <w:numId w:val="11"/>
              </w:numPr>
            </w:pPr>
            <w:r>
              <w:t xml:space="preserve">Testverzug in BW und BY ist runtergegangen, Berlin sieht auch gut aus. </w:t>
            </w:r>
          </w:p>
          <w:p>
            <w:pPr>
              <w:pStyle w:val="Listenabsatz"/>
              <w:numPr>
                <w:ilvl w:val="1"/>
                <w:numId w:val="11"/>
              </w:numPr>
            </w:pPr>
            <w:r>
              <w:t>Anteil der positiven Testungen nach Altersgruppe (&lt;/&gt; 65 Jahre) und Organisationseinheit (Praxen, KH): bei über 65 jährigen hat sich mehr getan.</w:t>
            </w:r>
          </w:p>
          <w:p>
            <w:pPr>
              <w:pStyle w:val="Listenabsatz"/>
              <w:numPr>
                <w:ilvl w:val="1"/>
                <w:numId w:val="11"/>
              </w:numPr>
            </w:pPr>
            <w:r>
              <w:t xml:space="preserve">Anzahl Testungen nach Altersgruppen, in 12-13 KW erfolgte Änderung der Teststrategie. Es werden immer mehr &gt;80 Jährige getestet, 60-79 Jährige werden nicht in gleichem Umfang getestet. Anzahl positiver Tests nimmt bei &gt; 80 Jährigen zu, das hängt auch mit der häufigen Testung zusammen. </w:t>
            </w:r>
          </w:p>
          <w:p>
            <w:pPr>
              <w:pStyle w:val="Listenabsatz"/>
              <w:numPr>
                <w:ilvl w:val="1"/>
                <w:numId w:val="11"/>
              </w:numPr>
            </w:pPr>
            <w:r>
              <w:t>AG Diagnostik: KBV sieht auch, dass Testung bei bestimmten Bevölkerungsgruppen nicht ausreichend wahrgenommen wird. Das könnte damit zusammenhängen, dass für die Altersgruppe der 60-79 Jährigen zumeist keine Krankschreibung nötig ist.</w:t>
            </w:r>
          </w:p>
          <w:p>
            <w:pPr>
              <w:pStyle w:val="Listenabsatz"/>
              <w:numPr>
                <w:ilvl w:val="1"/>
                <w:numId w:val="11"/>
              </w:numPr>
            </w:pPr>
            <w:r>
              <w:t>Ab nächster Woche wird es einen Report zu COVID auf der ARS-Seite geben.</w:t>
            </w:r>
          </w:p>
          <w:p>
            <w:pPr>
              <w:pStyle w:val="Listenabsatz"/>
              <w:numPr>
                <w:ilvl w:val="1"/>
                <w:numId w:val="11"/>
              </w:numPr>
            </w:pPr>
            <w:r>
              <w:t>Zu Drive-</w:t>
            </w:r>
            <w:proofErr w:type="spellStart"/>
            <w:r>
              <w:t>through</w:t>
            </w:r>
            <w:proofErr w:type="spellEnd"/>
            <w:r>
              <w:t xml:space="preserve"> Testung und Testungen in GA wird es ab nächster Woche mehr Informationen geben.</w:t>
            </w:r>
          </w:p>
          <w:p>
            <w:pPr>
              <w:pStyle w:val="Listenabsatz"/>
              <w:numPr>
                <w:ilvl w:val="1"/>
                <w:numId w:val="11"/>
              </w:numPr>
            </w:pPr>
            <w:r>
              <w:t>Orientierungshilfe für Bürger sollte dahingehend ergänzt werden, dass auch leicht Erkrankte Testung in Anspruch nehmen können. Ein Symptom reicht bereits aus um die Testung auszulösen. Inanspruchnahme der Testung hängt davon ab, inwieweit dies in der Bevölkerung bekannt ist und in den Praxen umgesetzt wird.</w:t>
            </w:r>
          </w:p>
          <w:p>
            <w:proofErr w:type="spellStart"/>
            <w:r>
              <w:rPr>
                <w:i/>
              </w:rPr>
              <w:t>ToDo</w:t>
            </w:r>
            <w:proofErr w:type="spellEnd"/>
            <w:r>
              <w:rPr>
                <w:i/>
              </w:rPr>
              <w:t>: Überarbeitung Flussschema IBBS</w:t>
            </w:r>
            <w:r>
              <w:t xml:space="preserve"> </w:t>
            </w:r>
          </w:p>
          <w:p>
            <w:pPr>
              <w:pStyle w:val="Listenabsatz"/>
              <w:numPr>
                <w:ilvl w:val="1"/>
                <w:numId w:val="11"/>
              </w:numPr>
              <w:spacing w:after="120"/>
              <w:ind w:left="1077" w:hanging="357"/>
              <w:rPr>
                <w:i/>
              </w:rPr>
            </w:pPr>
            <w:r>
              <w:t>Ob Schnupfen als Kriterium für Testung ausreicht, ob symptombezogen getestet wird oder als Screening, hängt von der epidemiologischen Situation ab und muss im Verlauf immer wieder verändert und klar kommuniziert werden.</w:t>
            </w:r>
          </w:p>
        </w:tc>
        <w:tc>
          <w:tcPr>
            <w:tcW w:w="1491" w:type="dxa"/>
          </w:tcPr>
          <w:p/>
          <w:p/>
          <w:p>
            <w:r>
              <w:t>ZIG1</w:t>
            </w:r>
          </w:p>
          <w:p/>
          <w:p/>
          <w:p/>
          <w:p/>
          <w:p/>
          <w:p/>
          <w:p/>
          <w:p/>
          <w:p/>
          <w:p/>
          <w:p/>
          <w:p/>
          <w:p/>
          <w:p/>
          <w:p/>
          <w:p/>
          <w:p/>
          <w:p/>
          <w:p/>
          <w:p/>
          <w:p/>
          <w:p/>
          <w:p/>
          <w:p/>
          <w:p/>
          <w:p/>
          <w:p/>
          <w:p/>
          <w:p/>
          <w:p/>
          <w:p/>
          <w:p/>
          <w:p/>
          <w:p/>
          <w:p/>
          <w:p/>
          <w:p/>
          <w:p/>
          <w:p/>
          <w:p/>
          <w:p/>
          <w:p/>
          <w:p/>
          <w:p/>
          <w:p/>
          <w:p/>
          <w:p/>
          <w:p/>
          <w:p/>
          <w:p/>
          <w:p/>
          <w:p/>
          <w:p/>
          <w:p/>
          <w:p/>
          <w:p/>
          <w:p/>
          <w:p/>
          <w:p/>
          <w:p>
            <w:r>
              <w:t>FG32</w:t>
            </w:r>
          </w:p>
          <w:p/>
          <w:p/>
          <w:p/>
          <w:p/>
          <w:p/>
          <w:p/>
          <w:p/>
          <w:p/>
          <w:p/>
          <w:p/>
          <w:p/>
          <w:p/>
          <w:p/>
          <w:p/>
          <w:p/>
          <w:p/>
          <w:p/>
          <w:p/>
          <w:p/>
          <w:p/>
          <w:p/>
          <w:p/>
          <w:p/>
          <w:p/>
          <w:p/>
          <w:p>
            <w:r>
              <w:t>FG37</w:t>
            </w:r>
          </w:p>
          <w:p/>
          <w:p/>
          <w:p/>
          <w:p/>
          <w:p/>
          <w:p/>
          <w:p/>
          <w:p/>
          <w:p/>
          <w:p/>
          <w:p/>
          <w:p/>
          <w:p/>
          <w:p/>
          <w:p/>
          <w:p/>
          <w:p/>
          <w:p/>
          <w:p/>
          <w:p/>
          <w:p/>
          <w:p/>
          <w:p/>
          <w:p/>
          <w:p/>
          <w:p/>
          <w:p/>
          <w:p/>
          <w:p/>
          <w:p/>
          <w:p/>
          <w:p/>
          <w:p/>
          <w:p/>
          <w:p/>
          <w:p/>
          <w:p/>
          <w:p/>
          <w:p/>
          <w:p/>
          <w:p/>
          <w:p>
            <w:r>
              <w:t>IBBS</w:t>
            </w:r>
          </w:p>
          <w:p/>
          <w:p/>
          <w:p/>
          <w:p/>
          <w:p/>
        </w:tc>
      </w:tr>
      <w:tr>
        <w:tc>
          <w:tcPr>
            <w:tcW w:w="762" w:type="dxa"/>
          </w:tcPr>
          <w:p>
            <w:pPr>
              <w:rPr>
                <w:b/>
                <w:sz w:val="28"/>
                <w:szCs w:val="28"/>
              </w:rPr>
            </w:pPr>
            <w:r>
              <w:rPr>
                <w:b/>
                <w:sz w:val="28"/>
                <w:szCs w:val="28"/>
              </w:rPr>
              <w:lastRenderedPageBreak/>
              <w:t>2</w:t>
            </w:r>
          </w:p>
        </w:tc>
        <w:tc>
          <w:tcPr>
            <w:tcW w:w="6434" w:type="dxa"/>
          </w:tcPr>
          <w:p>
            <w:pPr>
              <w:rPr>
                <w:b/>
                <w:sz w:val="28"/>
                <w:szCs w:val="28"/>
              </w:rPr>
            </w:pPr>
            <w:r>
              <w:rPr>
                <w:b/>
                <w:sz w:val="28"/>
                <w:szCs w:val="28"/>
              </w:rPr>
              <w:t>Erkenntnisse über Erreger</w:t>
            </w:r>
          </w:p>
          <w:p>
            <w:pPr>
              <w:numPr>
                <w:ilvl w:val="0"/>
                <w:numId w:val="32"/>
              </w:numPr>
              <w:ind w:left="448" w:hanging="357"/>
            </w:pPr>
            <w:r>
              <w:t>Nicht besprochen</w:t>
            </w:r>
          </w:p>
        </w:tc>
        <w:tc>
          <w:tcPr>
            <w:tcW w:w="1491" w:type="dxa"/>
          </w:tcPr>
          <w:p/>
          <w:p>
            <w:r>
              <w:t>FG33</w:t>
            </w:r>
          </w:p>
          <w:p/>
        </w:tc>
      </w:tr>
      <w:tr>
        <w:trPr>
          <w:trHeight w:val="319"/>
        </w:trPr>
        <w:tc>
          <w:tcPr>
            <w:tcW w:w="762" w:type="dxa"/>
          </w:tcPr>
          <w:p>
            <w:pPr>
              <w:rPr>
                <w:b/>
                <w:sz w:val="28"/>
                <w:szCs w:val="28"/>
              </w:rPr>
            </w:pPr>
            <w:r>
              <w:rPr>
                <w:b/>
                <w:sz w:val="28"/>
                <w:szCs w:val="28"/>
              </w:rPr>
              <w:t>3</w:t>
            </w:r>
          </w:p>
        </w:tc>
        <w:tc>
          <w:tcPr>
            <w:tcW w:w="6434" w:type="dxa"/>
          </w:tcPr>
          <w:p>
            <w:pPr>
              <w:rPr>
                <w:b/>
                <w:sz w:val="28"/>
                <w:szCs w:val="28"/>
              </w:rPr>
            </w:pPr>
            <w:r>
              <w:rPr>
                <w:b/>
                <w:sz w:val="28"/>
                <w:szCs w:val="28"/>
              </w:rPr>
              <w:t>Aktuelle Risikobewertung</w:t>
            </w:r>
          </w:p>
          <w:p>
            <w:pPr>
              <w:numPr>
                <w:ilvl w:val="0"/>
                <w:numId w:val="32"/>
              </w:numPr>
              <w:ind w:left="448" w:hanging="357"/>
            </w:pPr>
            <w:r>
              <w:lastRenderedPageBreak/>
              <w:t>Vorschlag von Presse: Seite mit aktueller Risikobewertung löschen und stattdessen Verweis auf Situationsberichte, da diese sehr aktuell sind.</w:t>
            </w:r>
          </w:p>
          <w:p>
            <w:pPr>
              <w:numPr>
                <w:ilvl w:val="0"/>
                <w:numId w:val="32"/>
              </w:numPr>
              <w:ind w:left="448" w:hanging="357"/>
            </w:pPr>
            <w:r>
              <w:t>Risikobewertung wird aber im Moment im Lagebericht nicht eigenständig bearbeitet, denn die Überlegungen hierzu sollen aus dem Krisenstab kommen und im Lagebericht ergänzt werden. Keine Zustimmung: Bewertung soll zunächst auf extra Seite belassen werden.</w:t>
            </w:r>
          </w:p>
          <w:p>
            <w:pPr>
              <w:numPr>
                <w:ilvl w:val="0"/>
                <w:numId w:val="32"/>
              </w:numPr>
              <w:ind w:left="448" w:hanging="357"/>
            </w:pPr>
            <w:r>
              <w:t>RKI-Seiten zu Corona sollen mit Hilfe externer Experten zu überarbeitet werden. Presse steht hierzu im Austausch mit IT-Dienstleister, soll schnell umgesetzt werden und wird vom BMG finanziert. Ist jedoch nicht ganz so schnell zu leisten, da es im gleichen Content Management System stattfinden muss und die bestehenden Links weiter funktionieren müssen.</w:t>
            </w:r>
          </w:p>
          <w:p>
            <w:pPr>
              <w:rPr>
                <w:b/>
              </w:rPr>
            </w:pPr>
          </w:p>
        </w:tc>
        <w:tc>
          <w:tcPr>
            <w:tcW w:w="1491" w:type="dxa"/>
          </w:tcPr>
          <w:p/>
          <w:p>
            <w:r>
              <w:lastRenderedPageBreak/>
              <w:t>Presse/Alle</w:t>
            </w:r>
          </w:p>
        </w:tc>
      </w:tr>
      <w:tr>
        <w:tc>
          <w:tcPr>
            <w:tcW w:w="762" w:type="dxa"/>
          </w:tcPr>
          <w:p>
            <w:pPr>
              <w:rPr>
                <w:b/>
                <w:sz w:val="28"/>
                <w:szCs w:val="28"/>
              </w:rPr>
            </w:pPr>
            <w:r>
              <w:rPr>
                <w:b/>
                <w:sz w:val="28"/>
                <w:szCs w:val="28"/>
              </w:rPr>
              <w:lastRenderedPageBreak/>
              <w:t>4</w:t>
            </w:r>
          </w:p>
        </w:tc>
        <w:tc>
          <w:tcPr>
            <w:tcW w:w="6434" w:type="dxa"/>
          </w:tcPr>
          <w:p>
            <w:pPr>
              <w:rPr>
                <w:b/>
                <w:sz w:val="28"/>
                <w:szCs w:val="28"/>
              </w:rPr>
            </w:pPr>
            <w:r>
              <w:rPr>
                <w:b/>
                <w:sz w:val="28"/>
                <w:szCs w:val="28"/>
              </w:rPr>
              <w:t>Kommunikation</w:t>
            </w:r>
          </w:p>
          <w:p>
            <w:pPr>
              <w:rPr>
                <w:b/>
              </w:rPr>
            </w:pPr>
            <w:r>
              <w:rPr>
                <w:b/>
              </w:rPr>
              <w:t>BZgA</w:t>
            </w:r>
          </w:p>
          <w:p>
            <w:pPr>
              <w:pStyle w:val="Listenabsatz"/>
              <w:numPr>
                <w:ilvl w:val="0"/>
                <w:numId w:val="28"/>
              </w:numPr>
              <w:ind w:left="450"/>
            </w:pPr>
            <w:r>
              <w:t>Nach gestrigen Beschlüssen der Kanzlerin wurden Infos zu Mund-Nasenschutz breit gestreut.</w:t>
            </w:r>
          </w:p>
          <w:p>
            <w:pPr>
              <w:pStyle w:val="Listenabsatz"/>
              <w:numPr>
                <w:ilvl w:val="0"/>
                <w:numId w:val="28"/>
              </w:numPr>
              <w:ind w:left="450"/>
            </w:pPr>
            <w:r>
              <w:t>Zuarbeit zur NINA App von Seiten der BZgA erfolgt.</w:t>
            </w:r>
          </w:p>
          <w:p>
            <w:pPr>
              <w:pStyle w:val="Listenabsatz"/>
              <w:numPr>
                <w:ilvl w:val="0"/>
                <w:numId w:val="28"/>
              </w:numPr>
              <w:spacing w:after="120"/>
              <w:ind w:left="448" w:hanging="357"/>
            </w:pPr>
            <w:r>
              <w:t xml:space="preserve">Bitte das Papier zur Unterstützung der Schulen und Hochschulen an die BZgA weiterzuleiten. Beitrag für </w:t>
            </w:r>
            <w:proofErr w:type="spellStart"/>
            <w:r>
              <w:t>Epid</w:t>
            </w:r>
            <w:proofErr w:type="spellEnd"/>
            <w:r>
              <w:t xml:space="preserve"> Bull wird erarbeitet, sobald das Manuskript fertig ist, wird es geteilt.</w:t>
            </w:r>
          </w:p>
          <w:p>
            <w:pPr>
              <w:pStyle w:val="Listenabsatz"/>
              <w:numPr>
                <w:ilvl w:val="0"/>
                <w:numId w:val="28"/>
              </w:numPr>
              <w:spacing w:after="120"/>
              <w:ind w:left="448" w:hanging="357"/>
            </w:pPr>
            <w:r>
              <w:t>Bitte in den Verteiler für Einladungen und Folien aufgenommen zu werden; Folien werden nicht vorab zirkuliert.</w:t>
            </w:r>
          </w:p>
          <w:p>
            <w:r>
              <w:rPr>
                <w:b/>
              </w:rPr>
              <w:t>Presse</w:t>
            </w:r>
            <w:r>
              <w:t>:</w:t>
            </w:r>
          </w:p>
          <w:p>
            <w:pPr>
              <w:pStyle w:val="Listenabsatz"/>
              <w:numPr>
                <w:ilvl w:val="0"/>
                <w:numId w:val="29"/>
              </w:numPr>
              <w:ind w:left="450"/>
            </w:pPr>
            <w:r>
              <w:t>FAQ wurde neu strukturiert mit Unterüberschriften und  durch einige Fragen ergänzt.</w:t>
            </w:r>
          </w:p>
          <w:p>
            <w:pPr>
              <w:pStyle w:val="Listenabsatz"/>
              <w:numPr>
                <w:ilvl w:val="0"/>
                <w:numId w:val="29"/>
              </w:numPr>
              <w:ind w:left="450"/>
            </w:pPr>
            <w:r>
              <w:t>Neue Publikationsliste unter Forschung eingestellt; Projektliste ist in Arbeit.</w:t>
            </w:r>
          </w:p>
          <w:p>
            <w:pPr>
              <w:pStyle w:val="Listenabsatz"/>
              <w:numPr>
                <w:ilvl w:val="0"/>
                <w:numId w:val="29"/>
              </w:numPr>
              <w:spacing w:after="120"/>
              <w:ind w:left="448" w:hanging="357"/>
            </w:pPr>
            <w:r>
              <w:t>Hr. Brockmann soll Annahmen zum Forecast genauer darstellen. Alternativ kann auf Publikation verwiesen werden.</w:t>
            </w:r>
          </w:p>
          <w:p>
            <w:pPr>
              <w:rPr>
                <w:b/>
              </w:rPr>
            </w:pPr>
            <w:r>
              <w:rPr>
                <w:b/>
              </w:rPr>
              <w:t>NINA App BBK</w:t>
            </w:r>
          </w:p>
          <w:p>
            <w:pPr>
              <w:pStyle w:val="Listenabsatz"/>
              <w:numPr>
                <w:ilvl w:val="0"/>
                <w:numId w:val="29"/>
              </w:numPr>
              <w:ind w:left="450"/>
            </w:pPr>
            <w:r>
              <w:t>Update: IBBS wurde um inhaltliche Zuarbeit gebeten, Grundlage waren Veröffentlichungen des RKI.</w:t>
            </w:r>
          </w:p>
          <w:p>
            <w:r>
              <w:t xml:space="preserve"> </w:t>
            </w:r>
          </w:p>
        </w:tc>
        <w:tc>
          <w:tcPr>
            <w:tcW w:w="1491" w:type="dxa"/>
          </w:tcPr>
          <w:p>
            <w:pPr>
              <w:rPr>
                <w:sz w:val="28"/>
                <w:szCs w:val="28"/>
              </w:rPr>
            </w:pPr>
          </w:p>
          <w:p/>
          <w:p/>
          <w:p>
            <w:r>
              <w:t>BZgA</w:t>
            </w:r>
          </w:p>
          <w:p/>
          <w:p/>
          <w:p/>
          <w:p/>
          <w:p/>
          <w:p/>
          <w:p/>
          <w:p/>
          <w:p/>
          <w:p/>
          <w:p>
            <w:r>
              <w:t>Presse</w:t>
            </w:r>
          </w:p>
          <w:p/>
          <w:p/>
          <w:p/>
          <w:p/>
          <w:p/>
          <w:p/>
          <w:p/>
          <w:p/>
          <w:p>
            <w:r>
              <w:t>IBBS</w:t>
            </w:r>
          </w:p>
        </w:tc>
      </w:tr>
      <w:tr>
        <w:tc>
          <w:tcPr>
            <w:tcW w:w="762" w:type="dxa"/>
          </w:tcPr>
          <w:p>
            <w:pPr>
              <w:rPr>
                <w:b/>
                <w:sz w:val="28"/>
                <w:szCs w:val="28"/>
              </w:rPr>
            </w:pPr>
            <w:r>
              <w:rPr>
                <w:b/>
                <w:sz w:val="28"/>
                <w:szCs w:val="28"/>
              </w:rPr>
              <w:t>5</w:t>
            </w:r>
          </w:p>
        </w:tc>
        <w:tc>
          <w:tcPr>
            <w:tcW w:w="6434" w:type="dxa"/>
          </w:tcPr>
          <w:p>
            <w:pPr>
              <w:rPr>
                <w:b/>
                <w:sz w:val="28"/>
                <w:szCs w:val="28"/>
              </w:rPr>
            </w:pPr>
            <w:r>
              <w:rPr>
                <w:b/>
                <w:sz w:val="28"/>
                <w:szCs w:val="28"/>
              </w:rPr>
              <w:t>Strategie Fragen</w:t>
            </w:r>
          </w:p>
          <w:p>
            <w:pPr>
              <w:rPr>
                <w:b/>
              </w:rPr>
            </w:pPr>
            <w:r>
              <w:rPr>
                <w:b/>
              </w:rPr>
              <w:t xml:space="preserve">Allgemein </w:t>
            </w:r>
          </w:p>
          <w:p>
            <w:pPr>
              <w:ind w:left="113"/>
              <w:rPr>
                <w:b/>
              </w:rPr>
            </w:pPr>
            <w:r>
              <w:rPr>
                <w:b/>
              </w:rPr>
              <w:t>d) Bericht aus der BMG-Telefonkonferenz</w:t>
            </w:r>
          </w:p>
          <w:p>
            <w:pPr>
              <w:pStyle w:val="Listenabsatz"/>
              <w:numPr>
                <w:ilvl w:val="0"/>
                <w:numId w:val="30"/>
              </w:numPr>
              <w:spacing w:after="120"/>
              <w:ind w:left="561" w:hanging="357"/>
            </w:pPr>
            <w:r>
              <w:t xml:space="preserve">Erlassbericht zu Schulen wurde vom BMG gelobt. Bericht kann intern aber nicht extern geteilt werden </w:t>
            </w:r>
            <w:r>
              <w:lastRenderedPageBreak/>
              <w:t>(„</w:t>
            </w:r>
            <w:proofErr w:type="spellStart"/>
            <w:r>
              <w:t>work</w:t>
            </w:r>
            <w:proofErr w:type="spellEnd"/>
            <w:r>
              <w:t xml:space="preserve"> in </w:t>
            </w:r>
            <w:proofErr w:type="spellStart"/>
            <w:r>
              <w:t>progress</w:t>
            </w:r>
            <w:proofErr w:type="spellEnd"/>
            <w:r>
              <w:t>“).</w:t>
            </w:r>
          </w:p>
          <w:p>
            <w:pPr>
              <w:pStyle w:val="Listenabsatz"/>
              <w:numPr>
                <w:ilvl w:val="0"/>
                <w:numId w:val="30"/>
              </w:numPr>
              <w:spacing w:after="120"/>
              <w:ind w:left="561" w:hanging="357"/>
            </w:pPr>
            <w:r>
              <w:t>Für Erweiterung von Containment Scouts wird Zuarbeit von RKI notwendig werden.</w:t>
            </w:r>
          </w:p>
          <w:p>
            <w:pPr>
              <w:pStyle w:val="Listenabsatz"/>
              <w:numPr>
                <w:ilvl w:val="0"/>
                <w:numId w:val="30"/>
              </w:numPr>
              <w:spacing w:after="120"/>
              <w:ind w:left="561" w:hanging="357"/>
            </w:pPr>
            <w:r>
              <w:t>Abbildung von Hr. Braun, bei der R0 mit Intensivkapazität in Verbindung gebracht wird, wurde evtl.  von ihm selbst erstellt. Damit konnte die Freihaltung von Intensivbetten für COVID-19 Patienten begründet werden.</w:t>
            </w:r>
          </w:p>
          <w:p>
            <w:pPr>
              <w:pStyle w:val="Listenabsatz"/>
              <w:numPr>
                <w:ilvl w:val="0"/>
                <w:numId w:val="30"/>
              </w:numPr>
              <w:spacing w:after="120"/>
              <w:ind w:left="561" w:hanging="357"/>
            </w:pPr>
            <w:r>
              <w:t>Evtl. wird das RKI sich zu Empfehlungen für Gotteshäuser äußern müssen. 2009 hat sich FG14 schon im Rahmen von Influenza intensiv damit beschäftigt.</w:t>
            </w:r>
          </w:p>
          <w:p>
            <w:pPr>
              <w:pStyle w:val="Listenabsatz"/>
              <w:numPr>
                <w:ilvl w:val="0"/>
                <w:numId w:val="30"/>
              </w:numPr>
              <w:spacing w:after="120"/>
              <w:ind w:left="561" w:hanging="357"/>
            </w:pPr>
            <w:r>
              <w:t>Finanzierung der Testung wird in der AGI besprochen.</w:t>
            </w:r>
          </w:p>
          <w:p>
            <w:pPr>
              <w:pStyle w:val="Listenabsatz"/>
              <w:numPr>
                <w:ilvl w:val="0"/>
                <w:numId w:val="30"/>
              </w:numPr>
              <w:spacing w:after="120"/>
              <w:ind w:left="561" w:hanging="357"/>
            </w:pPr>
            <w:r>
              <w:t>Logo #</w:t>
            </w:r>
            <w:proofErr w:type="spellStart"/>
            <w:r>
              <w:t>wirbleibenzuhause</w:t>
            </w:r>
            <w:proofErr w:type="spellEnd"/>
            <w:r>
              <w:t xml:space="preserve"> wird in #</w:t>
            </w:r>
            <w:proofErr w:type="spellStart"/>
            <w:r>
              <w:t>wirhaltenzusammen</w:t>
            </w:r>
            <w:proofErr w:type="spellEnd"/>
            <w:r>
              <w:t>“ geändert. Frage: Besteht die Möglichkeit der fachlichen Kommentierung, da Botschaft nicht unproblematisch ist. Eher kein Einfluss möglich; Hr. Schaade wird sich mit Hr. Wieler beraten.</w:t>
            </w:r>
          </w:p>
        </w:tc>
        <w:tc>
          <w:tcPr>
            <w:tcW w:w="1491" w:type="dxa"/>
          </w:tcPr>
          <w:p/>
          <w:p/>
          <w:p/>
          <w:p/>
          <w:p>
            <w:r>
              <w:t>FG32</w:t>
            </w:r>
          </w:p>
          <w:p/>
          <w:p/>
          <w:p>
            <w:r>
              <w:t xml:space="preserve"> </w:t>
            </w:r>
          </w:p>
        </w:tc>
      </w:tr>
      <w:tr>
        <w:tc>
          <w:tcPr>
            <w:tcW w:w="762" w:type="dxa"/>
          </w:tcPr>
          <w:p>
            <w:pPr>
              <w:rPr>
                <w:b/>
                <w:sz w:val="28"/>
                <w:szCs w:val="28"/>
              </w:rPr>
            </w:pPr>
            <w:r>
              <w:rPr>
                <w:b/>
                <w:sz w:val="28"/>
                <w:szCs w:val="28"/>
              </w:rPr>
              <w:lastRenderedPageBreak/>
              <w:t>6</w:t>
            </w:r>
          </w:p>
        </w:tc>
        <w:tc>
          <w:tcPr>
            <w:tcW w:w="6434" w:type="dxa"/>
          </w:tcPr>
          <w:p>
            <w:pPr>
              <w:rPr>
                <w:b/>
                <w:sz w:val="28"/>
                <w:szCs w:val="28"/>
              </w:rPr>
            </w:pPr>
            <w:r>
              <w:rPr>
                <w:b/>
                <w:sz w:val="28"/>
                <w:szCs w:val="28"/>
              </w:rPr>
              <w:t>Dokumente</w:t>
            </w:r>
          </w:p>
          <w:p>
            <w:pPr>
              <w:pStyle w:val="Listenabsatz"/>
              <w:numPr>
                <w:ilvl w:val="0"/>
                <w:numId w:val="30"/>
              </w:numPr>
              <w:ind w:left="448" w:hanging="357"/>
            </w:pPr>
            <w:r>
              <w:t>Flussschema Orientierungshilfe für Ärzte /Testkriterien</w:t>
            </w:r>
          </w:p>
          <w:p>
            <w:pPr>
              <w:pStyle w:val="Listenabsatz"/>
              <w:numPr>
                <w:ilvl w:val="1"/>
                <w:numId w:val="30"/>
              </w:numPr>
              <w:spacing w:after="120"/>
              <w:ind w:left="867" w:hanging="357"/>
            </w:pPr>
            <w:r>
              <w:t>Testkriterien sollen sensitiver gestaltet werden; nur die Hälfte der Testkapazitäten wird in Anspruch genommen.</w:t>
            </w:r>
          </w:p>
          <w:p>
            <w:pPr>
              <w:pStyle w:val="Listenabsatz"/>
              <w:numPr>
                <w:ilvl w:val="1"/>
                <w:numId w:val="30"/>
              </w:numPr>
              <w:spacing w:after="120"/>
              <w:ind w:left="867" w:hanging="357"/>
            </w:pPr>
            <w:r>
              <w:t>Akute respiratorische Symptome könnten bei genügender Testkapazität prominenter platziert werden. Es wäre im Sinne der KBV die Testung Symptomatischer sensitiver zu gestalten. Hr. Mielke kann sich vorstellen, auf die Klammer mit „(COVID-19 Diagnostik nur bei hinreichender Testkapazität)“ zu verzichten. Eine Aufnahme des Geruchs- und Geschmacksverlusts könnte zu einer hohen Erwartungshaltung führen und ist schwierig zu definieren.</w:t>
            </w:r>
          </w:p>
          <w:p>
            <w:pPr>
              <w:pStyle w:val="Listenabsatz"/>
              <w:numPr>
                <w:ilvl w:val="1"/>
                <w:numId w:val="30"/>
              </w:numPr>
              <w:spacing w:after="120"/>
              <w:ind w:left="867" w:hanging="357"/>
            </w:pPr>
            <w:r>
              <w:t>Auch in der Orientierungshilfe für Bürger müsste deutlich gemacht werden, dass einzelne Symptome für die Kontaktaufnahme ausreichen.</w:t>
            </w:r>
          </w:p>
          <w:p>
            <w:pPr>
              <w:pStyle w:val="Listenabsatz"/>
              <w:numPr>
                <w:ilvl w:val="1"/>
                <w:numId w:val="30"/>
              </w:numPr>
              <w:spacing w:after="120"/>
              <w:ind w:left="867" w:hanging="357"/>
            </w:pPr>
            <w:r>
              <w:t>Es stellt sich die Frage, wie Tests die Bevölkerung erreichen können. Die GA gingen bisher sehr restriktiv mit Testungen um, inwieweit die Bevölkerung Praxen aufgrund der mangelnden Ausrüstung mit Schutzkleidung als sichere Orte betrachtet, ist fraglich. Praxen müssen sich an ein Leben mit dem Virus anpassen und stärker in die Beprobung eingebunden werden.</w:t>
            </w:r>
          </w:p>
          <w:p>
            <w:pPr>
              <w:pStyle w:val="Listenabsatz"/>
              <w:numPr>
                <w:ilvl w:val="1"/>
                <w:numId w:val="30"/>
              </w:numPr>
              <w:spacing w:after="120"/>
              <w:ind w:left="867" w:hanging="357"/>
            </w:pPr>
            <w:r>
              <w:t>Heute findet eine TK mit der Unterarbeits</w:t>
            </w:r>
            <w:r>
              <w:softHyphen/>
              <w:t xml:space="preserve">gruppe der AGI statt, hier sollen Testangebote </w:t>
            </w:r>
            <w:r>
              <w:lastRenderedPageBreak/>
              <w:t>angesprochen werden. Diese Gruppe soll zur Labordiagnostik Best Practice Beispiele für die AGI darstellen.</w:t>
            </w:r>
          </w:p>
          <w:p>
            <w:pPr>
              <w:pStyle w:val="Listenabsatz"/>
              <w:numPr>
                <w:ilvl w:val="1"/>
                <w:numId w:val="30"/>
              </w:numPr>
              <w:spacing w:after="120"/>
              <w:ind w:left="867" w:hanging="357"/>
            </w:pPr>
            <w:r>
              <w:t>Selbsttestung wäre hilfreich und würde Akzeptanz und Zugang erleichtern.</w:t>
            </w:r>
          </w:p>
          <w:p>
            <w:pPr>
              <w:pStyle w:val="Listenabsatz"/>
              <w:numPr>
                <w:ilvl w:val="1"/>
                <w:numId w:val="30"/>
              </w:numPr>
              <w:spacing w:after="120"/>
              <w:ind w:left="867" w:hanging="357"/>
            </w:pPr>
            <w:r>
              <w:t xml:space="preserve">Fr. Michel hat noch keine Rückmeldung von Hr. </w:t>
            </w:r>
            <w:proofErr w:type="spellStart"/>
            <w:r>
              <w:t>Drosten</w:t>
            </w:r>
            <w:proofErr w:type="spellEnd"/>
            <w:r>
              <w:t xml:space="preserve"> aus KL zur </w:t>
            </w:r>
            <w:proofErr w:type="spellStart"/>
            <w:r>
              <w:t>Selbstbeprobungsstudie</w:t>
            </w:r>
            <w:proofErr w:type="spellEnd"/>
            <w:r>
              <w:t xml:space="preserve">. Es sind keine Originalproben fürs RKI verfügbar, schnell umgesetzter Ansatz ist leider gescheitert. Gibt es von anderer Seite belastbare Informationen? Falls ja, bitte zirkulieren. Im Moment wurden keine weiteren systematischen Untersuchungen begonnen. </w:t>
            </w:r>
          </w:p>
          <w:p>
            <w:pPr>
              <w:pStyle w:val="Listenabsatz"/>
              <w:numPr>
                <w:ilvl w:val="1"/>
                <w:numId w:val="30"/>
              </w:numPr>
              <w:spacing w:after="120"/>
              <w:ind w:left="867" w:hanging="357"/>
            </w:pPr>
            <w:r>
              <w:t>Zusammenarbeit von FG36 und Abt. 1 um Studie anderweitig weiterzuführen. Proben vom 20.03 könnten rausgenommen und davon ausgegangen werden, dass die anderen stimmen, um zumindest ein paar Informationen rauszuziehen zu können.</w:t>
            </w:r>
          </w:p>
          <w:p>
            <w:pPr>
              <w:pStyle w:val="Listenabsatz"/>
              <w:numPr>
                <w:ilvl w:val="1"/>
                <w:numId w:val="30"/>
              </w:numPr>
              <w:spacing w:after="120"/>
              <w:ind w:left="867" w:hanging="357"/>
            </w:pPr>
            <w:r>
              <w:t xml:space="preserve">Einige Ärzte haben mit der </w:t>
            </w:r>
            <w:proofErr w:type="spellStart"/>
            <w:r>
              <w:t>Selbstbeprobung</w:t>
            </w:r>
            <w:proofErr w:type="spellEnd"/>
            <w:r>
              <w:t xml:space="preserve"> von Rachen und Nase gute Erfolge. Hinweise aus AGI Sentinel: auch nach 12 Tagen Postversand sind die Proben noch gut geeignet, sehr zielführendes Verfahren, systematische Ergebnisse fehlen jedoch noch.</w:t>
            </w:r>
          </w:p>
          <w:p>
            <w:pPr>
              <w:pStyle w:val="Listenabsatz"/>
              <w:numPr>
                <w:ilvl w:val="1"/>
                <w:numId w:val="30"/>
              </w:numPr>
              <w:spacing w:after="120"/>
              <w:ind w:left="867" w:hanging="357"/>
            </w:pPr>
            <w:r>
              <w:t>In der Orientierungshilfe für Ärzte soll bei Punkt „Akute respiratorische Symptome jeder Schwere“ der Klammertext (nur bei ausreichender Symptomatik) gestrichen werden, ein Hinweis auf Risikogruppen ist nicht mehr nötig.</w:t>
            </w:r>
          </w:p>
          <w:p>
            <w:pPr>
              <w:pStyle w:val="Listenabsatz"/>
              <w:numPr>
                <w:ilvl w:val="1"/>
                <w:numId w:val="30"/>
              </w:numPr>
              <w:ind w:left="867" w:hanging="357"/>
            </w:pPr>
            <w:r>
              <w:t xml:space="preserve">Bei der Orientierungshilfe für Bürger sollen die Risikogruppen weiterhin explizit genannt werden, Risikogruppen und HCW, aber auch 60-70 Jährige und </w:t>
            </w:r>
            <w:proofErr w:type="spellStart"/>
            <w:r>
              <w:t>autochton</w:t>
            </w:r>
            <w:proofErr w:type="spellEnd"/>
            <w:r>
              <w:t xml:space="preserve"> bekannte Risikofaktoren. Die Testung soll mitaufgenommen werden. </w:t>
            </w:r>
          </w:p>
          <w:p>
            <w:pPr>
              <w:spacing w:after="120"/>
            </w:pPr>
            <w:proofErr w:type="spellStart"/>
            <w:r>
              <w:rPr>
                <w:i/>
              </w:rPr>
              <w:t>ToDo</w:t>
            </w:r>
            <w:proofErr w:type="spellEnd"/>
            <w:r>
              <w:rPr>
                <w:i/>
              </w:rPr>
              <w:t>: Überarbeitung Orientierungshilfe für Ärzte und Orientierungshilfe für Bürgerinnen und Bürger, IBBS</w:t>
            </w:r>
          </w:p>
          <w:p>
            <w:pPr>
              <w:pStyle w:val="Listenabsatz"/>
              <w:numPr>
                <w:ilvl w:val="0"/>
                <w:numId w:val="30"/>
              </w:numPr>
              <w:ind w:left="448" w:hanging="357"/>
            </w:pPr>
            <w:r>
              <w:t>Infomaterialien zur Nutzung von PSA für medizinisches Personal</w:t>
            </w:r>
          </w:p>
          <w:p>
            <w:pPr>
              <w:pStyle w:val="Listenabsatz"/>
              <w:numPr>
                <w:ilvl w:val="1"/>
                <w:numId w:val="30"/>
              </w:numPr>
              <w:spacing w:after="120"/>
              <w:ind w:left="867" w:hanging="357"/>
            </w:pPr>
            <w:r>
              <w:t xml:space="preserve">Ist mit ABBAS abgestimmt und wird veröffentlicht. </w:t>
            </w:r>
          </w:p>
          <w:p>
            <w:pPr>
              <w:pStyle w:val="Listenabsatz"/>
              <w:ind w:left="448"/>
            </w:pPr>
          </w:p>
        </w:tc>
        <w:tc>
          <w:tcPr>
            <w:tcW w:w="1491" w:type="dxa"/>
          </w:tcPr>
          <w:p/>
          <w:p/>
          <w:p/>
          <w:p>
            <w:r>
              <w:t>IBBS/Abt.1/</w:t>
            </w:r>
          </w:p>
          <w:p>
            <w:r>
              <w:t>FG36</w:t>
            </w:r>
          </w:p>
        </w:tc>
      </w:tr>
      <w:tr>
        <w:tc>
          <w:tcPr>
            <w:tcW w:w="762" w:type="dxa"/>
          </w:tcPr>
          <w:p>
            <w:pPr>
              <w:rPr>
                <w:b/>
                <w:sz w:val="28"/>
                <w:szCs w:val="28"/>
              </w:rPr>
            </w:pPr>
            <w:r>
              <w:rPr>
                <w:b/>
                <w:sz w:val="28"/>
                <w:szCs w:val="28"/>
              </w:rPr>
              <w:t>7</w:t>
            </w:r>
          </w:p>
        </w:tc>
        <w:tc>
          <w:tcPr>
            <w:tcW w:w="6434" w:type="dxa"/>
          </w:tcPr>
          <w:p>
            <w:pPr>
              <w:rPr>
                <w:b/>
                <w:sz w:val="28"/>
                <w:szCs w:val="28"/>
              </w:rPr>
            </w:pPr>
            <w:r>
              <w:rPr>
                <w:b/>
                <w:sz w:val="28"/>
                <w:szCs w:val="28"/>
              </w:rPr>
              <w:t>Labordiagnostik</w:t>
            </w:r>
          </w:p>
          <w:p>
            <w:pPr>
              <w:pStyle w:val="Listenabsatz"/>
              <w:numPr>
                <w:ilvl w:val="0"/>
                <w:numId w:val="30"/>
              </w:numPr>
              <w:spacing w:after="120"/>
              <w:ind w:left="448" w:hanging="357"/>
            </w:pPr>
            <w:r>
              <w:rPr>
                <w:b/>
              </w:rPr>
              <w:t>ZBS1</w:t>
            </w:r>
            <w:r>
              <w:t xml:space="preserve">: Insgesamt ca. 4.800 Proben getestet, davon ca. 730 positiv; Eingang 100-200 Proben pro Tag. Erneut Kontaminationsproblem bei einer Firma; neues Extraktionsgerät ist in Sensitivität etwas weniger genau, wird versucht zu beheben. </w:t>
            </w:r>
          </w:p>
          <w:p>
            <w:pPr>
              <w:pStyle w:val="Listenabsatz"/>
              <w:numPr>
                <w:ilvl w:val="0"/>
                <w:numId w:val="30"/>
              </w:numPr>
              <w:spacing w:after="120"/>
              <w:ind w:left="448" w:hanging="357"/>
            </w:pPr>
            <w:r>
              <w:rPr>
                <w:b/>
              </w:rPr>
              <w:t>Ringversuche</w:t>
            </w:r>
            <w:r>
              <w:t xml:space="preserve"> sind sehr wichtig um Ansprüchen an </w:t>
            </w:r>
            <w:r>
              <w:lastRenderedPageBreak/>
              <w:t>Qualität der Diagnostik auch beim Hochfahren der Testanzahl gerecht zu werden. 280 Labore sind zum Ringversuch angemeldet. Ein Teil der Ringversuchs</w:t>
            </w:r>
            <w:r>
              <w:softHyphen/>
              <w:t>ergebnisse wird vorab veröffentlicht und ermöglicht den Laboren sich an den Sollwerten zu orientieren. Im Sommer wird der nächste Ringversuch stattfinden. RKI hat am Ringversuch bereits teilgenommen.</w:t>
            </w:r>
          </w:p>
          <w:p>
            <w:pPr>
              <w:pStyle w:val="Listenabsatz"/>
              <w:numPr>
                <w:ilvl w:val="0"/>
                <w:numId w:val="30"/>
              </w:numPr>
              <w:spacing w:after="120"/>
              <w:ind w:left="448" w:hanging="357"/>
            </w:pPr>
            <w:r>
              <w:rPr>
                <w:b/>
              </w:rPr>
              <w:t>FG14</w:t>
            </w:r>
            <w:r>
              <w:t>: viele geschlossene Arztpraxen, deshalb nur 30 Proben diese Woche, 3* respiratorische Viren gefunden, 1 davon COVID-19 positiv.</w:t>
            </w:r>
          </w:p>
        </w:tc>
        <w:tc>
          <w:tcPr>
            <w:tcW w:w="1491" w:type="dxa"/>
          </w:tcPr>
          <w:p/>
          <w:p>
            <w:r>
              <w:t>ZBS1</w:t>
            </w:r>
          </w:p>
          <w:p/>
          <w:p/>
          <w:p/>
          <w:p/>
          <w:p>
            <w:r>
              <w:t>AL1</w:t>
            </w:r>
          </w:p>
          <w:p/>
          <w:p/>
          <w:p/>
          <w:p/>
          <w:p/>
          <w:p/>
          <w:p/>
          <w:p/>
          <w:p>
            <w:r>
              <w:t>FG14</w:t>
            </w:r>
          </w:p>
        </w:tc>
      </w:tr>
      <w:tr>
        <w:tc>
          <w:tcPr>
            <w:tcW w:w="762" w:type="dxa"/>
          </w:tcPr>
          <w:p>
            <w:pPr>
              <w:rPr>
                <w:b/>
                <w:sz w:val="28"/>
                <w:szCs w:val="28"/>
              </w:rPr>
            </w:pPr>
            <w:r>
              <w:rPr>
                <w:b/>
                <w:sz w:val="28"/>
                <w:szCs w:val="28"/>
              </w:rPr>
              <w:lastRenderedPageBreak/>
              <w:t>8</w:t>
            </w:r>
          </w:p>
        </w:tc>
        <w:tc>
          <w:tcPr>
            <w:tcW w:w="6434" w:type="dxa"/>
          </w:tcPr>
          <w:p>
            <w:pPr>
              <w:rPr>
                <w:b/>
                <w:sz w:val="28"/>
                <w:szCs w:val="28"/>
              </w:rPr>
            </w:pPr>
            <w:r>
              <w:rPr>
                <w:b/>
                <w:sz w:val="28"/>
                <w:szCs w:val="28"/>
              </w:rPr>
              <w:t>Klinisches Management/ Entlassungsmanagement</w:t>
            </w:r>
          </w:p>
          <w:p>
            <w:pPr>
              <w:pStyle w:val="Listenabsatz"/>
              <w:numPr>
                <w:ilvl w:val="0"/>
                <w:numId w:val="30"/>
              </w:numPr>
              <w:spacing w:after="120"/>
              <w:ind w:left="448" w:hanging="357"/>
            </w:pPr>
            <w:proofErr w:type="spellStart"/>
            <w:r>
              <w:t>Entlasskriterien</w:t>
            </w:r>
            <w:proofErr w:type="spellEnd"/>
            <w:r>
              <w:t xml:space="preserve"> </w:t>
            </w:r>
          </w:p>
          <w:p>
            <w:pPr>
              <w:pStyle w:val="Listenabsatz"/>
              <w:numPr>
                <w:ilvl w:val="1"/>
                <w:numId w:val="30"/>
              </w:numPr>
              <w:spacing w:after="120"/>
              <w:ind w:left="867" w:hanging="357"/>
            </w:pPr>
            <w:r>
              <w:t>Änderung von 2 negativen PCR-Ergebnissen aus Abstrichen mit zeitlichem Abstand zur zeitgleichen Abnahme von 2 Abstrichen ist missverständlich und wird anders formuliert.</w:t>
            </w:r>
          </w:p>
          <w:p>
            <w:pPr>
              <w:pStyle w:val="Listenabsatz"/>
              <w:numPr>
                <w:ilvl w:val="1"/>
                <w:numId w:val="30"/>
              </w:numPr>
              <w:spacing w:after="120"/>
              <w:ind w:left="867" w:hanging="357"/>
            </w:pPr>
            <w:r>
              <w:t>Kriterien zur Entlassung von Personal aus medizinischen und Pflege-Einrichtungen: 2 negative PCR-Untersuchungen werden nur vorausgesetzt, wenn Personal anschließend wieder beruflich tätig wird.</w:t>
            </w:r>
          </w:p>
          <w:p>
            <w:pPr>
              <w:pStyle w:val="Listenabsatz"/>
              <w:numPr>
                <w:ilvl w:val="1"/>
                <w:numId w:val="30"/>
              </w:numPr>
              <w:spacing w:after="120"/>
              <w:ind w:left="867" w:hanging="357"/>
            </w:pPr>
            <w:r>
              <w:t>Es handelt sich nur um Präzisierungen, die nicht nochmal in die große Abstimmungsrunde gehen.</w:t>
            </w:r>
          </w:p>
        </w:tc>
        <w:tc>
          <w:tcPr>
            <w:tcW w:w="1491" w:type="dxa"/>
          </w:tcPr>
          <w:p/>
          <w:p>
            <w:r>
              <w:t>FG36/IBBS/ FG32</w:t>
            </w:r>
          </w:p>
        </w:tc>
      </w:tr>
      <w:tr>
        <w:tc>
          <w:tcPr>
            <w:tcW w:w="762" w:type="dxa"/>
          </w:tcPr>
          <w:p>
            <w:pPr>
              <w:rPr>
                <w:b/>
                <w:sz w:val="28"/>
                <w:szCs w:val="28"/>
              </w:rPr>
            </w:pPr>
            <w:r>
              <w:rPr>
                <w:b/>
                <w:sz w:val="28"/>
                <w:szCs w:val="28"/>
              </w:rPr>
              <w:t>9</w:t>
            </w:r>
          </w:p>
        </w:tc>
        <w:tc>
          <w:tcPr>
            <w:tcW w:w="6434" w:type="dxa"/>
          </w:tcPr>
          <w:p>
            <w:pPr>
              <w:rPr>
                <w:b/>
                <w:sz w:val="28"/>
                <w:szCs w:val="28"/>
              </w:rPr>
            </w:pPr>
            <w:r>
              <w:rPr>
                <w:b/>
                <w:sz w:val="28"/>
                <w:szCs w:val="28"/>
              </w:rPr>
              <w:t>Maßnahmen zum Infektionsschutz</w:t>
            </w:r>
          </w:p>
          <w:p>
            <w:pPr>
              <w:pStyle w:val="Listenabsatz"/>
              <w:numPr>
                <w:ilvl w:val="0"/>
                <w:numId w:val="30"/>
              </w:numPr>
              <w:spacing w:after="120"/>
              <w:ind w:left="448" w:hanging="357"/>
            </w:pPr>
            <w:r>
              <w:t xml:space="preserve">Es gibt Bedenken von Seiten des ABBAS zu PSA Empfehlungen.  </w:t>
            </w:r>
          </w:p>
          <w:p>
            <w:pPr>
              <w:spacing w:after="120"/>
              <w:ind w:left="91"/>
              <w:rPr>
                <w:i/>
              </w:rPr>
            </w:pPr>
            <w:proofErr w:type="spellStart"/>
            <w:r>
              <w:rPr>
                <w:i/>
              </w:rPr>
              <w:t>ToDo</w:t>
            </w:r>
            <w:proofErr w:type="spellEnd"/>
            <w:r>
              <w:rPr>
                <w:i/>
              </w:rPr>
              <w:t>: Fr. Brunke nimmt Kontakt mit ABBAS hierzu auf.</w:t>
            </w:r>
          </w:p>
        </w:tc>
        <w:tc>
          <w:tcPr>
            <w:tcW w:w="1491" w:type="dxa"/>
          </w:tcPr>
          <w:p/>
          <w:p>
            <w:r>
              <w:t>IBBS</w:t>
            </w:r>
          </w:p>
        </w:tc>
      </w:tr>
      <w:tr>
        <w:tc>
          <w:tcPr>
            <w:tcW w:w="762" w:type="dxa"/>
          </w:tcPr>
          <w:p>
            <w:pPr>
              <w:rPr>
                <w:b/>
                <w:sz w:val="28"/>
                <w:szCs w:val="28"/>
              </w:rPr>
            </w:pPr>
            <w:r>
              <w:rPr>
                <w:b/>
                <w:sz w:val="28"/>
                <w:szCs w:val="28"/>
              </w:rPr>
              <w:t>10</w:t>
            </w:r>
          </w:p>
        </w:tc>
        <w:tc>
          <w:tcPr>
            <w:tcW w:w="6434" w:type="dxa"/>
          </w:tcPr>
          <w:p>
            <w:pPr>
              <w:rPr>
                <w:b/>
                <w:sz w:val="28"/>
                <w:szCs w:val="28"/>
              </w:rPr>
            </w:pPr>
            <w:r>
              <w:rPr>
                <w:b/>
                <w:sz w:val="28"/>
                <w:szCs w:val="28"/>
              </w:rPr>
              <w:t>Surveillance</w:t>
            </w:r>
          </w:p>
          <w:p>
            <w:pPr>
              <w:pStyle w:val="Listenabsatz"/>
              <w:numPr>
                <w:ilvl w:val="0"/>
                <w:numId w:val="30"/>
              </w:numPr>
              <w:ind w:left="372"/>
            </w:pPr>
            <w:r>
              <w:t>Meldepflicht für serologische Nachweise</w:t>
            </w:r>
          </w:p>
          <w:p>
            <w:pPr>
              <w:pStyle w:val="Listenabsatz"/>
              <w:numPr>
                <w:ilvl w:val="1"/>
                <w:numId w:val="30"/>
              </w:numPr>
              <w:spacing w:after="120"/>
              <w:ind w:left="867" w:hanging="357"/>
            </w:pPr>
            <w:r>
              <w:t>Fr. Diercke hat Vorschlag zirkuliert. Dieser wurde mit einem Ergänzungsvorschlag angenommen und kann ins Internet gestellt werden.</w:t>
            </w:r>
          </w:p>
        </w:tc>
        <w:tc>
          <w:tcPr>
            <w:tcW w:w="1491" w:type="dxa"/>
          </w:tcPr>
          <w:p/>
          <w:p>
            <w:r>
              <w:t>FG32</w:t>
            </w:r>
          </w:p>
        </w:tc>
      </w:tr>
      <w:tr>
        <w:tc>
          <w:tcPr>
            <w:tcW w:w="762" w:type="dxa"/>
          </w:tcPr>
          <w:p>
            <w:pPr>
              <w:rPr>
                <w:b/>
                <w:sz w:val="28"/>
                <w:szCs w:val="28"/>
              </w:rPr>
            </w:pPr>
            <w:r>
              <w:rPr>
                <w:b/>
                <w:sz w:val="28"/>
                <w:szCs w:val="28"/>
              </w:rPr>
              <w:t>11</w:t>
            </w:r>
          </w:p>
        </w:tc>
        <w:tc>
          <w:tcPr>
            <w:tcW w:w="6434" w:type="dxa"/>
          </w:tcPr>
          <w:p>
            <w:pPr>
              <w:rPr>
                <w:b/>
                <w:sz w:val="28"/>
                <w:szCs w:val="28"/>
              </w:rPr>
            </w:pPr>
            <w:r>
              <w:rPr>
                <w:b/>
                <w:sz w:val="28"/>
                <w:szCs w:val="28"/>
              </w:rPr>
              <w:t>Transport und Grenzübergangsstellen</w:t>
            </w:r>
          </w:p>
          <w:p>
            <w:pPr>
              <w:pStyle w:val="Listenabsatz"/>
              <w:numPr>
                <w:ilvl w:val="0"/>
                <w:numId w:val="30"/>
              </w:numPr>
              <w:spacing w:after="120"/>
              <w:ind w:left="448" w:hanging="357"/>
            </w:pPr>
            <w:r>
              <w:t>Am Abend TK zu diesem Thema</w:t>
            </w:r>
          </w:p>
        </w:tc>
        <w:tc>
          <w:tcPr>
            <w:tcW w:w="1491" w:type="dxa"/>
          </w:tcPr>
          <w:p/>
          <w:p/>
        </w:tc>
      </w:tr>
      <w:tr>
        <w:tc>
          <w:tcPr>
            <w:tcW w:w="762" w:type="dxa"/>
          </w:tcPr>
          <w:p>
            <w:pPr>
              <w:rPr>
                <w:b/>
                <w:sz w:val="28"/>
                <w:szCs w:val="28"/>
              </w:rPr>
            </w:pPr>
            <w:r>
              <w:rPr>
                <w:b/>
                <w:sz w:val="28"/>
                <w:szCs w:val="28"/>
              </w:rPr>
              <w:t>12</w:t>
            </w:r>
          </w:p>
        </w:tc>
        <w:tc>
          <w:tcPr>
            <w:tcW w:w="6434" w:type="dxa"/>
          </w:tcPr>
          <w:p>
            <w:pPr>
              <w:rPr>
                <w:b/>
                <w:color w:val="FF0000"/>
                <w:sz w:val="28"/>
                <w:szCs w:val="28"/>
              </w:rPr>
            </w:pPr>
            <w:r>
              <w:rPr>
                <w:b/>
                <w:sz w:val="28"/>
                <w:szCs w:val="28"/>
              </w:rPr>
              <w:t xml:space="preserve">Internationales </w:t>
            </w:r>
            <w:r>
              <w:rPr>
                <w:b/>
                <w:color w:val="FF0000"/>
                <w:sz w:val="28"/>
                <w:szCs w:val="28"/>
              </w:rPr>
              <w:t>(nur freitags)</w:t>
            </w:r>
          </w:p>
          <w:p>
            <w:pPr>
              <w:pStyle w:val="Listenabsatz"/>
              <w:numPr>
                <w:ilvl w:val="0"/>
                <w:numId w:val="30"/>
              </w:numPr>
              <w:spacing w:after="120"/>
              <w:ind w:left="448" w:hanging="357"/>
              <w:rPr>
                <w:b/>
              </w:rPr>
            </w:pPr>
            <w:r>
              <w:t>Nicht besprochen</w:t>
            </w:r>
          </w:p>
        </w:tc>
        <w:tc>
          <w:tcPr>
            <w:tcW w:w="1491" w:type="dxa"/>
          </w:tcPr>
          <w:p/>
        </w:tc>
      </w:tr>
      <w:tr>
        <w:tc>
          <w:tcPr>
            <w:tcW w:w="762" w:type="dxa"/>
          </w:tcPr>
          <w:p>
            <w:pPr>
              <w:rPr>
                <w:b/>
                <w:sz w:val="28"/>
                <w:szCs w:val="28"/>
              </w:rPr>
            </w:pPr>
            <w:r>
              <w:rPr>
                <w:b/>
                <w:sz w:val="28"/>
                <w:szCs w:val="28"/>
              </w:rPr>
              <w:t>13</w:t>
            </w:r>
          </w:p>
        </w:tc>
        <w:tc>
          <w:tcPr>
            <w:tcW w:w="6434" w:type="dxa"/>
          </w:tcPr>
          <w:p>
            <w:pPr>
              <w:rPr>
                <w:b/>
                <w:color w:val="FF0000"/>
                <w:sz w:val="28"/>
                <w:szCs w:val="28"/>
              </w:rPr>
            </w:pPr>
            <w:r>
              <w:rPr>
                <w:b/>
                <w:sz w:val="28"/>
                <w:szCs w:val="28"/>
              </w:rPr>
              <w:t xml:space="preserve">Update Digitale Projekte </w:t>
            </w:r>
            <w:r>
              <w:rPr>
                <w:b/>
                <w:color w:val="FF0000"/>
                <w:sz w:val="28"/>
                <w:szCs w:val="28"/>
              </w:rPr>
              <w:t>(nur montags)</w:t>
            </w:r>
          </w:p>
          <w:p>
            <w:pPr>
              <w:pStyle w:val="Listenabsatz"/>
              <w:numPr>
                <w:ilvl w:val="0"/>
                <w:numId w:val="30"/>
              </w:numPr>
              <w:spacing w:after="120"/>
              <w:ind w:left="448" w:hanging="357"/>
            </w:pPr>
            <w:r>
              <w:t>Nicht besprochen</w:t>
            </w:r>
          </w:p>
        </w:tc>
        <w:tc>
          <w:tcPr>
            <w:tcW w:w="1491" w:type="dxa"/>
          </w:tcPr>
          <w:p/>
        </w:tc>
      </w:tr>
      <w:tr>
        <w:tc>
          <w:tcPr>
            <w:tcW w:w="762" w:type="dxa"/>
          </w:tcPr>
          <w:p>
            <w:pPr>
              <w:rPr>
                <w:b/>
                <w:sz w:val="28"/>
                <w:szCs w:val="28"/>
              </w:rPr>
            </w:pPr>
            <w:r>
              <w:rPr>
                <w:b/>
                <w:sz w:val="28"/>
                <w:szCs w:val="28"/>
              </w:rPr>
              <w:t>14</w:t>
            </w:r>
          </w:p>
        </w:tc>
        <w:tc>
          <w:tcPr>
            <w:tcW w:w="6434" w:type="dxa"/>
          </w:tcPr>
          <w:p>
            <w:pPr>
              <w:rPr>
                <w:b/>
                <w:sz w:val="28"/>
                <w:szCs w:val="28"/>
              </w:rPr>
            </w:pPr>
            <w:r>
              <w:rPr>
                <w:b/>
                <w:sz w:val="28"/>
                <w:szCs w:val="28"/>
              </w:rPr>
              <w:t>Information aus dem Lagezentrum</w:t>
            </w:r>
          </w:p>
          <w:p>
            <w:pPr>
              <w:pStyle w:val="Listenabsatz"/>
              <w:numPr>
                <w:ilvl w:val="0"/>
                <w:numId w:val="30"/>
              </w:numPr>
              <w:spacing w:after="120"/>
              <w:ind w:left="448" w:hanging="357"/>
              <w:rPr>
                <w:b/>
              </w:rPr>
            </w:pPr>
            <w:r>
              <w:t>Nicht besprochen</w:t>
            </w:r>
          </w:p>
        </w:tc>
        <w:tc>
          <w:tcPr>
            <w:tcW w:w="1491" w:type="dxa"/>
          </w:tcPr>
          <w:p/>
        </w:tc>
      </w:tr>
      <w:tr>
        <w:tc>
          <w:tcPr>
            <w:tcW w:w="762" w:type="dxa"/>
          </w:tcPr>
          <w:p>
            <w:pPr>
              <w:rPr>
                <w:b/>
                <w:sz w:val="28"/>
                <w:szCs w:val="28"/>
              </w:rPr>
            </w:pPr>
            <w:r>
              <w:rPr>
                <w:b/>
                <w:sz w:val="28"/>
                <w:szCs w:val="28"/>
              </w:rPr>
              <w:lastRenderedPageBreak/>
              <w:t>15</w:t>
            </w:r>
          </w:p>
        </w:tc>
        <w:tc>
          <w:tcPr>
            <w:tcW w:w="6434" w:type="dxa"/>
          </w:tcPr>
          <w:p>
            <w:pPr>
              <w:rPr>
                <w:b/>
                <w:sz w:val="28"/>
                <w:szCs w:val="28"/>
              </w:rPr>
            </w:pPr>
            <w:r>
              <w:rPr>
                <w:b/>
                <w:sz w:val="28"/>
                <w:szCs w:val="28"/>
              </w:rPr>
              <w:t>Wichtige Termine</w:t>
            </w:r>
          </w:p>
          <w:p>
            <w:pPr>
              <w:pStyle w:val="Listenabsatz"/>
              <w:numPr>
                <w:ilvl w:val="0"/>
                <w:numId w:val="30"/>
              </w:numPr>
              <w:spacing w:after="120"/>
              <w:ind w:left="448" w:hanging="357"/>
            </w:pPr>
            <w:r>
              <w:t>TK Staatskanzleien</w:t>
            </w:r>
          </w:p>
          <w:p>
            <w:pPr>
              <w:pStyle w:val="Listenabsatz"/>
              <w:numPr>
                <w:ilvl w:val="0"/>
                <w:numId w:val="30"/>
              </w:numPr>
              <w:spacing w:after="120"/>
              <w:ind w:left="448" w:hanging="357"/>
            </w:pPr>
            <w:r>
              <w:t xml:space="preserve">AGI-TK 13 Uhr </w:t>
            </w:r>
          </w:p>
          <w:p>
            <w:pPr>
              <w:pStyle w:val="Listenabsatz"/>
              <w:numPr>
                <w:ilvl w:val="1"/>
                <w:numId w:val="30"/>
              </w:numPr>
              <w:spacing w:after="120"/>
              <w:ind w:left="867" w:hanging="357"/>
            </w:pPr>
            <w:r>
              <w:t xml:space="preserve">Unzufriedenheit von Seiten der AGI, dass nicht alle Dokumente (z.B. zu Masken, Pflegeeinrichtungen) im Vorfeld geteilt wurden. </w:t>
            </w:r>
          </w:p>
          <w:p>
            <w:pPr>
              <w:pStyle w:val="Listenabsatz"/>
              <w:numPr>
                <w:ilvl w:val="1"/>
                <w:numId w:val="30"/>
              </w:numPr>
              <w:spacing w:after="120"/>
              <w:ind w:left="867" w:hanging="357"/>
              <w:rPr>
                <w:b/>
              </w:rPr>
            </w:pPr>
            <w:r>
              <w:t>Falls Input von den Ländern nötig ist, wird dieser erfragt. Interne Papiere können nicht immer geteilt werden, zum Teil sind Fristen auch sehr eng. Wenn der Inhalt freigeben ist, können Dokumente zur Information mit den Ländern geteilt werden. Anmerkungen werden für die nächste Überarbeitung aufgenommen. Bitte um Verständnis, dass dies nicht immer möglich ist.</w:t>
            </w:r>
          </w:p>
        </w:tc>
        <w:tc>
          <w:tcPr>
            <w:tcW w:w="1491" w:type="dxa"/>
          </w:tcPr>
          <w:p/>
        </w:tc>
      </w:tr>
      <w:tr>
        <w:tc>
          <w:tcPr>
            <w:tcW w:w="762" w:type="dxa"/>
          </w:tcPr>
          <w:p>
            <w:pPr>
              <w:rPr>
                <w:b/>
                <w:sz w:val="28"/>
                <w:szCs w:val="28"/>
              </w:rPr>
            </w:pPr>
            <w:r>
              <w:rPr>
                <w:b/>
                <w:sz w:val="28"/>
                <w:szCs w:val="28"/>
              </w:rPr>
              <w:t>16</w:t>
            </w:r>
          </w:p>
        </w:tc>
        <w:tc>
          <w:tcPr>
            <w:tcW w:w="6434" w:type="dxa"/>
          </w:tcPr>
          <w:p>
            <w:pPr>
              <w:rPr>
                <w:b/>
                <w:sz w:val="28"/>
                <w:szCs w:val="28"/>
              </w:rPr>
            </w:pPr>
            <w:r>
              <w:rPr>
                <w:b/>
                <w:sz w:val="28"/>
                <w:szCs w:val="28"/>
              </w:rPr>
              <w:t>Andere Themen</w:t>
            </w:r>
          </w:p>
          <w:p>
            <w:pPr>
              <w:pStyle w:val="Listenabsatz"/>
              <w:numPr>
                <w:ilvl w:val="0"/>
                <w:numId w:val="5"/>
              </w:numPr>
              <w:spacing w:after="120"/>
              <w:ind w:left="448" w:hanging="357"/>
              <w:rPr>
                <w:b/>
              </w:rPr>
            </w:pPr>
            <w:r>
              <w:t>Nächste Sitzung: Donnerstag 17.04.2020, 13:00-14:30</w:t>
            </w:r>
          </w:p>
        </w:tc>
        <w:tc>
          <w:tcPr>
            <w:tcW w:w="1491" w:type="dxa"/>
          </w:tc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5"/>
    <w:multiLevelType w:val="hybridMultilevel"/>
    <w:tmpl w:val="37123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C926AB"/>
    <w:multiLevelType w:val="hybridMultilevel"/>
    <w:tmpl w:val="1D6E50C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210A1F"/>
    <w:multiLevelType w:val="hybridMultilevel"/>
    <w:tmpl w:val="B30E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5F3DEA"/>
    <w:multiLevelType w:val="hybridMultilevel"/>
    <w:tmpl w:val="5E28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B4A5D"/>
    <w:multiLevelType w:val="hybridMultilevel"/>
    <w:tmpl w:val="178E2B9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8DC08ADC"/>
    <w:lvl w:ilvl="0" w:tplc="04070001">
      <w:start w:val="1"/>
      <w:numFmt w:val="bullet"/>
      <w:lvlText w:val=""/>
      <w:lvlJc w:val="left"/>
      <w:pPr>
        <w:ind w:left="720" w:hanging="360"/>
      </w:pPr>
      <w:rPr>
        <w:rFonts w:ascii="Symbol" w:hAnsi="Symbo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B87458"/>
    <w:multiLevelType w:val="hybridMultilevel"/>
    <w:tmpl w:val="19589AA0"/>
    <w:lvl w:ilvl="0" w:tplc="955C989C">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F69177D"/>
    <w:multiLevelType w:val="hybridMultilevel"/>
    <w:tmpl w:val="2E583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418CF"/>
    <w:multiLevelType w:val="hybridMultilevel"/>
    <w:tmpl w:val="A5BE1E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1A5375"/>
    <w:multiLevelType w:val="hybridMultilevel"/>
    <w:tmpl w:val="D1A677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5F21567"/>
    <w:multiLevelType w:val="hybridMultilevel"/>
    <w:tmpl w:val="6E90F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0A411D"/>
    <w:multiLevelType w:val="hybridMultilevel"/>
    <w:tmpl w:val="622E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E42E3F"/>
    <w:multiLevelType w:val="hybridMultilevel"/>
    <w:tmpl w:val="1AB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07176"/>
    <w:multiLevelType w:val="hybridMultilevel"/>
    <w:tmpl w:val="287CA2B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2B797E"/>
    <w:multiLevelType w:val="hybridMultilevel"/>
    <w:tmpl w:val="04325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28"/>
  </w:num>
  <w:num w:numId="4">
    <w:abstractNumId w:val="16"/>
  </w:num>
  <w:num w:numId="5">
    <w:abstractNumId w:val="18"/>
  </w:num>
  <w:num w:numId="6">
    <w:abstractNumId w:val="8"/>
  </w:num>
  <w:num w:numId="7">
    <w:abstractNumId w:val="21"/>
  </w:num>
  <w:num w:numId="8">
    <w:abstractNumId w:val="15"/>
  </w:num>
  <w:num w:numId="9">
    <w:abstractNumId w:val="20"/>
  </w:num>
  <w:num w:numId="10">
    <w:abstractNumId w:val="22"/>
  </w:num>
  <w:num w:numId="11">
    <w:abstractNumId w:val="30"/>
  </w:num>
  <w:num w:numId="12">
    <w:abstractNumId w:val="25"/>
  </w:num>
  <w:num w:numId="13">
    <w:abstractNumId w:val="9"/>
  </w:num>
  <w:num w:numId="14">
    <w:abstractNumId w:val="24"/>
  </w:num>
  <w:num w:numId="15">
    <w:abstractNumId w:val="11"/>
  </w:num>
  <w:num w:numId="16">
    <w:abstractNumId w:val="10"/>
  </w:num>
  <w:num w:numId="17">
    <w:abstractNumId w:val="27"/>
  </w:num>
  <w:num w:numId="18">
    <w:abstractNumId w:val="6"/>
  </w:num>
  <w:num w:numId="19">
    <w:abstractNumId w:val="5"/>
  </w:num>
  <w:num w:numId="20">
    <w:abstractNumId w:val="19"/>
  </w:num>
  <w:num w:numId="21">
    <w:abstractNumId w:val="3"/>
  </w:num>
  <w:num w:numId="22">
    <w:abstractNumId w:val="12"/>
  </w:num>
  <w:num w:numId="23">
    <w:abstractNumId w:val="2"/>
  </w:num>
  <w:num w:numId="24">
    <w:abstractNumId w:val="13"/>
  </w:num>
  <w:num w:numId="25">
    <w:abstractNumId w:val="26"/>
  </w:num>
  <w:num w:numId="26">
    <w:abstractNumId w:val="1"/>
  </w:num>
  <w:num w:numId="27">
    <w:abstractNumId w:val="4"/>
  </w:num>
  <w:num w:numId="28">
    <w:abstractNumId w:val="14"/>
  </w:num>
  <w:num w:numId="29">
    <w:abstractNumId w:val="0"/>
  </w:num>
  <w:num w:numId="30">
    <w:abstractNumId w:val="31"/>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86094D-E6D5-4F3B-8BB1-54E49840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797185937">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16_Lage_AG\Lage_INT_2020-04-16.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4-16.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D1638CC2F34C48A85483A10D9486D1"/>
        <w:category>
          <w:name w:val="Allgemein"/>
          <w:gallery w:val="placeholder"/>
        </w:category>
        <w:types>
          <w:type w:val="bbPlcHdr"/>
        </w:types>
        <w:behaviors>
          <w:behavior w:val="content"/>
        </w:behaviors>
        <w:guid w:val="{C8BF339A-C7C3-4811-84EA-0F267D0F4080}"/>
      </w:docPartPr>
      <w:docPartBody>
        <w:p>
          <w:pPr>
            <w:pStyle w:val="4FD1638CC2F34C48A85483A10D9486D1"/>
          </w:pPr>
          <w:r>
            <w:rPr>
              <w:rStyle w:val="Platzhaltertext"/>
            </w:rPr>
            <w:t>Klicken Sie hier, um Text einzugeben.</w:t>
          </w:r>
        </w:p>
      </w:docPartBody>
    </w:docPart>
    <w:docPart>
      <w:docPartPr>
        <w:name w:val="70453C9276B646228C40A7A320BC343F"/>
        <w:category>
          <w:name w:val="Allgemein"/>
          <w:gallery w:val="placeholder"/>
        </w:category>
        <w:types>
          <w:type w:val="bbPlcHdr"/>
        </w:types>
        <w:behaviors>
          <w:behavior w:val="content"/>
        </w:behaviors>
        <w:guid w:val="{A7456E51-AE66-4CD2-93C0-C9F5B41135B0}"/>
      </w:docPartPr>
      <w:docPartBody>
        <w:p>
          <w:pPr>
            <w:pStyle w:val="70453C9276B646228C40A7A320BC343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5B39"/>
    <w:rPr>
      <w:color w:val="808080"/>
    </w:rPr>
  </w:style>
  <w:style w:type="paragraph" w:customStyle="1" w:styleId="4FD1638CC2F34C48A85483A10D9486D1">
    <w:name w:val="4FD1638CC2F34C48A85483A10D9486D1"/>
    <w:rsid w:val="005E5B39"/>
  </w:style>
  <w:style w:type="paragraph" w:customStyle="1" w:styleId="70453C9276B646228C40A7A320BC343F">
    <w:name w:val="70453C9276B646228C40A7A320BC343F"/>
    <w:rsid w:val="005E5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6276A-A804-4AA4-B5B8-D2E2217B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1989</Words>
  <Characters>12536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56</cp:revision>
  <cp:lastPrinted>2020-04-16T16:55:00Z</cp:lastPrinted>
  <dcterms:created xsi:type="dcterms:W3CDTF">2020-04-16T11:21:00Z</dcterms:created>
  <dcterms:modified xsi:type="dcterms:W3CDTF">2021-04-12T14:33:00Z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-1337402490</vt:i4>
  </property>
</Properties>
</file>