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4FD1638CC2F34C48A85483A10D9486D1"/>
          </w:placeholder>
        </w:sdtPr>
        <w:sdtContent>
          <w:sdt>
            <w:sdtPr>
              <w:rPr>
                <w:i/>
                <w:sz w:val="22"/>
              </w:rPr>
              <w:id w:val="334350100"/>
              <w:placeholder>
                <w:docPart w:val="70453C9276B646228C40A7A320BC343F"/>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4FD1638CC2F34C48A85483A10D9486D1"/>
          </w:placeholder>
        </w:sdtPr>
        <w:sdtContent>
          <w:r>
            <w:rPr>
              <w:i/>
              <w:sz w:val="22"/>
            </w:rPr>
            <w:t>17.04.2020, 13-14:30 Uhr</w:t>
          </w:r>
        </w:sdtContent>
      </w:sdt>
    </w:p>
    <w:p>
      <w:pPr>
        <w:rPr>
          <w:b/>
          <w:sz w:val="22"/>
        </w:rPr>
      </w:pPr>
      <w:r>
        <w:rPr>
          <w:b/>
          <w:i/>
          <w:sz w:val="22"/>
        </w:rPr>
        <w:t>Sitzungsort</w:t>
      </w:r>
      <w:r>
        <w:rPr>
          <w:b/>
          <w:sz w:val="22"/>
        </w:rPr>
        <w:t xml:space="preserve"> Teilnehmende: </w:t>
      </w:r>
    </w:p>
    <w:p>
      <w:pPr>
        <w:pStyle w:val="Listenabsatz"/>
        <w:numPr>
          <w:ilvl w:val="0"/>
          <w:numId w:val="18"/>
        </w:numPr>
        <w:spacing w:after="0"/>
        <w:contextualSpacing w:val="0"/>
        <w:rPr>
          <w:sz w:val="22"/>
          <w:szCs w:val="22"/>
        </w:rPr>
      </w:pPr>
      <w:r>
        <w:rPr>
          <w:sz w:val="22"/>
          <w:szCs w:val="22"/>
        </w:rPr>
        <w:t>Institutsleitung</w:t>
      </w:r>
    </w:p>
    <w:p>
      <w:pPr>
        <w:pStyle w:val="Listenabsatz"/>
        <w:numPr>
          <w:ilvl w:val="1"/>
          <w:numId w:val="18"/>
        </w:numPr>
        <w:spacing w:after="0"/>
        <w:contextualSpacing w:val="0"/>
        <w:rPr>
          <w:sz w:val="22"/>
          <w:szCs w:val="22"/>
        </w:rPr>
      </w:pPr>
      <w:r>
        <w:rPr>
          <w:sz w:val="22"/>
          <w:szCs w:val="22"/>
        </w:rPr>
        <w:t>Lothar Wieler</w:t>
      </w:r>
    </w:p>
    <w:p>
      <w:pPr>
        <w:pStyle w:val="Listenabsatz"/>
        <w:numPr>
          <w:ilvl w:val="1"/>
          <w:numId w:val="18"/>
        </w:numPr>
        <w:spacing w:after="0"/>
        <w:contextualSpacing w:val="0"/>
        <w:rPr>
          <w:sz w:val="22"/>
          <w:szCs w:val="22"/>
        </w:rPr>
      </w:pPr>
      <w:r>
        <w:rPr>
          <w:sz w:val="22"/>
          <w:szCs w:val="22"/>
        </w:rPr>
        <w:t>Lars Schaade (Moderation)</w:t>
      </w:r>
    </w:p>
    <w:p>
      <w:pPr>
        <w:pStyle w:val="Listenabsatz"/>
        <w:numPr>
          <w:ilvl w:val="0"/>
          <w:numId w:val="18"/>
        </w:numPr>
        <w:spacing w:after="0"/>
        <w:contextualSpacing w:val="0"/>
        <w:rPr>
          <w:sz w:val="22"/>
          <w:szCs w:val="22"/>
        </w:rPr>
      </w:pPr>
      <w:r>
        <w:rPr>
          <w:sz w:val="22"/>
          <w:szCs w:val="22"/>
        </w:rPr>
        <w:t>Abt. 1 Leitung</w:t>
      </w:r>
    </w:p>
    <w:p>
      <w:pPr>
        <w:pStyle w:val="Listenabsatz"/>
        <w:numPr>
          <w:ilvl w:val="1"/>
          <w:numId w:val="18"/>
        </w:numPr>
        <w:spacing w:after="0"/>
        <w:contextualSpacing w:val="0"/>
        <w:rPr>
          <w:sz w:val="22"/>
          <w:szCs w:val="22"/>
        </w:rPr>
      </w:pPr>
      <w:r>
        <w:rPr>
          <w:sz w:val="22"/>
          <w:szCs w:val="22"/>
        </w:rPr>
        <w:t>Martin Mielke</w:t>
      </w:r>
    </w:p>
    <w:p>
      <w:pPr>
        <w:pStyle w:val="Listenabsatz"/>
        <w:numPr>
          <w:ilvl w:val="0"/>
          <w:numId w:val="18"/>
        </w:numPr>
        <w:spacing w:after="0"/>
        <w:contextualSpacing w:val="0"/>
        <w:rPr>
          <w:sz w:val="22"/>
          <w:szCs w:val="22"/>
        </w:rPr>
      </w:pPr>
      <w:r>
        <w:rPr>
          <w:sz w:val="22"/>
          <w:szCs w:val="22"/>
        </w:rPr>
        <w:t>Abt. 2 Leitung</w:t>
      </w:r>
    </w:p>
    <w:p>
      <w:pPr>
        <w:pStyle w:val="Listenabsatz"/>
        <w:numPr>
          <w:ilvl w:val="1"/>
          <w:numId w:val="18"/>
        </w:numPr>
        <w:spacing w:after="0"/>
        <w:contextualSpacing w:val="0"/>
        <w:rPr>
          <w:sz w:val="22"/>
          <w:szCs w:val="22"/>
        </w:rPr>
      </w:pPr>
      <w:r>
        <w:rPr>
          <w:sz w:val="22"/>
          <w:szCs w:val="22"/>
        </w:rPr>
        <w:t>Thomas Lampert</w:t>
      </w:r>
    </w:p>
    <w:p>
      <w:pPr>
        <w:pStyle w:val="Listenabsatz"/>
        <w:numPr>
          <w:ilvl w:val="0"/>
          <w:numId w:val="18"/>
        </w:numPr>
        <w:spacing w:after="0"/>
        <w:contextualSpacing w:val="0"/>
        <w:rPr>
          <w:sz w:val="22"/>
          <w:szCs w:val="22"/>
        </w:rPr>
      </w:pPr>
      <w:r>
        <w:rPr>
          <w:sz w:val="22"/>
          <w:szCs w:val="22"/>
        </w:rPr>
        <w:t>Abt. 3 Leitung</w:t>
      </w:r>
    </w:p>
    <w:p>
      <w:pPr>
        <w:pStyle w:val="Listenabsatz"/>
        <w:numPr>
          <w:ilvl w:val="1"/>
          <w:numId w:val="18"/>
        </w:numPr>
        <w:spacing w:after="0"/>
        <w:contextualSpacing w:val="0"/>
        <w:rPr>
          <w:sz w:val="22"/>
          <w:szCs w:val="22"/>
        </w:rPr>
      </w:pPr>
      <w:r>
        <w:rPr>
          <w:sz w:val="22"/>
          <w:szCs w:val="22"/>
        </w:rPr>
        <w:t>Osamah Hamouda</w:t>
      </w:r>
    </w:p>
    <w:p>
      <w:pPr>
        <w:pStyle w:val="Listenabsatz"/>
        <w:numPr>
          <w:ilvl w:val="0"/>
          <w:numId w:val="18"/>
        </w:numPr>
        <w:spacing w:after="0"/>
        <w:contextualSpacing w:val="0"/>
        <w:rPr>
          <w:sz w:val="22"/>
          <w:szCs w:val="22"/>
        </w:rPr>
      </w:pPr>
      <w:r>
        <w:rPr>
          <w:sz w:val="22"/>
          <w:szCs w:val="22"/>
        </w:rPr>
        <w:t>ZIG Leitung</w:t>
      </w:r>
    </w:p>
    <w:p>
      <w:pPr>
        <w:pStyle w:val="Listenabsatz"/>
        <w:numPr>
          <w:ilvl w:val="1"/>
          <w:numId w:val="18"/>
        </w:numPr>
        <w:spacing w:after="0"/>
        <w:contextualSpacing w:val="0"/>
        <w:rPr>
          <w:sz w:val="22"/>
          <w:szCs w:val="22"/>
        </w:rPr>
      </w:pPr>
      <w:r>
        <w:rPr>
          <w:sz w:val="22"/>
          <w:szCs w:val="22"/>
        </w:rPr>
        <w:t xml:space="preserve">Johanna Hanefeld </w:t>
      </w:r>
    </w:p>
    <w:p>
      <w:pPr>
        <w:pStyle w:val="Listenabsatz"/>
        <w:numPr>
          <w:ilvl w:val="0"/>
          <w:numId w:val="19"/>
        </w:numPr>
        <w:spacing w:after="0"/>
        <w:contextualSpacing w:val="0"/>
        <w:rPr>
          <w:sz w:val="22"/>
          <w:szCs w:val="22"/>
        </w:rPr>
      </w:pPr>
      <w:r>
        <w:rPr>
          <w:sz w:val="22"/>
          <w:szCs w:val="22"/>
        </w:rPr>
        <w:t>FG12</w:t>
      </w:r>
    </w:p>
    <w:p>
      <w:pPr>
        <w:pStyle w:val="Listenabsatz"/>
        <w:numPr>
          <w:ilvl w:val="1"/>
          <w:numId w:val="18"/>
        </w:numPr>
        <w:spacing w:after="0"/>
        <w:contextualSpacing w:val="0"/>
        <w:rPr>
          <w:sz w:val="22"/>
          <w:szCs w:val="22"/>
        </w:rPr>
      </w:pPr>
      <w:r>
        <w:rPr>
          <w:sz w:val="22"/>
          <w:szCs w:val="22"/>
        </w:rPr>
        <w:t>Annette Mankertz</w:t>
      </w:r>
    </w:p>
    <w:p>
      <w:pPr>
        <w:pStyle w:val="Listenabsatz"/>
        <w:numPr>
          <w:ilvl w:val="0"/>
          <w:numId w:val="19"/>
        </w:numPr>
        <w:spacing w:after="0"/>
        <w:contextualSpacing w:val="0"/>
        <w:rPr>
          <w:sz w:val="22"/>
          <w:szCs w:val="22"/>
        </w:rPr>
      </w:pPr>
      <w:r>
        <w:rPr>
          <w:sz w:val="22"/>
          <w:szCs w:val="22"/>
        </w:rPr>
        <w:t>FG14</w:t>
      </w:r>
    </w:p>
    <w:p>
      <w:pPr>
        <w:pStyle w:val="Listenabsatz"/>
        <w:numPr>
          <w:ilvl w:val="1"/>
          <w:numId w:val="18"/>
        </w:numPr>
        <w:spacing w:after="0"/>
        <w:contextualSpacing w:val="0"/>
        <w:rPr>
          <w:sz w:val="22"/>
          <w:szCs w:val="22"/>
        </w:rPr>
      </w:pPr>
      <w:r>
        <w:rPr>
          <w:sz w:val="22"/>
          <w:szCs w:val="22"/>
        </w:rPr>
        <w:t>Melanie Brunke</w:t>
      </w:r>
      <w:r>
        <w:rPr>
          <w:sz w:val="22"/>
          <w:szCs w:val="22"/>
          <w:lang w:val="en-US"/>
        </w:rPr>
        <w:t xml:space="preserve"> </w:t>
      </w:r>
    </w:p>
    <w:p>
      <w:pPr>
        <w:pStyle w:val="Listenabsatz"/>
        <w:numPr>
          <w:ilvl w:val="1"/>
          <w:numId w:val="18"/>
        </w:numPr>
        <w:spacing w:after="0"/>
        <w:contextualSpacing w:val="0"/>
        <w:rPr>
          <w:sz w:val="22"/>
          <w:szCs w:val="22"/>
        </w:rPr>
      </w:pPr>
      <w:r>
        <w:rPr>
          <w:sz w:val="22"/>
          <w:szCs w:val="22"/>
        </w:rPr>
        <w:t>Mardjan Arvand</w:t>
      </w:r>
    </w:p>
    <w:p>
      <w:pPr>
        <w:pStyle w:val="Listenabsatz"/>
        <w:numPr>
          <w:ilvl w:val="0"/>
          <w:numId w:val="18"/>
        </w:numPr>
        <w:spacing w:after="0"/>
        <w:contextualSpacing w:val="0"/>
        <w:rPr>
          <w:sz w:val="22"/>
          <w:szCs w:val="22"/>
          <w:lang w:val="en-US"/>
        </w:rPr>
      </w:pPr>
      <w:r>
        <w:rPr>
          <w:sz w:val="22"/>
          <w:szCs w:val="22"/>
        </w:rPr>
        <w:t xml:space="preserve">FG17 </w:t>
      </w:r>
    </w:p>
    <w:p>
      <w:pPr>
        <w:pStyle w:val="Listenabsatz"/>
        <w:numPr>
          <w:ilvl w:val="1"/>
          <w:numId w:val="18"/>
        </w:numPr>
        <w:spacing w:after="0"/>
        <w:contextualSpacing w:val="0"/>
        <w:rPr>
          <w:sz w:val="22"/>
          <w:szCs w:val="22"/>
          <w:lang w:val="en-US"/>
        </w:rPr>
      </w:pPr>
      <w:r>
        <w:rPr>
          <w:sz w:val="22"/>
          <w:szCs w:val="22"/>
          <w:lang w:val="en-US"/>
        </w:rPr>
        <w:t xml:space="preserve">Thorsten Wolff  </w:t>
      </w:r>
    </w:p>
    <w:p>
      <w:pPr>
        <w:pStyle w:val="Listenabsatz"/>
        <w:numPr>
          <w:ilvl w:val="0"/>
          <w:numId w:val="20"/>
        </w:numPr>
        <w:spacing w:after="0"/>
        <w:contextualSpacing w:val="0"/>
        <w:rPr>
          <w:sz w:val="22"/>
          <w:szCs w:val="22"/>
        </w:rPr>
      </w:pPr>
      <w:r>
        <w:rPr>
          <w:sz w:val="22"/>
          <w:szCs w:val="22"/>
        </w:rPr>
        <w:t>FG 32</w:t>
      </w:r>
    </w:p>
    <w:p>
      <w:pPr>
        <w:pStyle w:val="Listenabsatz"/>
        <w:numPr>
          <w:ilvl w:val="1"/>
          <w:numId w:val="18"/>
        </w:numPr>
        <w:spacing w:after="0"/>
        <w:contextualSpacing w:val="0"/>
        <w:rPr>
          <w:sz w:val="22"/>
          <w:szCs w:val="22"/>
        </w:rPr>
      </w:pPr>
      <w:r>
        <w:rPr>
          <w:sz w:val="22"/>
          <w:szCs w:val="22"/>
        </w:rPr>
        <w:t>Ute Rexroth</w:t>
      </w:r>
    </w:p>
    <w:p>
      <w:pPr>
        <w:pStyle w:val="Listenabsatz"/>
        <w:numPr>
          <w:ilvl w:val="1"/>
          <w:numId w:val="18"/>
        </w:numPr>
        <w:spacing w:after="0"/>
        <w:contextualSpacing w:val="0"/>
        <w:rPr>
          <w:sz w:val="22"/>
          <w:szCs w:val="22"/>
        </w:rPr>
      </w:pPr>
      <w:r>
        <w:rPr>
          <w:sz w:val="22"/>
          <w:szCs w:val="22"/>
        </w:rPr>
        <w:t>Inessa Markus (Protokoll)</w:t>
      </w:r>
    </w:p>
    <w:p>
      <w:pPr>
        <w:pStyle w:val="Listenabsatz"/>
        <w:numPr>
          <w:ilvl w:val="0"/>
          <w:numId w:val="18"/>
        </w:numPr>
        <w:spacing w:after="0"/>
        <w:contextualSpacing w:val="0"/>
        <w:rPr>
          <w:sz w:val="22"/>
          <w:szCs w:val="22"/>
        </w:rPr>
      </w:pPr>
      <w:r>
        <w:rPr>
          <w:sz w:val="22"/>
          <w:szCs w:val="22"/>
        </w:rPr>
        <w:t>FG36</w:t>
      </w:r>
    </w:p>
    <w:p>
      <w:pPr>
        <w:pStyle w:val="Listenabsatz"/>
        <w:numPr>
          <w:ilvl w:val="1"/>
          <w:numId w:val="18"/>
        </w:numPr>
        <w:spacing w:after="0"/>
        <w:contextualSpacing w:val="0"/>
        <w:rPr>
          <w:sz w:val="22"/>
          <w:szCs w:val="22"/>
        </w:rPr>
      </w:pPr>
      <w:r>
        <w:rPr>
          <w:sz w:val="22"/>
          <w:szCs w:val="22"/>
        </w:rPr>
        <w:t>Walter Haas</w:t>
      </w:r>
    </w:p>
    <w:p>
      <w:pPr>
        <w:pStyle w:val="Listenabsatz"/>
        <w:numPr>
          <w:ilvl w:val="1"/>
          <w:numId w:val="18"/>
        </w:numPr>
        <w:spacing w:after="0"/>
        <w:contextualSpacing w:val="0"/>
        <w:rPr>
          <w:sz w:val="22"/>
          <w:szCs w:val="22"/>
        </w:rPr>
      </w:pPr>
      <w:r>
        <w:rPr>
          <w:sz w:val="22"/>
          <w:szCs w:val="22"/>
        </w:rPr>
        <w:t>Silke Buda</w:t>
      </w:r>
    </w:p>
    <w:p>
      <w:pPr>
        <w:pStyle w:val="Listenabsatz"/>
        <w:numPr>
          <w:ilvl w:val="0"/>
          <w:numId w:val="18"/>
        </w:numPr>
        <w:spacing w:after="0"/>
        <w:contextualSpacing w:val="0"/>
        <w:rPr>
          <w:sz w:val="22"/>
          <w:szCs w:val="22"/>
        </w:rPr>
      </w:pPr>
      <w:r>
        <w:rPr>
          <w:sz w:val="22"/>
          <w:szCs w:val="22"/>
        </w:rPr>
        <w:t>FG37</w:t>
      </w:r>
    </w:p>
    <w:p>
      <w:pPr>
        <w:pStyle w:val="Listenabsatz"/>
        <w:numPr>
          <w:ilvl w:val="1"/>
          <w:numId w:val="18"/>
        </w:numPr>
        <w:spacing w:after="0"/>
        <w:contextualSpacing w:val="0"/>
        <w:rPr>
          <w:sz w:val="22"/>
          <w:szCs w:val="22"/>
        </w:rPr>
      </w:pPr>
      <w:r>
        <w:rPr>
          <w:sz w:val="22"/>
          <w:szCs w:val="22"/>
        </w:rPr>
        <w:t>Tim Eckmanns</w:t>
      </w:r>
    </w:p>
    <w:p>
      <w:pPr>
        <w:pStyle w:val="Listenabsatz"/>
        <w:numPr>
          <w:ilvl w:val="0"/>
          <w:numId w:val="19"/>
        </w:numPr>
        <w:spacing w:after="0"/>
        <w:contextualSpacing w:val="0"/>
        <w:rPr>
          <w:sz w:val="22"/>
          <w:szCs w:val="22"/>
        </w:rPr>
      </w:pPr>
      <w:r>
        <w:rPr>
          <w:sz w:val="22"/>
          <w:szCs w:val="22"/>
        </w:rPr>
        <w:t>IBBS</w:t>
      </w:r>
    </w:p>
    <w:p>
      <w:pPr>
        <w:pStyle w:val="Listenabsatz"/>
        <w:numPr>
          <w:ilvl w:val="1"/>
          <w:numId w:val="19"/>
        </w:numPr>
        <w:spacing w:after="0"/>
        <w:contextualSpacing w:val="0"/>
        <w:rPr>
          <w:sz w:val="22"/>
          <w:szCs w:val="22"/>
        </w:rPr>
      </w:pPr>
      <w:r>
        <w:rPr>
          <w:sz w:val="22"/>
          <w:szCs w:val="22"/>
        </w:rPr>
        <w:t>Christian Herzog</w:t>
      </w:r>
    </w:p>
    <w:p>
      <w:pPr>
        <w:pStyle w:val="Listenabsatz"/>
        <w:numPr>
          <w:ilvl w:val="0"/>
          <w:numId w:val="19"/>
        </w:numPr>
        <w:spacing w:after="0"/>
        <w:contextualSpacing w:val="0"/>
        <w:rPr>
          <w:sz w:val="22"/>
          <w:szCs w:val="22"/>
        </w:rPr>
      </w:pPr>
      <w:r>
        <w:rPr>
          <w:sz w:val="22"/>
          <w:szCs w:val="22"/>
        </w:rPr>
        <w:t>Presse</w:t>
      </w:r>
    </w:p>
    <w:p>
      <w:pPr>
        <w:pStyle w:val="Listenabsatz"/>
        <w:numPr>
          <w:ilvl w:val="1"/>
          <w:numId w:val="19"/>
        </w:numPr>
        <w:spacing w:after="0"/>
        <w:contextualSpacing w:val="0"/>
        <w:rPr>
          <w:sz w:val="22"/>
          <w:szCs w:val="22"/>
        </w:rPr>
      </w:pPr>
      <w:r>
        <w:rPr>
          <w:sz w:val="22"/>
          <w:szCs w:val="22"/>
        </w:rPr>
        <w:t xml:space="preserve">Jamela Seedat </w:t>
      </w:r>
    </w:p>
    <w:p>
      <w:pPr>
        <w:pStyle w:val="Listenabsatz"/>
        <w:numPr>
          <w:ilvl w:val="0"/>
          <w:numId w:val="19"/>
        </w:numPr>
        <w:spacing w:after="0"/>
        <w:contextualSpacing w:val="0"/>
        <w:rPr>
          <w:sz w:val="22"/>
          <w:szCs w:val="22"/>
        </w:rPr>
      </w:pPr>
      <w:r>
        <w:rPr>
          <w:sz w:val="22"/>
          <w:szCs w:val="22"/>
        </w:rPr>
        <w:t>ZBS1</w:t>
      </w:r>
    </w:p>
    <w:p>
      <w:pPr>
        <w:pStyle w:val="Listenabsatz"/>
        <w:numPr>
          <w:ilvl w:val="1"/>
          <w:numId w:val="18"/>
        </w:numPr>
        <w:spacing w:after="0"/>
        <w:contextualSpacing w:val="0"/>
        <w:rPr>
          <w:sz w:val="22"/>
          <w:szCs w:val="22"/>
        </w:rPr>
      </w:pPr>
    </w:p>
    <w:p>
      <w:pPr>
        <w:pStyle w:val="Listenabsatz"/>
        <w:numPr>
          <w:ilvl w:val="0"/>
          <w:numId w:val="18"/>
        </w:numPr>
        <w:spacing w:after="0"/>
        <w:contextualSpacing w:val="0"/>
        <w:rPr>
          <w:sz w:val="22"/>
          <w:szCs w:val="22"/>
        </w:rPr>
      </w:pPr>
      <w:r>
        <w:rPr>
          <w:sz w:val="22"/>
          <w:szCs w:val="22"/>
        </w:rPr>
        <w:t>ZIG1</w:t>
      </w:r>
    </w:p>
    <w:p>
      <w:pPr>
        <w:pStyle w:val="Listenabsatz"/>
        <w:numPr>
          <w:ilvl w:val="1"/>
          <w:numId w:val="19"/>
        </w:numPr>
        <w:spacing w:after="0"/>
        <w:contextualSpacing w:val="0"/>
        <w:rPr>
          <w:sz w:val="22"/>
          <w:szCs w:val="22"/>
        </w:rPr>
      </w:pPr>
      <w:r>
        <w:rPr>
          <w:sz w:val="22"/>
          <w:szCs w:val="22"/>
        </w:rPr>
        <w:t>Andreas Jansen</w:t>
      </w:r>
    </w:p>
    <w:p>
      <w:pPr>
        <w:pStyle w:val="Listenabsatz"/>
        <w:numPr>
          <w:ilvl w:val="0"/>
          <w:numId w:val="18"/>
        </w:numPr>
        <w:spacing w:after="0"/>
        <w:contextualSpacing w:val="0"/>
        <w:rPr>
          <w:sz w:val="22"/>
          <w:szCs w:val="22"/>
        </w:rPr>
      </w:pPr>
      <w:r>
        <w:rPr>
          <w:sz w:val="22"/>
          <w:szCs w:val="22"/>
        </w:rPr>
        <w:t xml:space="preserve">BZGA </w:t>
      </w:r>
    </w:p>
    <w:p>
      <w:pPr>
        <w:pStyle w:val="Listenabsatz"/>
        <w:numPr>
          <w:ilvl w:val="1"/>
          <w:numId w:val="18"/>
        </w:numPr>
        <w:spacing w:after="0"/>
        <w:contextualSpacing w:val="0"/>
        <w:rPr>
          <w:sz w:val="22"/>
          <w:szCs w:val="22"/>
        </w:rPr>
      </w:pPr>
      <w:proofErr w:type="spellStart"/>
      <w:r>
        <w:rPr>
          <w:sz w:val="22"/>
          <w:szCs w:val="22"/>
          <w:lang w:val="en-US"/>
        </w:rPr>
        <w:t>Heidrun</w:t>
      </w:r>
      <w:proofErr w:type="spellEnd"/>
      <w:r>
        <w:rPr>
          <w:sz w:val="22"/>
          <w:szCs w:val="22"/>
          <w:lang w:val="en-US"/>
        </w:rPr>
        <w:t xml:space="preserve"> </w:t>
      </w:r>
      <w:proofErr w:type="spellStart"/>
      <w:r>
        <w:rPr>
          <w:sz w:val="22"/>
          <w:szCs w:val="22"/>
          <w:lang w:val="en-US"/>
        </w:rPr>
        <w:t>Thaiss</w:t>
      </w:r>
      <w:proofErr w:type="spellEnd"/>
    </w:p>
    <w:p>
      <w:pPr>
        <w:pStyle w:val="Listenabsatz"/>
        <w:numPr>
          <w:ilvl w:val="0"/>
          <w:numId w:val="18"/>
        </w:numPr>
        <w:spacing w:after="0"/>
        <w:contextualSpacing w:val="0"/>
        <w:rPr>
          <w:sz w:val="22"/>
          <w:szCs w:val="22"/>
        </w:rPr>
      </w:pPr>
      <w:r>
        <w:rPr>
          <w:sz w:val="22"/>
          <w:szCs w:val="22"/>
        </w:rPr>
        <w:t>Bundeswehr</w:t>
      </w:r>
    </w:p>
    <w:p>
      <w:pPr>
        <w:pStyle w:val="Listenabsatz"/>
        <w:numPr>
          <w:ilvl w:val="1"/>
          <w:numId w:val="18"/>
        </w:numPr>
        <w:spacing w:after="0"/>
        <w:contextualSpacing w:val="0"/>
      </w:pPr>
      <w:r>
        <w:rPr>
          <w:sz w:val="22"/>
          <w:szCs w:val="22"/>
        </w:rPr>
        <w:t xml:space="preserve">Frau Roßmann </w:t>
      </w:r>
      <w:r>
        <w:br w:type="page"/>
      </w:r>
    </w:p>
    <w:tbl>
      <w:tblPr>
        <w:tblStyle w:val="Tabellenraster"/>
        <w:tblW w:w="8687" w:type="dxa"/>
        <w:tblLayout w:type="fixed"/>
        <w:tblLook w:val="00A0" w:firstRow="1" w:lastRow="0" w:firstColumn="1" w:lastColumn="0" w:noHBand="0" w:noVBand="0"/>
      </w:tblPr>
      <w:tblGrid>
        <w:gridCol w:w="762"/>
        <w:gridCol w:w="6434"/>
        <w:gridCol w:w="1491"/>
      </w:tblGrid>
      <w:tr>
        <w:tc>
          <w:tcPr>
            <w:tcW w:w="762" w:type="dxa"/>
          </w:tcPr>
          <w:p>
            <w:pPr>
              <w:rPr>
                <w:b/>
                <w:sz w:val="28"/>
                <w:szCs w:val="28"/>
              </w:rPr>
            </w:pPr>
            <w:r>
              <w:rPr>
                <w:b/>
                <w:sz w:val="28"/>
                <w:szCs w:val="28"/>
              </w:rPr>
              <w:lastRenderedPageBreak/>
              <w:t>TOP</w:t>
            </w:r>
          </w:p>
        </w:tc>
        <w:tc>
          <w:tcPr>
            <w:tcW w:w="6434" w:type="dxa"/>
          </w:tcPr>
          <w:p>
            <w:pPr>
              <w:rPr>
                <w:b/>
              </w:rPr>
            </w:pPr>
            <w:r>
              <w:rPr>
                <w:b/>
              </w:rPr>
              <w:t>Beitrag/Thema</w:t>
            </w:r>
          </w:p>
        </w:tc>
        <w:tc>
          <w:tcPr>
            <w:tcW w:w="1491" w:type="dxa"/>
          </w:tcPr>
          <w:p>
            <w:pPr>
              <w:rPr>
                <w:b/>
                <w:sz w:val="22"/>
                <w:szCs w:val="22"/>
              </w:rPr>
            </w:pPr>
            <w:r>
              <w:rPr>
                <w:b/>
                <w:sz w:val="22"/>
                <w:szCs w:val="22"/>
              </w:rPr>
              <w:t>eingebracht von</w:t>
            </w:r>
          </w:p>
        </w:tc>
      </w:tr>
      <w:tr>
        <w:tc>
          <w:tcPr>
            <w:tcW w:w="762" w:type="dxa"/>
          </w:tcPr>
          <w:p>
            <w:pPr>
              <w:rPr>
                <w:b/>
                <w:sz w:val="28"/>
                <w:szCs w:val="28"/>
              </w:rPr>
            </w:pPr>
            <w:r>
              <w:rPr>
                <w:b/>
                <w:sz w:val="28"/>
                <w:szCs w:val="28"/>
              </w:rPr>
              <w:t>1</w:t>
            </w:r>
          </w:p>
        </w:tc>
        <w:tc>
          <w:tcPr>
            <w:tcW w:w="6434" w:type="dxa"/>
          </w:tcPr>
          <w:p>
            <w:pPr>
              <w:rPr>
                <w:b/>
                <w:sz w:val="28"/>
                <w:szCs w:val="28"/>
              </w:rPr>
            </w:pPr>
            <w:r>
              <w:rPr>
                <w:b/>
                <w:sz w:val="28"/>
                <w:szCs w:val="28"/>
              </w:rPr>
              <w:t>Aktuelle Lage</w:t>
            </w:r>
          </w:p>
          <w:p>
            <w:pPr>
              <w:rPr>
                <w:b/>
              </w:rPr>
            </w:pPr>
            <w:r>
              <w:rPr>
                <w:b/>
              </w:rPr>
              <w:t>International Fälle, Schwere, Risikofaktoren</w:t>
            </w:r>
          </w:p>
          <w:p>
            <w:pPr>
              <w:pStyle w:val="Listenabsatz"/>
              <w:numPr>
                <w:ilvl w:val="0"/>
                <w:numId w:val="11"/>
              </w:numPr>
              <w:ind w:left="448" w:hanging="357"/>
            </w:pPr>
            <w:r>
              <w:t xml:space="preserve">Trendanalyse international, Maßnahmen (Folien </w:t>
            </w:r>
            <w:hyperlink r:id="rId8" w:history="1">
              <w:r>
                <w:rPr>
                  <w:rStyle w:val="Hyperlink"/>
                </w:rPr>
                <w:t>hier</w:t>
              </w:r>
            </w:hyperlink>
            <w:r>
              <w:t>)</w:t>
            </w:r>
          </w:p>
          <w:p>
            <w:pPr>
              <w:pStyle w:val="Listenabsatz"/>
              <w:numPr>
                <w:ilvl w:val="0"/>
                <w:numId w:val="11"/>
              </w:numPr>
              <w:ind w:left="448" w:hanging="357"/>
            </w:pPr>
            <w:r>
              <w:t xml:space="preserve">Länder über 70.000 Fällen: </w:t>
            </w:r>
          </w:p>
          <w:p>
            <w:pPr>
              <w:pStyle w:val="Listenabsatz"/>
              <w:numPr>
                <w:ilvl w:val="1"/>
                <w:numId w:val="11"/>
              </w:numPr>
            </w:pPr>
            <w:r>
              <w:t xml:space="preserve">USA: absteigender Trend in prognostizierten Fallzahlen mit Plateau in Gesamtfallzahlen </w:t>
            </w:r>
          </w:p>
          <w:p>
            <w:pPr>
              <w:pStyle w:val="Listenabsatz"/>
              <w:numPr>
                <w:ilvl w:val="1"/>
                <w:numId w:val="11"/>
              </w:numPr>
            </w:pPr>
            <w:r>
              <w:t xml:space="preserve">Präsident stellte </w:t>
            </w:r>
            <w:proofErr w:type="spellStart"/>
            <w:r>
              <w:t>Exitstrategie</w:t>
            </w:r>
            <w:proofErr w:type="spellEnd"/>
            <w:r>
              <w:t xml:space="preserve"> mit drei Phasen vor. Kriterien für die Einleitung sind: Reduktion der Fallzahlen in den letzten 14 Tagen, ILI-Symptome in den 14 Tagen, alle Patienten können versorgt werden. </w:t>
            </w:r>
          </w:p>
          <w:p>
            <w:pPr>
              <w:pStyle w:val="Listenabsatz"/>
              <w:numPr>
                <w:ilvl w:val="1"/>
                <w:numId w:val="11"/>
              </w:numPr>
            </w:pPr>
            <w:r>
              <w:t>PHASE I</w:t>
            </w:r>
          </w:p>
          <w:p>
            <w:pPr>
              <w:pStyle w:val="Listenabsatz"/>
              <w:ind w:left="1080"/>
            </w:pPr>
            <w:r>
              <w:t>Ansammlungen von weniger als zehn Menschen sind möglich; Schulen bleiben geschlossen</w:t>
            </w:r>
          </w:p>
          <w:p>
            <w:pPr>
              <w:pStyle w:val="Listenabsatz"/>
              <w:ind w:left="1080"/>
            </w:pPr>
            <w:r>
              <w:rPr>
                <w:b/>
              </w:rPr>
              <w:t>Restaurants, Kinos und religiöse Einrichtungen können öffnen, wenn „</w:t>
            </w:r>
            <w:proofErr w:type="spellStart"/>
            <w:r>
              <w:rPr>
                <w:b/>
              </w:rPr>
              <w:t>physical</w:t>
            </w:r>
            <w:proofErr w:type="spellEnd"/>
            <w:r>
              <w:rPr>
                <w:b/>
              </w:rPr>
              <w:t xml:space="preserve"> </w:t>
            </w:r>
            <w:proofErr w:type="spellStart"/>
            <w:r>
              <w:rPr>
                <w:b/>
              </w:rPr>
              <w:t>distancing</w:t>
            </w:r>
            <w:proofErr w:type="spellEnd"/>
            <w:r>
              <w:rPr>
                <w:b/>
              </w:rPr>
              <w:t>“ gewährleistet werden kann</w:t>
            </w:r>
            <w:r>
              <w:t>; Weiterhin Home Office (wenn möglich)</w:t>
            </w:r>
          </w:p>
          <w:p>
            <w:pPr>
              <w:pStyle w:val="Listenabsatz"/>
              <w:numPr>
                <w:ilvl w:val="1"/>
                <w:numId w:val="11"/>
              </w:numPr>
            </w:pPr>
            <w:r>
              <w:t>PHASE II</w:t>
            </w:r>
          </w:p>
          <w:p>
            <w:pPr>
              <w:pStyle w:val="Listenabsatz"/>
              <w:ind w:left="1080"/>
            </w:pPr>
            <w:r>
              <w:t xml:space="preserve">Nicht essentielle Reisen wieder möglich; </w:t>
            </w:r>
          </w:p>
          <w:p>
            <w:pPr>
              <w:pStyle w:val="Listenabsatz"/>
              <w:ind w:left="1080"/>
            </w:pPr>
            <w:r>
              <w:rPr>
                <w:b/>
              </w:rPr>
              <w:t>Schulen öffnen wieder</w:t>
            </w:r>
            <w:r>
              <w:t>; Schrittweise Rückkehr zum Arbeitsplatz, Gemeinschaftsbereiche in Firmen bleiben geschlossen; Besuche in Altersheimen und Krankenhäusern weiterhin untersagt</w:t>
            </w:r>
          </w:p>
          <w:p>
            <w:pPr>
              <w:pStyle w:val="Listenabsatz"/>
              <w:numPr>
                <w:ilvl w:val="1"/>
                <w:numId w:val="11"/>
              </w:numPr>
            </w:pPr>
            <w:r>
              <w:t>PHASE III</w:t>
            </w:r>
          </w:p>
          <w:p>
            <w:pPr>
              <w:pStyle w:val="Listenabsatz"/>
              <w:ind w:left="1080"/>
            </w:pPr>
            <w:r>
              <w:t>Vollständige Rückkehr an Arbeitsplätze</w:t>
            </w:r>
          </w:p>
          <w:p>
            <w:pPr>
              <w:pStyle w:val="Listenabsatz"/>
              <w:ind w:left="1080"/>
            </w:pPr>
            <w:r>
              <w:t>Besuche in Altersheimen und Krankenhäusern erlaubt; Gefährdete Bevölkerungsgruppen sollen aber weiterhin Abstand zu anderen Menschen einhalten; Gefährdete Bevölkerung nicht genau definiert.</w:t>
            </w:r>
          </w:p>
          <w:p>
            <w:pPr>
              <w:pStyle w:val="Listenabsatz"/>
              <w:numPr>
                <w:ilvl w:val="0"/>
                <w:numId w:val="11"/>
              </w:numPr>
              <w:ind w:left="448" w:hanging="357"/>
            </w:pPr>
            <w:r>
              <w:t xml:space="preserve">Länder mit 7.000 – 70.000 Fällen: </w:t>
            </w:r>
          </w:p>
          <w:p>
            <w:pPr>
              <w:pStyle w:val="Listenabsatz"/>
              <w:numPr>
                <w:ilvl w:val="1"/>
                <w:numId w:val="11"/>
              </w:numPr>
            </w:pPr>
            <w:r>
              <w:t xml:space="preserve">Keine große Veränderung seit gestern, Russland: steigender Trend bei hoher Reproduktionszahl; </w:t>
            </w:r>
          </w:p>
          <w:p>
            <w:pPr>
              <w:pStyle w:val="Listenabsatz"/>
              <w:numPr>
                <w:ilvl w:val="1"/>
                <w:numId w:val="11"/>
              </w:numPr>
            </w:pPr>
            <w:r>
              <w:t xml:space="preserve">Anstieg der Todesfälle in China ist auf die Aufarbeitung der Daten der letzten Monate zurückzuführen. Anstieg bei Frankreich ist am ehesten ein Meldeartefakt, wird abgeklärt. </w:t>
            </w:r>
          </w:p>
          <w:p>
            <w:pPr>
              <w:pStyle w:val="Listenabsatz"/>
              <w:numPr>
                <w:ilvl w:val="0"/>
                <w:numId w:val="11"/>
              </w:numPr>
              <w:ind w:left="448" w:hanging="357"/>
            </w:pPr>
            <w:r>
              <w:t xml:space="preserve">Länder mit 1.400 – 7.000 Fällen: </w:t>
            </w:r>
          </w:p>
          <w:p>
            <w:pPr>
              <w:pStyle w:val="Listenabsatz"/>
              <w:numPr>
                <w:ilvl w:val="1"/>
                <w:numId w:val="11"/>
              </w:numPr>
            </w:pPr>
            <w:r>
              <w:t>Keine große Veränderung</w:t>
            </w:r>
          </w:p>
          <w:p>
            <w:pPr>
              <w:pStyle w:val="Listenabsatz"/>
              <w:numPr>
                <w:ilvl w:val="0"/>
                <w:numId w:val="11"/>
              </w:numPr>
            </w:pPr>
            <w:r>
              <w:t>WHO-EURO</w:t>
            </w:r>
          </w:p>
          <w:p>
            <w:pPr>
              <w:pStyle w:val="Listenabsatz"/>
              <w:numPr>
                <w:ilvl w:val="1"/>
                <w:numId w:val="11"/>
              </w:numPr>
            </w:pPr>
            <w:r>
              <w:t xml:space="preserve">Wenige Fälle in die östlichen Länder der WHO-Region können unteranderem durch sehr frühe Reiserestriktionen erklärt werden, die </w:t>
            </w:r>
            <w:r>
              <w:lastRenderedPageBreak/>
              <w:t xml:space="preserve">Entwicklung ist somit verzögert. Turkmenistan und </w:t>
            </w:r>
            <w:r>
              <w:rPr>
                <w:rStyle w:val="st"/>
              </w:rPr>
              <w:t>Tadschikistan</w:t>
            </w:r>
            <w:r>
              <w:t xml:space="preserve"> haben noch keine Fälle gemeldet und bisher kaum Maßnahmen umgesetzt. Estland berichtet eine vergleichsweise hohe Inzidenz. </w:t>
            </w:r>
          </w:p>
          <w:p>
            <w:pPr>
              <w:pStyle w:val="Listenabsatz"/>
              <w:numPr>
                <w:ilvl w:val="0"/>
                <w:numId w:val="11"/>
              </w:numPr>
            </w:pPr>
            <w:r>
              <w:t xml:space="preserve">Estland </w:t>
            </w:r>
          </w:p>
          <w:p>
            <w:pPr>
              <w:pStyle w:val="Listenabsatz"/>
              <w:numPr>
                <w:ilvl w:val="1"/>
                <w:numId w:val="11"/>
              </w:numPr>
            </w:pPr>
            <w:r>
              <w:t>Insgesamt: 1.434 Fälle; 36 Todesfälle (Fallsterblichkeit: 2,5%); 137 aktuell hospitalisiert (10 ICU); 33 genesen</w:t>
            </w:r>
          </w:p>
          <w:p>
            <w:pPr>
              <w:pStyle w:val="Listenabsatz"/>
              <w:numPr>
                <w:ilvl w:val="1"/>
                <w:numId w:val="11"/>
              </w:numPr>
            </w:pPr>
            <w:r>
              <w:t xml:space="preserve">Inzidenz: 108,5 / 100.000 </w:t>
            </w:r>
            <w:proofErr w:type="spellStart"/>
            <w:r>
              <w:t>Ew</w:t>
            </w:r>
            <w:proofErr w:type="spellEnd"/>
            <w:r>
              <w:t>.</w:t>
            </w:r>
          </w:p>
          <w:p>
            <w:pPr>
              <w:pStyle w:val="Listenabsatz"/>
              <w:numPr>
                <w:ilvl w:val="1"/>
                <w:numId w:val="11"/>
              </w:numPr>
            </w:pPr>
            <w:r>
              <w:t>Großes Infektionsgeschehen durch Import von SARS-CoV-2 im Rahmen eines Volleyball-Turniers  durch einen italienischen Volleyballclub auf der Insel Saaremaa. Weitere Verbreitung durch später stattfindendes Champagnerfest (50% der Inseleinwohner infiziert)</w:t>
            </w:r>
          </w:p>
          <w:p>
            <w:pPr>
              <w:pStyle w:val="Listenabsatz"/>
              <w:numPr>
                <w:ilvl w:val="1"/>
                <w:numId w:val="11"/>
              </w:numPr>
            </w:pPr>
            <w:r>
              <w:t xml:space="preserve">Dieses </w:t>
            </w:r>
            <w:proofErr w:type="spellStart"/>
            <w:r>
              <w:t>Geschehen</w:t>
            </w:r>
            <w:proofErr w:type="spellEnd"/>
            <w:r>
              <w:t xml:space="preserve"> ist für einen großen Teil der Gesamtfälle </w:t>
            </w:r>
            <w:proofErr w:type="spellStart"/>
            <w:r>
              <w:t>vernatwortlich</w:t>
            </w:r>
            <w:proofErr w:type="spellEnd"/>
            <w:r>
              <w:t>, Zahl der Neuinfektionen ist rückläufig.</w:t>
            </w:r>
          </w:p>
          <w:p>
            <w:pPr>
              <w:pStyle w:val="Listenabsatz"/>
              <w:numPr>
                <w:ilvl w:val="1"/>
                <w:numId w:val="11"/>
              </w:numPr>
            </w:pPr>
            <w:r>
              <w:t>Aktuelle Verdopplungszeit: 16 Tage</w:t>
            </w:r>
          </w:p>
          <w:p>
            <w:pPr>
              <w:pStyle w:val="Listenabsatz"/>
              <w:numPr>
                <w:ilvl w:val="1"/>
                <w:numId w:val="11"/>
              </w:numPr>
            </w:pPr>
            <w:r>
              <w:t>Ausnahmezustand seit 13.03.2020 (bis vorerst 01.05.) – Ende April soll über Lockerungen entschieden werden</w:t>
            </w:r>
          </w:p>
          <w:p>
            <w:pPr>
              <w:pStyle w:val="Listenabsatz"/>
              <w:numPr>
                <w:ilvl w:val="1"/>
                <w:numId w:val="11"/>
              </w:numPr>
            </w:pPr>
            <w:r>
              <w:t>Tests gesamt: 36.024, Positivanteil: 4,0%</w:t>
            </w:r>
          </w:p>
          <w:p>
            <w:pPr>
              <w:pStyle w:val="Listenabsatz"/>
              <w:numPr>
                <w:ilvl w:val="1"/>
                <w:numId w:val="11"/>
              </w:numPr>
            </w:pPr>
            <w:r>
              <w:t xml:space="preserve">Exit-Plan besteht aus 7 Bewertungskriterien: </w:t>
            </w:r>
          </w:p>
          <w:p>
            <w:pPr>
              <w:pStyle w:val="Listenabsatz"/>
              <w:ind w:left="1080"/>
            </w:pPr>
            <w:r>
              <w:t>1. Gesamtzahl der bekannten Infektionen, 2. Zahl der hospitalisierten Fälle, 3. Zahl der Fälle an Beatmungsgeräten, 4. Situation bei geplanten (elektiven) Behandlungen, d.h. Wartelisten für die Routinebehandlung von Patienten in Krankenhäusern, 5. Vorhandensein von persönlicher Schutzausrüstung (PSA) und sichtbare Bereitschaft zur Abwehr der nächsten möglichen Viruswelle, 6. Zustand der Wirtschaft, einschließlich der Arbeitslosenquote, 7. Mentale Bereitschaft der Bevölkerung, Einschränkungen zu (er-)tragen</w:t>
            </w:r>
          </w:p>
          <w:p>
            <w:pPr>
              <w:pStyle w:val="Listenabsatz"/>
              <w:numPr>
                <w:ilvl w:val="0"/>
                <w:numId w:val="11"/>
              </w:numPr>
            </w:pPr>
            <w:r>
              <w:t xml:space="preserve">Polen </w:t>
            </w:r>
          </w:p>
          <w:p>
            <w:pPr>
              <w:pStyle w:val="Listenabsatz"/>
              <w:numPr>
                <w:ilvl w:val="1"/>
                <w:numId w:val="11"/>
              </w:numPr>
            </w:pPr>
            <w:r>
              <w:t xml:space="preserve">7.582 Fälle; 286 Todesfälle (Fallsterblichkeit: 3,8%); 2.607 aktuell hospitalisiert; 774 genesen; Inzidenz 20,0/ 100.000 </w:t>
            </w:r>
            <w:proofErr w:type="spellStart"/>
            <w:r>
              <w:t>Ew</w:t>
            </w:r>
            <w:proofErr w:type="spellEnd"/>
            <w:r>
              <w:t>.</w:t>
            </w:r>
          </w:p>
          <w:p>
            <w:pPr>
              <w:pStyle w:val="Listenabsatz"/>
              <w:numPr>
                <w:ilvl w:val="1"/>
                <w:numId w:val="11"/>
              </w:numPr>
            </w:pPr>
            <w:r>
              <w:t>Erster Fall am 04.03.2020 (aus Deutschland)</w:t>
            </w:r>
          </w:p>
          <w:p>
            <w:pPr>
              <w:pStyle w:val="Listenabsatz"/>
              <w:numPr>
                <w:ilvl w:val="1"/>
                <w:numId w:val="11"/>
              </w:numPr>
            </w:pPr>
            <w:r>
              <w:t xml:space="preserve">Verdopplungszeit: Gesamtfallzahlen: 13 Tage; </w:t>
            </w:r>
          </w:p>
          <w:p>
            <w:pPr>
              <w:pStyle w:val="Listenabsatz"/>
              <w:numPr>
                <w:ilvl w:val="1"/>
                <w:numId w:val="11"/>
              </w:numPr>
            </w:pPr>
            <w:r>
              <w:t>Effektive Reproduktionszahl:  0,9</w:t>
            </w:r>
          </w:p>
          <w:p>
            <w:pPr>
              <w:pStyle w:val="Listenabsatz"/>
              <w:numPr>
                <w:ilvl w:val="1"/>
                <w:numId w:val="11"/>
              </w:numPr>
            </w:pPr>
            <w:r>
              <w:t>Tests gesamt (Stand 15.04.): 156.493, Positivanteil: 4,7%</w:t>
            </w:r>
          </w:p>
          <w:p>
            <w:pPr>
              <w:pStyle w:val="Listenabsatz"/>
              <w:numPr>
                <w:ilvl w:val="1"/>
                <w:numId w:val="11"/>
              </w:numPr>
            </w:pPr>
            <w:r>
              <w:t xml:space="preserve">20.000 Tests pro Tag möglich (ca. 40% genutzt); </w:t>
            </w:r>
            <w:r>
              <w:lastRenderedPageBreak/>
              <w:t>geringe Nutzung wird im Land kontrovers diskutiert und liegt am ehesten am Mangel der Ausstattung des Personals (</w:t>
            </w:r>
            <w:proofErr w:type="spellStart"/>
            <w:r>
              <w:t>bsp.</w:t>
            </w:r>
            <w:proofErr w:type="spellEnd"/>
            <w:r>
              <w:t xml:space="preserve"> PPE um Testung durchzuführen). </w:t>
            </w:r>
          </w:p>
          <w:p>
            <w:pPr>
              <w:pStyle w:val="Listenabsatz"/>
              <w:numPr>
                <w:ilvl w:val="1"/>
                <w:numId w:val="11"/>
              </w:numPr>
            </w:pPr>
            <w:r>
              <w:t xml:space="preserve">Krankenhausbetten: 6,6/1.000 </w:t>
            </w:r>
            <w:proofErr w:type="spellStart"/>
            <w:r>
              <w:t>Ew</w:t>
            </w:r>
            <w:proofErr w:type="spellEnd"/>
            <w:r>
              <w:t xml:space="preserve">.; ICU-Betten: 6,9/100.000 </w:t>
            </w:r>
            <w:proofErr w:type="spellStart"/>
            <w:r>
              <w:t>Ew</w:t>
            </w:r>
            <w:proofErr w:type="spellEnd"/>
            <w:r>
              <w:t>.</w:t>
            </w:r>
          </w:p>
          <w:p>
            <w:pPr>
              <w:pStyle w:val="Listenabsatz"/>
              <w:numPr>
                <w:ilvl w:val="1"/>
                <w:numId w:val="11"/>
              </w:numPr>
            </w:pPr>
            <w:r>
              <w:t xml:space="preserve">Am 14. April landete der erste von zwei Transporten von Hilfsgütern aus China in Polen um den Versorgungsmangel zu entlasten. </w:t>
            </w:r>
          </w:p>
          <w:p>
            <w:pPr>
              <w:pStyle w:val="Listenabsatz"/>
              <w:numPr>
                <w:ilvl w:val="1"/>
                <w:numId w:val="11"/>
              </w:numPr>
            </w:pPr>
            <w:r>
              <w:t>Maßnahmen insgesamt sehr restriktiv; erste Vorsichtige Lockerung am Montag: Aufenthalt in Wäldern, Parks und Grünanlagen wieder erlaubt und größere Zahl von Kunden in Lebensmittelgeschäfte zugelassen.</w:t>
            </w:r>
          </w:p>
          <w:p/>
          <w:p>
            <w:pPr>
              <w:spacing w:line="276" w:lineRule="auto"/>
              <w:rPr>
                <w:b/>
              </w:rPr>
            </w:pPr>
            <w:r>
              <w:rPr>
                <w:b/>
              </w:rPr>
              <w:t xml:space="preserve">National </w:t>
            </w:r>
          </w:p>
          <w:p>
            <w:pPr>
              <w:pStyle w:val="Listenabsatz"/>
              <w:numPr>
                <w:ilvl w:val="0"/>
                <w:numId w:val="11"/>
              </w:numPr>
              <w:ind w:left="450"/>
              <w:rPr>
                <w:i/>
              </w:rPr>
            </w:pPr>
            <w:r>
              <w:rPr>
                <w:b/>
              </w:rPr>
              <w:t>Fallzahlen, Todesfälle, Inzidenz, Trend</w:t>
            </w:r>
            <w:r>
              <w:t xml:space="preserve"> (Folien </w:t>
            </w:r>
            <w:hyperlink r:id="rId9" w:history="1">
              <w:r>
                <w:rPr>
                  <w:rStyle w:val="Hyperlink"/>
                </w:rPr>
                <w:t>hier</w:t>
              </w:r>
            </w:hyperlink>
            <w:r>
              <w:t xml:space="preserve">) </w:t>
            </w:r>
          </w:p>
          <w:p>
            <w:pPr>
              <w:pStyle w:val="Listenabsatz"/>
              <w:numPr>
                <w:ilvl w:val="1"/>
                <w:numId w:val="11"/>
              </w:numPr>
            </w:pPr>
            <w:r>
              <w:t>Inzidenz 161, + 3.380 neue Fälle</w:t>
            </w:r>
          </w:p>
          <w:p>
            <w:pPr>
              <w:pStyle w:val="Listenabsatz"/>
              <w:numPr>
                <w:ilvl w:val="1"/>
                <w:numId w:val="11"/>
              </w:numPr>
            </w:pPr>
            <w:r>
              <w:t>+299 Todesfälle, Anteil Verstorbener steigt auf 2,9</w:t>
            </w:r>
          </w:p>
          <w:p>
            <w:pPr>
              <w:pStyle w:val="Listenabsatz"/>
              <w:numPr>
                <w:ilvl w:val="1"/>
                <w:numId w:val="11"/>
              </w:numPr>
            </w:pPr>
            <w:proofErr w:type="spellStart"/>
            <w:r>
              <w:t>Nowcasting</w:t>
            </w:r>
            <w:proofErr w:type="spellEnd"/>
            <w:r>
              <w:t xml:space="preserve"> (M. an der Heiden) Anzahl der Fälle geht zurück </w:t>
            </w:r>
          </w:p>
          <w:p>
            <w:pPr>
              <w:pStyle w:val="Listenabsatz"/>
              <w:numPr>
                <w:ilvl w:val="1"/>
                <w:numId w:val="11"/>
              </w:numPr>
            </w:pPr>
            <w:r>
              <w:t xml:space="preserve">Geschätzte R0 variiert nach BL; MV mit 1,6 (95%KI 1,1-2,1) am größten, das liegt am ehesten an wenigen Fallzahlen, da kleine Veränderungen einen großen Effekt zeigen. </w:t>
            </w:r>
          </w:p>
          <w:p>
            <w:pPr>
              <w:pStyle w:val="Listenabsatz"/>
              <w:numPr>
                <w:ilvl w:val="1"/>
                <w:numId w:val="11"/>
              </w:numPr>
            </w:pPr>
            <w:r>
              <w:t>Alters- &amp; Geschlechtsverteilung: keine großen Änderungen</w:t>
            </w:r>
          </w:p>
          <w:p>
            <w:pPr>
              <w:pStyle w:val="Listenabsatz"/>
              <w:numPr>
                <w:ilvl w:val="1"/>
                <w:numId w:val="11"/>
              </w:numPr>
            </w:pPr>
            <w:r>
              <w:t xml:space="preserve">DIVI ist seit dem 16.04.2020 für Kliniken verpflichtend und das zeigt sich in den Daten: </w:t>
            </w:r>
          </w:p>
          <w:p>
            <w:pPr>
              <w:pStyle w:val="Listenabsatz"/>
              <w:ind w:left="1080"/>
            </w:pPr>
            <w:r>
              <w:t xml:space="preserve">Anzahl meldender Kliniken: 1.138; 2.868 Fälle auf IST, davon 2.145 beatmet. </w:t>
            </w:r>
          </w:p>
          <w:p>
            <w:pPr>
              <w:pStyle w:val="Listenabsatz"/>
              <w:ind w:left="1080"/>
            </w:pPr>
            <w:r>
              <w:t>Gesamtkapazität: ca. 29.000</w:t>
            </w:r>
          </w:p>
          <w:p>
            <w:pPr>
              <w:pStyle w:val="Listenabsatz"/>
              <w:numPr>
                <w:ilvl w:val="1"/>
                <w:numId w:val="11"/>
              </w:numPr>
            </w:pPr>
            <w:r>
              <w:t xml:space="preserve">Nosokomiale Ausbrüche: </w:t>
            </w:r>
          </w:p>
          <w:p>
            <w:pPr>
              <w:pStyle w:val="Listenabsatz"/>
              <w:ind w:left="1080"/>
            </w:pPr>
            <w:r>
              <w:t xml:space="preserve">15.Meldewoche: 27 mit 181 Fällen, Anstieg/Nachmeldungen möglich. </w:t>
            </w:r>
          </w:p>
          <w:p>
            <w:pPr>
              <w:pStyle w:val="Listenabsatz"/>
              <w:ind w:left="1080"/>
            </w:pPr>
            <w:r>
              <w:t xml:space="preserve">Ausbrüche sind schwer aus den Meldedaten zu extrahieren und werden unterschiedliche gemeldet. Ab nächste Woche gibt es dafür eine eigene Meldekategorie. </w:t>
            </w:r>
          </w:p>
          <w:p>
            <w:pPr>
              <w:pStyle w:val="Listenabsatz"/>
              <w:ind w:left="1080"/>
            </w:pPr>
            <w:r>
              <w:t xml:space="preserve">FG37 betreut einige Ausbrüche (ca. 7) und berät telefonisch. Papier zu Ausbrüchen in Krankenhäusern geht heute online </w:t>
            </w:r>
          </w:p>
          <w:p>
            <w:pPr>
              <w:pStyle w:val="Listenabsatz"/>
              <w:ind w:left="1080"/>
            </w:pPr>
            <w:r>
              <w:t xml:space="preserve">U. Grothe (FG32) und S. Buda (FG36) erstellen ein Papier zu Ausbruchsmanagement (Auftrag Fr. Merkel an Hr. Wieler) </w:t>
            </w:r>
          </w:p>
          <w:p>
            <w:pPr>
              <w:pStyle w:val="Listenabsatz"/>
              <w:numPr>
                <w:ilvl w:val="1"/>
                <w:numId w:val="11"/>
              </w:numPr>
              <w:rPr>
                <w:b/>
              </w:rPr>
            </w:pPr>
            <w:r>
              <w:t xml:space="preserve">Fälle unter Personal in med. Einrichtungen: </w:t>
            </w:r>
            <w:r>
              <w:lastRenderedPageBreak/>
              <w:t>6.711/6% der Gesamtfälle</w:t>
            </w:r>
          </w:p>
          <w:p>
            <w:pPr>
              <w:pStyle w:val="Listenabsatz"/>
              <w:numPr>
                <w:ilvl w:val="1"/>
                <w:numId w:val="11"/>
              </w:numPr>
              <w:spacing w:after="120"/>
              <w:ind w:left="1077" w:hanging="357"/>
              <w:rPr>
                <w:i/>
              </w:rPr>
            </w:pPr>
            <w:r>
              <w:t xml:space="preserve">7-Tage-Inzidenz: wenig verändert; 4 LK mit Inzidenz 101-500 Fälle/100 000 </w:t>
            </w:r>
            <w:proofErr w:type="spellStart"/>
            <w:r>
              <w:t>Ew</w:t>
            </w:r>
            <w:proofErr w:type="spellEnd"/>
            <w:r>
              <w:t>.</w:t>
            </w:r>
          </w:p>
          <w:p>
            <w:pPr>
              <w:pStyle w:val="Listenabsatz"/>
              <w:numPr>
                <w:ilvl w:val="1"/>
                <w:numId w:val="11"/>
              </w:numPr>
              <w:spacing w:after="120"/>
              <w:ind w:left="1077" w:hanging="357"/>
              <w:rPr>
                <w:i/>
              </w:rPr>
            </w:pPr>
            <w:r>
              <w:t xml:space="preserve">Trend in den BL unverändert; </w:t>
            </w:r>
          </w:p>
          <w:p>
            <w:pPr>
              <w:pStyle w:val="Listenabsatz"/>
              <w:numPr>
                <w:ilvl w:val="1"/>
                <w:numId w:val="11"/>
              </w:numPr>
              <w:spacing w:after="120"/>
              <w:ind w:left="1077" w:hanging="357"/>
              <w:rPr>
                <w:i/>
              </w:rPr>
            </w:pPr>
            <w:r>
              <w:t>Eintrag aus dem Ausland nahezu nicht existent</w:t>
            </w:r>
          </w:p>
          <w:p>
            <w:pPr>
              <w:pStyle w:val="Listenabsatz"/>
              <w:numPr>
                <w:ilvl w:val="1"/>
                <w:numId w:val="11"/>
              </w:numPr>
              <w:spacing w:after="120"/>
              <w:ind w:left="1077" w:hanging="357"/>
              <w:rPr>
                <w:i/>
              </w:rPr>
            </w:pPr>
            <w:r>
              <w:t xml:space="preserve">EURO-MOMO: Mortalität in einigen Ländern mit Ausschlag nach oben sichtbar, Veränderungen in den Zahlen, durch Nachmeldung, noch möglich  </w:t>
            </w:r>
          </w:p>
        </w:tc>
        <w:tc>
          <w:tcPr>
            <w:tcW w:w="1491" w:type="dxa"/>
          </w:tcPr>
          <w:p/>
          <w:p/>
          <w:p>
            <w:r>
              <w:t>ZIG1</w:t>
            </w:r>
          </w:p>
          <w:p/>
          <w:p/>
          <w:p/>
          <w:p/>
          <w:p/>
          <w:p/>
          <w:p/>
          <w:p/>
          <w:p/>
          <w:p/>
          <w:p/>
          <w:p/>
          <w:p/>
          <w:p/>
          <w:p/>
          <w:p/>
          <w:p/>
          <w:p/>
          <w:p/>
          <w:p/>
          <w:p/>
          <w:p/>
          <w:p/>
          <w:p/>
          <w:p/>
          <w:p/>
          <w:p/>
          <w:p/>
          <w:p/>
          <w:p/>
          <w:p/>
          <w:p/>
          <w:p/>
          <w:p/>
          <w:p/>
          <w:p/>
          <w:p/>
          <w:p/>
          <w:p/>
          <w:p/>
          <w:p/>
          <w:p/>
          <w:p/>
          <w:p/>
          <w:p/>
          <w:p/>
          <w:p/>
          <w:p/>
          <w:p/>
          <w:p/>
          <w:p/>
          <w:p/>
          <w:p/>
          <w:p/>
          <w:p/>
          <w:p/>
          <w:p/>
          <w:p/>
          <w:p/>
          <w:p>
            <w:r>
              <w:t>FG32</w:t>
            </w:r>
          </w:p>
          <w:p/>
          <w:p/>
          <w:p/>
          <w:p/>
          <w:p/>
          <w:p/>
          <w:p/>
          <w:p/>
          <w:p/>
          <w:p/>
          <w:p/>
          <w:p/>
          <w:p/>
          <w:p/>
          <w:p/>
          <w:p/>
          <w:p/>
          <w:p/>
          <w:p/>
          <w:p/>
          <w:p/>
          <w:p/>
          <w:p/>
          <w:p/>
          <w:p/>
          <w:p/>
          <w:p/>
          <w:p/>
          <w:p/>
          <w:p/>
          <w:p/>
          <w:p/>
          <w:p/>
          <w:p/>
          <w:p/>
          <w:p/>
          <w:p/>
          <w:p/>
          <w:p/>
          <w:p/>
          <w:p/>
          <w:p/>
          <w:p/>
          <w:p/>
          <w:p/>
          <w:p/>
          <w:p/>
          <w:p/>
          <w:p/>
          <w:p/>
          <w:p/>
          <w:p/>
          <w:p/>
          <w:p/>
          <w:p/>
          <w:p/>
          <w:p/>
          <w:p/>
          <w:p/>
          <w:p/>
          <w:p/>
          <w:p/>
          <w:p/>
          <w:p/>
          <w:p/>
          <w:p>
            <w:r>
              <w:t>IBBS</w:t>
            </w:r>
          </w:p>
          <w:p/>
          <w:p/>
          <w:p/>
          <w:p/>
          <w:p/>
        </w:tc>
      </w:tr>
      <w:tr>
        <w:tc>
          <w:tcPr>
            <w:tcW w:w="762" w:type="dxa"/>
          </w:tcPr>
          <w:p>
            <w:pPr>
              <w:rPr>
                <w:b/>
                <w:sz w:val="28"/>
                <w:szCs w:val="28"/>
              </w:rPr>
            </w:pPr>
            <w:r>
              <w:rPr>
                <w:b/>
                <w:sz w:val="28"/>
                <w:szCs w:val="28"/>
              </w:rPr>
              <w:lastRenderedPageBreak/>
              <w:t>2</w:t>
            </w:r>
          </w:p>
        </w:tc>
        <w:tc>
          <w:tcPr>
            <w:tcW w:w="6434" w:type="dxa"/>
          </w:tcPr>
          <w:p>
            <w:pPr>
              <w:rPr>
                <w:b/>
                <w:sz w:val="28"/>
                <w:szCs w:val="28"/>
              </w:rPr>
            </w:pPr>
            <w:r>
              <w:rPr>
                <w:b/>
                <w:sz w:val="28"/>
                <w:szCs w:val="28"/>
              </w:rPr>
              <w:t>Erkenntnisse über Erreger</w:t>
            </w:r>
          </w:p>
          <w:p>
            <w:pPr>
              <w:numPr>
                <w:ilvl w:val="0"/>
                <w:numId w:val="32"/>
              </w:numPr>
              <w:ind w:left="448" w:hanging="357"/>
            </w:pPr>
            <w:r>
              <w:t xml:space="preserve">Beteiligung von Herzmuskel (Refraktäre Arrhythmien) im Rahmen der COVID-19-Erkranung </w:t>
            </w:r>
          </w:p>
          <w:p>
            <w:pPr>
              <w:ind w:left="448"/>
            </w:pPr>
            <w:r>
              <w:t xml:space="preserve">Auffällige Beobachtungen aus den USA bekannt. In Italien wurden vermehrt Myo- und Endokarditiden im Rahmen von Obduktionen beschrieben. In Deutschland besteht ein enger Austausch mit Intensivmedizinern. Es wurden vereinzelt Tachykardien beobachtet. Grundsätzlich werden kardiale Erkrankungen und Symptome in diesem Zusammenhang eng beobachtet. </w:t>
            </w:r>
          </w:p>
          <w:p>
            <w:pPr>
              <w:ind w:left="448"/>
            </w:pPr>
            <w:r>
              <w:t xml:space="preserve"> </w:t>
            </w:r>
          </w:p>
        </w:tc>
        <w:tc>
          <w:tcPr>
            <w:tcW w:w="1491" w:type="dxa"/>
          </w:tcPr>
          <w:p/>
          <w:p>
            <w:proofErr w:type="spellStart"/>
            <w:r>
              <w:t>Präs</w:t>
            </w:r>
            <w:proofErr w:type="spellEnd"/>
            <w:r>
              <w:t>/alle</w:t>
            </w:r>
          </w:p>
          <w:p/>
        </w:tc>
      </w:tr>
      <w:tr>
        <w:trPr>
          <w:trHeight w:val="319"/>
        </w:trPr>
        <w:tc>
          <w:tcPr>
            <w:tcW w:w="762" w:type="dxa"/>
          </w:tcPr>
          <w:p>
            <w:pPr>
              <w:rPr>
                <w:b/>
                <w:sz w:val="28"/>
                <w:szCs w:val="28"/>
              </w:rPr>
            </w:pPr>
            <w:r>
              <w:rPr>
                <w:b/>
                <w:sz w:val="28"/>
                <w:szCs w:val="28"/>
              </w:rPr>
              <w:t>3</w:t>
            </w:r>
          </w:p>
        </w:tc>
        <w:tc>
          <w:tcPr>
            <w:tcW w:w="6434" w:type="dxa"/>
          </w:tcPr>
          <w:p>
            <w:pPr>
              <w:rPr>
                <w:b/>
                <w:sz w:val="28"/>
                <w:szCs w:val="28"/>
              </w:rPr>
            </w:pPr>
            <w:r>
              <w:rPr>
                <w:b/>
                <w:sz w:val="28"/>
                <w:szCs w:val="28"/>
              </w:rPr>
              <w:t>Aktuelle Risikobewertung</w:t>
            </w:r>
          </w:p>
          <w:p>
            <w:pPr>
              <w:numPr>
                <w:ilvl w:val="0"/>
                <w:numId w:val="32"/>
              </w:numPr>
              <w:ind w:left="448" w:hanging="357"/>
              <w:rPr>
                <w:b/>
              </w:rPr>
            </w:pPr>
            <w:r>
              <w:t>Nicht besprochen</w:t>
            </w:r>
          </w:p>
        </w:tc>
        <w:tc>
          <w:tcPr>
            <w:tcW w:w="1491" w:type="dxa"/>
          </w:tcPr>
          <w:p/>
          <w:p/>
        </w:tc>
      </w:tr>
      <w:tr>
        <w:tc>
          <w:tcPr>
            <w:tcW w:w="762" w:type="dxa"/>
          </w:tcPr>
          <w:p>
            <w:pPr>
              <w:rPr>
                <w:b/>
                <w:sz w:val="28"/>
                <w:szCs w:val="28"/>
              </w:rPr>
            </w:pPr>
            <w:r>
              <w:rPr>
                <w:b/>
                <w:sz w:val="28"/>
                <w:szCs w:val="28"/>
              </w:rPr>
              <w:t>4</w:t>
            </w:r>
          </w:p>
        </w:tc>
        <w:tc>
          <w:tcPr>
            <w:tcW w:w="6434" w:type="dxa"/>
          </w:tcPr>
          <w:p>
            <w:pPr>
              <w:rPr>
                <w:b/>
                <w:sz w:val="28"/>
                <w:szCs w:val="28"/>
              </w:rPr>
            </w:pPr>
            <w:r>
              <w:rPr>
                <w:b/>
                <w:sz w:val="28"/>
                <w:szCs w:val="28"/>
              </w:rPr>
              <w:t>Kommunikation</w:t>
            </w:r>
          </w:p>
          <w:p>
            <w:pPr>
              <w:rPr>
                <w:b/>
              </w:rPr>
            </w:pPr>
            <w:r>
              <w:rPr>
                <w:b/>
              </w:rPr>
              <w:t>BZgA</w:t>
            </w:r>
          </w:p>
          <w:p>
            <w:pPr>
              <w:pStyle w:val="Listenabsatz"/>
              <w:numPr>
                <w:ilvl w:val="0"/>
                <w:numId w:val="28"/>
              </w:numPr>
              <w:ind w:left="450"/>
            </w:pPr>
            <w:r>
              <w:t xml:space="preserve">Erfassungen von im Verlauf wechselnder/widersprüchlichen Testergebnisse auf EU –Ebene sind nicht bekannt.  Studie zu Genesenen ist geplant. In den </w:t>
            </w:r>
            <w:proofErr w:type="spellStart"/>
            <w:r>
              <w:t>Entlasskriterien</w:t>
            </w:r>
            <w:proofErr w:type="spellEnd"/>
            <w:r>
              <w:t xml:space="preserve"> wird beschrieben, dass ein  positiver PCR-Nachweis bei einem Genesen nicht zwangsläufig mit einer </w:t>
            </w:r>
            <w:proofErr w:type="spellStart"/>
            <w:r>
              <w:t>Infektiösität</w:t>
            </w:r>
            <w:proofErr w:type="spellEnd"/>
            <w:r>
              <w:t xml:space="preserve"> einhergehen muss. Für diese Fälle sollte immer eine Viruskultur angelegt werden. Diese Konstellation der Testergebnisse (Testung </w:t>
            </w:r>
            <w:proofErr w:type="spellStart"/>
            <w:r>
              <w:t>pos-neg-pos</w:t>
            </w:r>
            <w:proofErr w:type="spellEnd"/>
            <w:r>
              <w:t xml:space="preserve">) ist bei Erkrankung der tiefen Lungenabschnitte nicht ungewöhnlich. Es bedarf einer guten Kommunikation nach außen. </w:t>
            </w:r>
          </w:p>
          <w:p>
            <w:pPr>
              <w:pStyle w:val="Listenabsatz"/>
              <w:numPr>
                <w:ilvl w:val="0"/>
                <w:numId w:val="28"/>
              </w:numPr>
              <w:ind w:left="450"/>
            </w:pPr>
            <w:r>
              <w:t xml:space="preserve">Papier für stationäre Pflegeeinrichtungen, dass auf Wunsch des BMGs erstellt wurde, wird gerade überarbeitet. Rückmeldungen aus der Praxis und Abstimmung mit den Fachverbänden werden eingearbeitet. </w:t>
            </w:r>
          </w:p>
          <w:p>
            <w:pPr>
              <w:pStyle w:val="Listenabsatz"/>
              <w:ind w:left="450"/>
            </w:pPr>
          </w:p>
          <w:p>
            <w:r>
              <w:rPr>
                <w:b/>
              </w:rPr>
              <w:t>Presse</w:t>
            </w:r>
            <w:r>
              <w:t>:</w:t>
            </w:r>
          </w:p>
          <w:p>
            <w:pPr>
              <w:pStyle w:val="Listenabsatz"/>
              <w:ind w:left="450"/>
            </w:pPr>
          </w:p>
          <w:p>
            <w:pPr>
              <w:pStyle w:val="Listenabsatz"/>
              <w:ind w:left="450"/>
            </w:pPr>
            <w:proofErr w:type="spellStart"/>
            <w:r>
              <w:t>Entlasskriterien</w:t>
            </w:r>
            <w:proofErr w:type="spellEnd"/>
            <w:r>
              <w:t xml:space="preserve"> fordern zwei negative PCR. Es gibt Anfragen zum </w:t>
            </w:r>
            <w:proofErr w:type="spellStart"/>
            <w:r>
              <w:t>Poolen</w:t>
            </w:r>
            <w:proofErr w:type="spellEnd"/>
            <w:r>
              <w:t xml:space="preserve"> von Proben. IBBS hat das Papier entsprechend angepasst. </w:t>
            </w:r>
          </w:p>
          <w:p>
            <w:pPr>
              <w:pStyle w:val="Listenabsatz"/>
              <w:ind w:left="450"/>
            </w:pPr>
            <w:r>
              <w:t>14.04.2020 ist Information und Empfehlung zu Mund-</w:t>
            </w:r>
            <w:r>
              <w:lastRenderedPageBreak/>
              <w:t xml:space="preserve">Nasen-Bedeckung erschienen </w:t>
            </w:r>
          </w:p>
          <w:p>
            <w:pPr>
              <w:pStyle w:val="Listenabsatz"/>
              <w:ind w:left="450"/>
            </w:pPr>
            <w:proofErr w:type="spellStart"/>
            <w:r>
              <w:t>EpiBull</w:t>
            </w:r>
            <w:proofErr w:type="spellEnd"/>
            <w:r>
              <w:t xml:space="preserve">-Artikel zum Ausbruchgeschehen im Altenpflegeheim in Wittenberg von C. Frank wurde publiziert. Die Unterstützung erfolgte im Rahmen eines Amtshilfeersuchens. </w:t>
            </w:r>
          </w:p>
          <w:p>
            <w:pPr>
              <w:pStyle w:val="Listenabsatz"/>
              <w:ind w:left="450"/>
            </w:pPr>
            <w:r>
              <w:t>Weiteres Dokument zu Schulschließungen wird am Montag veröffentlicht</w:t>
            </w:r>
          </w:p>
          <w:p>
            <w:pPr>
              <w:pStyle w:val="Listenabsatz"/>
              <w:ind w:left="450"/>
            </w:pPr>
            <w:r>
              <w:t xml:space="preserve">Es gibt viele Anfragen von Schulen und Abi-jahrgängen über das Presspostfach. </w:t>
            </w:r>
          </w:p>
          <w:p>
            <w:pPr>
              <w:pStyle w:val="Listenabsatz"/>
              <w:ind w:left="450"/>
            </w:pPr>
          </w:p>
          <w:p>
            <w:pPr>
              <w:pStyle w:val="Listenabsatz"/>
              <w:ind w:left="450"/>
            </w:pPr>
            <w:r>
              <w:t xml:space="preserve">Publikation zu unterschiedlichen Surveillance/Monitoringsystemen, durch FG32 und FG36 erstellt, sollte Anfang nächster Woche fertig sein. </w:t>
            </w:r>
          </w:p>
          <w:p>
            <w:pPr>
              <w:pStyle w:val="Listenabsatz"/>
              <w:ind w:left="450"/>
            </w:pPr>
          </w:p>
          <w:p>
            <w:pPr>
              <w:rPr>
                <w:b/>
              </w:rPr>
            </w:pPr>
          </w:p>
          <w:p>
            <w:pPr>
              <w:rPr>
                <w:b/>
              </w:rPr>
            </w:pPr>
            <w:r>
              <w:rPr>
                <w:b/>
              </w:rPr>
              <w:t xml:space="preserve">Bundeswehr </w:t>
            </w:r>
          </w:p>
          <w:p>
            <w:pPr>
              <w:pStyle w:val="Listenabsatz"/>
              <w:numPr>
                <w:ilvl w:val="0"/>
                <w:numId w:val="29"/>
              </w:numPr>
              <w:ind w:left="450"/>
            </w:pPr>
            <w:r>
              <w:t xml:space="preserve">Bittet um Weiterleitung von Infos zu Unterstützung der Bundeswehr bei </w:t>
            </w:r>
            <w:proofErr w:type="spellStart"/>
            <w:r>
              <w:t>KoNa</w:t>
            </w:r>
            <w:proofErr w:type="spellEnd"/>
            <w:r>
              <w:t xml:space="preserve">. Aktuell sind keine Infos bekannt. In den Nachrichten wurde berichtet, dass 25 Bundeswehrangehörige telefonisch </w:t>
            </w:r>
            <w:proofErr w:type="spellStart"/>
            <w:r>
              <w:t>KoNa</w:t>
            </w:r>
            <w:proofErr w:type="spellEnd"/>
            <w:r>
              <w:t xml:space="preserve">-Aktivitäten unterstützen würden. </w:t>
            </w:r>
          </w:p>
          <w:p>
            <w:r>
              <w:t xml:space="preserve"> </w:t>
            </w:r>
          </w:p>
        </w:tc>
        <w:tc>
          <w:tcPr>
            <w:tcW w:w="1491" w:type="dxa"/>
          </w:tcPr>
          <w:p>
            <w:pPr>
              <w:rPr>
                <w:sz w:val="28"/>
                <w:szCs w:val="28"/>
              </w:rPr>
            </w:pPr>
          </w:p>
          <w:p/>
          <w:p/>
          <w:p>
            <w:r>
              <w:t xml:space="preserve">BZgA/alle </w:t>
            </w:r>
          </w:p>
          <w:p/>
          <w:p/>
          <w:p/>
          <w:p/>
          <w:p/>
          <w:p/>
          <w:p/>
          <w:p/>
          <w:p/>
          <w:p/>
          <w:p/>
          <w:p/>
          <w:p/>
          <w:p/>
          <w:p/>
          <w:p/>
          <w:p/>
          <w:p>
            <w:r>
              <w:t>Presse</w:t>
            </w:r>
          </w:p>
          <w:p/>
          <w:p/>
          <w:p/>
          <w:p/>
          <w:p/>
          <w:p/>
          <w:p/>
          <w:p/>
          <w:p/>
          <w:p/>
          <w:p/>
          <w:p/>
          <w:p/>
          <w:p>
            <w:proofErr w:type="spellStart"/>
            <w:r>
              <w:t>VPräs</w:t>
            </w:r>
            <w:proofErr w:type="spellEnd"/>
            <w:r>
              <w:t>/FG32/FG36</w:t>
            </w:r>
          </w:p>
          <w:p/>
          <w:p/>
          <w:p/>
          <w:p>
            <w:r>
              <w:t>BW</w:t>
            </w:r>
          </w:p>
        </w:tc>
      </w:tr>
      <w:tr>
        <w:tc>
          <w:tcPr>
            <w:tcW w:w="762" w:type="dxa"/>
          </w:tcPr>
          <w:p>
            <w:pPr>
              <w:rPr>
                <w:b/>
                <w:sz w:val="28"/>
                <w:szCs w:val="28"/>
              </w:rPr>
            </w:pPr>
            <w:r>
              <w:rPr>
                <w:b/>
                <w:sz w:val="28"/>
                <w:szCs w:val="28"/>
              </w:rPr>
              <w:lastRenderedPageBreak/>
              <w:t>5</w:t>
            </w:r>
          </w:p>
        </w:tc>
        <w:tc>
          <w:tcPr>
            <w:tcW w:w="6434" w:type="dxa"/>
          </w:tcPr>
          <w:p>
            <w:pPr>
              <w:rPr>
                <w:b/>
                <w:sz w:val="28"/>
                <w:szCs w:val="28"/>
              </w:rPr>
            </w:pPr>
            <w:r>
              <w:rPr>
                <w:b/>
                <w:sz w:val="28"/>
                <w:szCs w:val="28"/>
              </w:rPr>
              <w:t>Strategie Fragen</w:t>
            </w:r>
          </w:p>
          <w:p>
            <w:pPr>
              <w:rPr>
                <w:b/>
              </w:rPr>
            </w:pPr>
          </w:p>
          <w:p>
            <w:pPr>
              <w:rPr>
                <w:b/>
              </w:rPr>
            </w:pPr>
            <w:r>
              <w:rPr>
                <w:b/>
              </w:rPr>
              <w:t>Allgemein</w:t>
            </w:r>
          </w:p>
          <w:p>
            <w:pPr>
              <w:pStyle w:val="Listenabsatz"/>
              <w:numPr>
                <w:ilvl w:val="0"/>
                <w:numId w:val="5"/>
              </w:numPr>
              <w:rPr>
                <w:b/>
              </w:rPr>
            </w:pPr>
            <w:r>
              <w:t xml:space="preserve">Die Möglichkeit Informationen/Einzelfalldaten zu Todesfällen auf dem Dashboard runterladen zu können wird als problematisch gesehen. Diese Daten dürfen nicht in dieser Form an das ECDC weitergeleitet werden. Da das Dashboard auf Einzelfalldaten basiert, besteht diese Option und die verfügbaren Variablen wurden vom Datenschutz genehmigt. Die detaillierte Auskunft (Dashboard) sollte die zahlreichen Anfragen zu unterschiedlichen Abfragen bedienen. Dieses Problem stellt eine  grundsätzliche Entscheidung über Verfügbarkeit der Daten dar.  </w:t>
            </w:r>
          </w:p>
          <w:p>
            <w:pPr>
              <w:pStyle w:val="Listenabsatz"/>
              <w:rPr>
                <w:b/>
              </w:rPr>
            </w:pPr>
          </w:p>
          <w:p>
            <w:pPr>
              <w:rPr>
                <w:b/>
              </w:rPr>
            </w:pPr>
            <w:r>
              <w:rPr>
                <w:b/>
              </w:rPr>
              <w:t>RKI-intern</w:t>
            </w:r>
          </w:p>
          <w:p>
            <w:pPr>
              <w:pStyle w:val="Listenabsatz"/>
              <w:numPr>
                <w:ilvl w:val="0"/>
                <w:numId w:val="5"/>
              </w:numPr>
            </w:pPr>
            <w:r>
              <w:t xml:space="preserve">Serologische Studien sind generell nicht über einen längeren Beobachtungszeitraum geplant. </w:t>
            </w:r>
          </w:p>
          <w:p>
            <w:pPr>
              <w:pStyle w:val="Listenabsatz"/>
            </w:pPr>
            <w:r>
              <w:t xml:space="preserve">Möglich sind mehrere Erhebungen zu unterschiedlichen Zeitpunkten an einem Hotspot. </w:t>
            </w:r>
          </w:p>
          <w:p>
            <w:pPr>
              <w:pStyle w:val="Listenabsatz"/>
            </w:pPr>
            <w:r>
              <w:t xml:space="preserve">FG37 plant im Rahmen der Studie zu HCW eine Beobachtung über 3 Jahre. Aktuell besteht der Kontakt mit BMG bezüglich der Finanzierung. </w:t>
            </w:r>
          </w:p>
          <w:p>
            <w:pPr>
              <w:pStyle w:val="Listenabsatz"/>
            </w:pPr>
          </w:p>
          <w:p>
            <w:pPr>
              <w:pStyle w:val="Listenabsatz"/>
              <w:numPr>
                <w:ilvl w:val="0"/>
                <w:numId w:val="5"/>
              </w:numPr>
            </w:pPr>
            <w:r>
              <w:lastRenderedPageBreak/>
              <w:t xml:space="preserve">Modellierung (Graphik) von Hr. Braun wurde den Modellierern am RKI zur Verfügung gestellt, bei einigen Annahmen, </w:t>
            </w:r>
            <w:proofErr w:type="spellStart"/>
            <w:r>
              <w:t>bsp.</w:t>
            </w:r>
            <w:proofErr w:type="spellEnd"/>
            <w:r>
              <w:t xml:space="preserve"> Einbezug der Gesamtbettenkapazität, besteht Optimierungsbedarf. Es wird angepasst/aufbereitet und mit den BL geteilt </w:t>
            </w:r>
          </w:p>
          <w:p>
            <w:pPr>
              <w:rPr>
                <w:b/>
              </w:rPr>
            </w:pPr>
          </w:p>
          <w:p>
            <w:pPr>
              <w:ind w:left="113"/>
            </w:pPr>
          </w:p>
        </w:tc>
        <w:tc>
          <w:tcPr>
            <w:tcW w:w="1491" w:type="dxa"/>
          </w:tcPr>
          <w:p/>
          <w:p/>
          <w:p/>
          <w:p>
            <w:r>
              <w:t>FG36/alle</w:t>
            </w:r>
          </w:p>
          <w:p/>
          <w:p/>
          <w:p>
            <w:r>
              <w:t xml:space="preserve"> </w:t>
            </w:r>
          </w:p>
          <w:p/>
          <w:p/>
          <w:p/>
          <w:p/>
          <w:p/>
          <w:p/>
          <w:p/>
          <w:p/>
          <w:p/>
          <w:p/>
          <w:p>
            <w:r>
              <w:t>AL2/FG37</w:t>
            </w:r>
          </w:p>
          <w:p/>
          <w:p/>
          <w:p/>
          <w:p/>
          <w:p/>
          <w:p/>
          <w:p/>
          <w:p>
            <w:r>
              <w:lastRenderedPageBreak/>
              <w:t>FG37/alle</w:t>
            </w:r>
          </w:p>
        </w:tc>
      </w:tr>
      <w:tr>
        <w:tc>
          <w:tcPr>
            <w:tcW w:w="762" w:type="dxa"/>
          </w:tcPr>
          <w:p>
            <w:pPr>
              <w:rPr>
                <w:b/>
                <w:sz w:val="28"/>
                <w:szCs w:val="28"/>
              </w:rPr>
            </w:pPr>
            <w:r>
              <w:rPr>
                <w:b/>
                <w:sz w:val="28"/>
                <w:szCs w:val="28"/>
              </w:rPr>
              <w:lastRenderedPageBreak/>
              <w:t>6</w:t>
            </w:r>
          </w:p>
        </w:tc>
        <w:tc>
          <w:tcPr>
            <w:tcW w:w="6434" w:type="dxa"/>
          </w:tcPr>
          <w:p>
            <w:pPr>
              <w:rPr>
                <w:b/>
                <w:sz w:val="28"/>
                <w:szCs w:val="28"/>
              </w:rPr>
            </w:pPr>
            <w:r>
              <w:rPr>
                <w:b/>
                <w:sz w:val="28"/>
                <w:szCs w:val="28"/>
              </w:rPr>
              <w:t>Dokumente</w:t>
            </w:r>
          </w:p>
          <w:p>
            <w:pPr>
              <w:pStyle w:val="Listenabsatz"/>
              <w:numPr>
                <w:ilvl w:val="1"/>
                <w:numId w:val="30"/>
              </w:numPr>
              <w:spacing w:after="120"/>
              <w:ind w:left="867" w:hanging="357"/>
            </w:pPr>
          </w:p>
        </w:tc>
        <w:tc>
          <w:tcPr>
            <w:tcW w:w="1491" w:type="dxa"/>
          </w:tcPr>
          <w:p/>
        </w:tc>
      </w:tr>
      <w:tr>
        <w:tc>
          <w:tcPr>
            <w:tcW w:w="762" w:type="dxa"/>
          </w:tcPr>
          <w:p>
            <w:pPr>
              <w:rPr>
                <w:b/>
                <w:sz w:val="28"/>
                <w:szCs w:val="28"/>
              </w:rPr>
            </w:pPr>
            <w:r>
              <w:rPr>
                <w:b/>
                <w:sz w:val="28"/>
                <w:szCs w:val="28"/>
              </w:rPr>
              <w:t>7</w:t>
            </w:r>
          </w:p>
        </w:tc>
        <w:tc>
          <w:tcPr>
            <w:tcW w:w="6434" w:type="dxa"/>
          </w:tcPr>
          <w:p>
            <w:pPr>
              <w:rPr>
                <w:b/>
                <w:sz w:val="28"/>
                <w:szCs w:val="28"/>
              </w:rPr>
            </w:pPr>
            <w:r>
              <w:rPr>
                <w:b/>
                <w:sz w:val="28"/>
                <w:szCs w:val="28"/>
              </w:rPr>
              <w:t>Labordiagnostik</w:t>
            </w:r>
          </w:p>
          <w:p>
            <w:pPr>
              <w:pStyle w:val="Listenabsatz"/>
              <w:numPr>
                <w:ilvl w:val="0"/>
                <w:numId w:val="30"/>
              </w:numPr>
              <w:spacing w:after="120"/>
              <w:ind w:left="448" w:hanging="357"/>
            </w:pPr>
            <w:r>
              <w:rPr>
                <w:b/>
              </w:rPr>
              <w:t>FG17</w:t>
            </w:r>
            <w:r>
              <w:t xml:space="preserve">: weiterhin niedrige Probenzahlen </w:t>
            </w:r>
          </w:p>
          <w:p>
            <w:pPr>
              <w:pStyle w:val="Listenabsatz"/>
              <w:numPr>
                <w:ilvl w:val="0"/>
                <w:numId w:val="30"/>
              </w:numPr>
              <w:spacing w:after="120"/>
              <w:ind w:left="448" w:hanging="357"/>
            </w:pPr>
            <w:r>
              <w:t xml:space="preserve">Mitarbeit an einer Publikation zu Veränderung von Testindikationen und Testkapazitäten in verschiedenen Ländern im Verlauf des Geschehens; Publikation wird zeitnah erwartet </w:t>
            </w:r>
          </w:p>
          <w:p>
            <w:pPr>
              <w:pStyle w:val="Listenabsatz"/>
              <w:spacing w:after="120"/>
              <w:ind w:left="448"/>
            </w:pPr>
          </w:p>
        </w:tc>
        <w:tc>
          <w:tcPr>
            <w:tcW w:w="1491" w:type="dxa"/>
          </w:tcPr>
          <w:p/>
          <w:p>
            <w:r>
              <w:t>FG17</w:t>
            </w:r>
          </w:p>
        </w:tc>
      </w:tr>
      <w:tr>
        <w:tc>
          <w:tcPr>
            <w:tcW w:w="762" w:type="dxa"/>
          </w:tcPr>
          <w:p>
            <w:pPr>
              <w:rPr>
                <w:b/>
                <w:sz w:val="28"/>
                <w:szCs w:val="28"/>
              </w:rPr>
            </w:pPr>
            <w:r>
              <w:rPr>
                <w:b/>
                <w:sz w:val="28"/>
                <w:szCs w:val="28"/>
              </w:rPr>
              <w:t>8</w:t>
            </w:r>
          </w:p>
        </w:tc>
        <w:tc>
          <w:tcPr>
            <w:tcW w:w="6434" w:type="dxa"/>
          </w:tcPr>
          <w:p>
            <w:pPr>
              <w:rPr>
                <w:b/>
                <w:sz w:val="28"/>
                <w:szCs w:val="28"/>
              </w:rPr>
            </w:pPr>
            <w:r>
              <w:rPr>
                <w:b/>
                <w:sz w:val="28"/>
                <w:szCs w:val="28"/>
              </w:rPr>
              <w:t>Klinisches Management/ Entlassungsmanagement</w:t>
            </w:r>
          </w:p>
          <w:p>
            <w:pPr>
              <w:pStyle w:val="Listenabsatz"/>
              <w:numPr>
                <w:ilvl w:val="1"/>
                <w:numId w:val="30"/>
              </w:numPr>
              <w:spacing w:after="120"/>
              <w:ind w:left="867" w:hanging="357"/>
            </w:pPr>
          </w:p>
        </w:tc>
        <w:tc>
          <w:tcPr>
            <w:tcW w:w="1491" w:type="dxa"/>
          </w:tcPr>
          <w:p/>
          <w:p/>
        </w:tc>
      </w:tr>
      <w:tr>
        <w:tc>
          <w:tcPr>
            <w:tcW w:w="762" w:type="dxa"/>
          </w:tcPr>
          <w:p>
            <w:pPr>
              <w:rPr>
                <w:b/>
                <w:sz w:val="28"/>
                <w:szCs w:val="28"/>
              </w:rPr>
            </w:pPr>
            <w:r>
              <w:rPr>
                <w:b/>
                <w:sz w:val="28"/>
                <w:szCs w:val="28"/>
              </w:rPr>
              <w:t>9</w:t>
            </w:r>
          </w:p>
        </w:tc>
        <w:tc>
          <w:tcPr>
            <w:tcW w:w="6434" w:type="dxa"/>
          </w:tcPr>
          <w:p>
            <w:pPr>
              <w:rPr>
                <w:b/>
                <w:sz w:val="28"/>
                <w:szCs w:val="28"/>
              </w:rPr>
            </w:pPr>
            <w:r>
              <w:rPr>
                <w:b/>
                <w:sz w:val="28"/>
                <w:szCs w:val="28"/>
              </w:rPr>
              <w:t>Maßnahmen zum Infektionsschutz</w:t>
            </w:r>
          </w:p>
          <w:p>
            <w:pPr>
              <w:pStyle w:val="Listenabsatz"/>
              <w:numPr>
                <w:ilvl w:val="0"/>
                <w:numId w:val="30"/>
              </w:numPr>
              <w:spacing w:after="120"/>
              <w:ind w:left="448" w:hanging="357"/>
              <w:rPr>
                <w:i/>
              </w:rPr>
            </w:pPr>
            <w:r>
              <w:t xml:space="preserve">Prüfung des BMAS Anfrage bzgl. Empfehlung des RKI zur Verwendung von MNS/Masken bei Versorgung von COVID-Patienten. Die Bearbeitung erfolgt durch FG14, die Antwort versendet </w:t>
            </w:r>
            <w:proofErr w:type="spellStart"/>
            <w:r>
              <w:t>VPräs</w:t>
            </w:r>
            <w:proofErr w:type="spellEnd"/>
            <w:r>
              <w:t>.</w:t>
            </w:r>
          </w:p>
          <w:p>
            <w:pPr>
              <w:pStyle w:val="Listenabsatz"/>
              <w:spacing w:after="120"/>
              <w:ind w:left="448"/>
              <w:rPr>
                <w:i/>
              </w:rPr>
            </w:pPr>
          </w:p>
          <w:p>
            <w:pPr>
              <w:pStyle w:val="Listenabsatz"/>
              <w:numPr>
                <w:ilvl w:val="0"/>
                <w:numId w:val="30"/>
              </w:numPr>
              <w:spacing w:after="120"/>
              <w:ind w:left="448" w:hanging="357"/>
              <w:rPr>
                <w:i/>
              </w:rPr>
            </w:pPr>
            <w:r>
              <w:t xml:space="preserve">Leitfaden zu Ausbruchmanagement für COVID-19 im Auftrag der Kanzlerin soll möglichst zeitnah (Deadline Heute 17 Uhr) über Hr. Wieler versendet werden. Der Entwurf ist bereits weitfortgeschritten und einzelne Szenarien werden noch ergänzt. Praktikabilität soll im Vordergrund stehen. Dieses Papier kann anschließend im Rahmenplan verankert werden. </w:t>
            </w:r>
          </w:p>
          <w:p>
            <w:pPr>
              <w:pStyle w:val="Listenabsatz"/>
              <w:rPr>
                <w:i/>
              </w:rPr>
            </w:pPr>
          </w:p>
          <w:p>
            <w:pPr>
              <w:pStyle w:val="Listenabsatz"/>
              <w:numPr>
                <w:ilvl w:val="0"/>
                <w:numId w:val="30"/>
              </w:numPr>
              <w:spacing w:after="120"/>
              <w:ind w:left="448" w:hanging="357"/>
              <w:rPr>
                <w:i/>
              </w:rPr>
            </w:pPr>
            <w:r>
              <w:t xml:space="preserve">Verantwortlichkeiten im Umgang mit erkranktem med. Personal scheinen nicht immer ganz klar zu sein. Die Krankschreibung für 14 Tage erfolgt durch das zuständige GA, zwischen Ablauf der 14 Tage und zwei negativen PCR-Nachweisen entsteht eine zeitliche Lücke, in der keine Krankschreibung mehr erfolgen kann. Hier muss ein Tätigkeitsverbot ausgesprochen werden. Dies wurde bei der AGI bereits thematisiert. </w:t>
            </w:r>
          </w:p>
          <w:p>
            <w:pPr>
              <w:pStyle w:val="Listenabsatz"/>
              <w:rPr>
                <w:i/>
              </w:rPr>
            </w:pPr>
          </w:p>
          <w:p>
            <w:pPr>
              <w:pStyle w:val="Listenabsatz"/>
              <w:numPr>
                <w:ilvl w:val="0"/>
                <w:numId w:val="30"/>
              </w:numPr>
              <w:spacing w:after="120"/>
            </w:pPr>
            <w:r>
              <w:t xml:space="preserve">TK mit BMG und Herr BM Braun zu DEMIS: </w:t>
            </w:r>
          </w:p>
          <w:p>
            <w:pPr>
              <w:spacing w:after="120"/>
              <w:ind w:left="448"/>
            </w:pPr>
            <w:r>
              <w:t xml:space="preserve">Vorstellung des Meldewesens, DEMIS und der </w:t>
            </w:r>
            <w:r>
              <w:lastRenderedPageBreak/>
              <w:t>Beschleunigungsaktion sowie die Beschreibung der Hauptprobleme im ÖGD: Ressourcen und Personal, genaue Beschreibung des ÖGD und Aufgaben und Ziele des Meldewesens. Vorstellung des Meldewesens und DEMIS soll während Schaltkonferenz des Chefs des Bundeskanzleramtes mit den Chef des Staats-/Senatskanzleien der Länder nächste Woche (20.04.2020; Anwesenheit im BMG Friedrichstr. im Raum 5.01)  durch RKI erfolgen.</w:t>
            </w:r>
          </w:p>
          <w:p>
            <w:pPr>
              <w:pStyle w:val="Listenabsatz"/>
              <w:numPr>
                <w:ilvl w:val="0"/>
                <w:numId w:val="34"/>
              </w:numPr>
              <w:spacing w:after="120"/>
            </w:pPr>
            <w:r>
              <w:t xml:space="preserve">IfSG-Anpassung 3.Gesetzgebungsverfahren </w:t>
            </w:r>
          </w:p>
          <w:p>
            <w:pPr>
              <w:spacing w:after="120"/>
              <w:ind w:left="448"/>
            </w:pPr>
            <w:r>
              <w:t xml:space="preserve">Rechtsreferat hat einen Bericht an das BMG mit Anpassungsvorschlägen verschickt. Es ist eine gute Möglichkeit Sachen/Projekte zu verstetigen. Sollten die Änderungsvorschläge angenommen werden, können diese voraussichtlich in Mai in Kraft treten. Zusätzliche Punkte können noch über das Rechtsreferat nachgereicht werden. FG36 und FG37 sind interessiert Punkte zu ergänzen. Es soll abgewogen werden, ob inhaltliche Veränderungen gemeinsam mit Veränderungen der Zuweisung von Ressourcen eingereicht werden. Chancen der Bewilligung von rein inhaltlichen Veränderungen werden als größer eingeschätzt. </w:t>
            </w:r>
          </w:p>
          <w:p>
            <w:pPr>
              <w:spacing w:after="120"/>
              <w:rPr>
                <w:i/>
              </w:rPr>
            </w:pPr>
          </w:p>
        </w:tc>
        <w:tc>
          <w:tcPr>
            <w:tcW w:w="1491" w:type="dxa"/>
          </w:tcPr>
          <w:p/>
          <w:p>
            <w:r>
              <w:t>FG14</w:t>
            </w:r>
          </w:p>
          <w:p/>
          <w:p/>
          <w:p/>
          <w:p/>
          <w:p>
            <w:proofErr w:type="spellStart"/>
            <w:r>
              <w:t>VPräs</w:t>
            </w:r>
            <w:proofErr w:type="spellEnd"/>
            <w:r>
              <w:t>/alle</w:t>
            </w:r>
          </w:p>
          <w:p/>
          <w:p/>
          <w:p/>
          <w:p/>
          <w:p/>
          <w:p/>
          <w:p/>
          <w:p>
            <w:r>
              <w:t>IBBS/alle</w:t>
            </w:r>
          </w:p>
          <w:p/>
          <w:p/>
          <w:p/>
          <w:p/>
          <w:p/>
          <w:p/>
          <w:p/>
          <w:p/>
          <w:p>
            <w:r>
              <w:t>FG32</w:t>
            </w:r>
          </w:p>
          <w:p/>
          <w:p/>
          <w:p/>
          <w:p/>
          <w:p/>
          <w:p/>
          <w:p/>
          <w:p/>
          <w:p/>
          <w:p/>
          <w:p/>
          <w:p>
            <w:r>
              <w:t>FG32/alle</w:t>
            </w:r>
          </w:p>
        </w:tc>
      </w:tr>
      <w:tr>
        <w:tc>
          <w:tcPr>
            <w:tcW w:w="762" w:type="dxa"/>
          </w:tcPr>
          <w:p>
            <w:pPr>
              <w:rPr>
                <w:b/>
                <w:sz w:val="28"/>
                <w:szCs w:val="28"/>
              </w:rPr>
            </w:pPr>
            <w:r>
              <w:rPr>
                <w:b/>
                <w:sz w:val="28"/>
                <w:szCs w:val="28"/>
              </w:rPr>
              <w:lastRenderedPageBreak/>
              <w:t>10</w:t>
            </w:r>
          </w:p>
        </w:tc>
        <w:tc>
          <w:tcPr>
            <w:tcW w:w="6434" w:type="dxa"/>
          </w:tcPr>
          <w:p>
            <w:pPr>
              <w:rPr>
                <w:b/>
                <w:sz w:val="28"/>
                <w:szCs w:val="28"/>
              </w:rPr>
            </w:pPr>
            <w:r>
              <w:rPr>
                <w:b/>
                <w:sz w:val="28"/>
                <w:szCs w:val="28"/>
              </w:rPr>
              <w:t>Surveillance</w:t>
            </w:r>
          </w:p>
          <w:p>
            <w:pPr>
              <w:pStyle w:val="Listenabsatz"/>
              <w:numPr>
                <w:ilvl w:val="1"/>
                <w:numId w:val="30"/>
              </w:numPr>
              <w:spacing w:after="120"/>
              <w:ind w:left="867" w:hanging="357"/>
            </w:pPr>
          </w:p>
        </w:tc>
        <w:tc>
          <w:tcPr>
            <w:tcW w:w="1491" w:type="dxa"/>
          </w:tcPr>
          <w:p/>
          <w:p/>
        </w:tc>
      </w:tr>
      <w:tr>
        <w:tc>
          <w:tcPr>
            <w:tcW w:w="762" w:type="dxa"/>
          </w:tcPr>
          <w:p>
            <w:pPr>
              <w:rPr>
                <w:b/>
                <w:sz w:val="28"/>
                <w:szCs w:val="28"/>
              </w:rPr>
            </w:pPr>
            <w:r>
              <w:rPr>
                <w:b/>
                <w:sz w:val="28"/>
                <w:szCs w:val="28"/>
              </w:rPr>
              <w:t>11</w:t>
            </w:r>
          </w:p>
        </w:tc>
        <w:tc>
          <w:tcPr>
            <w:tcW w:w="6434" w:type="dxa"/>
          </w:tcPr>
          <w:p>
            <w:pPr>
              <w:rPr>
                <w:b/>
                <w:sz w:val="28"/>
                <w:szCs w:val="28"/>
              </w:rPr>
            </w:pPr>
            <w:r>
              <w:rPr>
                <w:b/>
                <w:sz w:val="28"/>
                <w:szCs w:val="28"/>
              </w:rPr>
              <w:t>Transport und Grenzübergangsstellen</w:t>
            </w:r>
          </w:p>
          <w:p>
            <w:pPr>
              <w:pStyle w:val="Listenabsatz"/>
              <w:numPr>
                <w:ilvl w:val="0"/>
                <w:numId w:val="30"/>
              </w:numPr>
              <w:spacing w:after="120"/>
              <w:ind w:left="448" w:hanging="357"/>
            </w:pPr>
          </w:p>
        </w:tc>
        <w:tc>
          <w:tcPr>
            <w:tcW w:w="1491" w:type="dxa"/>
          </w:tcPr>
          <w:p/>
          <w:p/>
        </w:tc>
      </w:tr>
      <w:tr>
        <w:tc>
          <w:tcPr>
            <w:tcW w:w="762" w:type="dxa"/>
          </w:tcPr>
          <w:p>
            <w:pPr>
              <w:rPr>
                <w:b/>
                <w:sz w:val="28"/>
                <w:szCs w:val="28"/>
              </w:rPr>
            </w:pPr>
            <w:r>
              <w:rPr>
                <w:b/>
                <w:sz w:val="28"/>
                <w:szCs w:val="28"/>
              </w:rPr>
              <w:t>12</w:t>
            </w:r>
          </w:p>
        </w:tc>
        <w:tc>
          <w:tcPr>
            <w:tcW w:w="6434" w:type="dxa"/>
          </w:tcPr>
          <w:p>
            <w:pPr>
              <w:rPr>
                <w:b/>
                <w:color w:val="FF0000"/>
                <w:sz w:val="28"/>
                <w:szCs w:val="28"/>
              </w:rPr>
            </w:pPr>
            <w:r>
              <w:rPr>
                <w:b/>
                <w:sz w:val="28"/>
                <w:szCs w:val="28"/>
              </w:rPr>
              <w:t xml:space="preserve">Internationales </w:t>
            </w:r>
            <w:r>
              <w:rPr>
                <w:b/>
                <w:color w:val="FF0000"/>
                <w:sz w:val="28"/>
                <w:szCs w:val="28"/>
              </w:rPr>
              <w:t>(nur freitags)</w:t>
            </w:r>
          </w:p>
          <w:p>
            <w:pPr>
              <w:pStyle w:val="Listenabsatz"/>
              <w:numPr>
                <w:ilvl w:val="0"/>
                <w:numId w:val="30"/>
              </w:numPr>
              <w:spacing w:after="120"/>
              <w:ind w:left="448" w:hanging="357"/>
            </w:pPr>
            <w:r>
              <w:t xml:space="preserve">Zunahme von Anfragen zu Kooperation und Assistenz im Rahmen von COVID-19-Response </w:t>
            </w:r>
          </w:p>
          <w:p>
            <w:pPr>
              <w:pStyle w:val="Listenabsatz"/>
              <w:spacing w:after="120"/>
              <w:ind w:left="448"/>
              <w:rPr>
                <w:b/>
              </w:rPr>
            </w:pPr>
            <w:r>
              <w:rPr>
                <w:b/>
              </w:rPr>
              <w:t>Diagnostik</w:t>
            </w:r>
          </w:p>
          <w:p>
            <w:pPr>
              <w:pStyle w:val="Listenabsatz"/>
              <w:spacing w:after="120"/>
              <w:ind w:left="448"/>
            </w:pPr>
            <w:r>
              <w:t xml:space="preserve">In Zusammenarbeit mit WHO AFRO, WHO EMRO und African CDC werden remote/online </w:t>
            </w:r>
            <w:proofErr w:type="spellStart"/>
            <w:r>
              <w:t>training</w:t>
            </w:r>
            <w:proofErr w:type="spellEnd"/>
            <w:r>
              <w:t xml:space="preserve"> angeboten, </w:t>
            </w:r>
            <w:r>
              <w:br/>
              <w:t xml:space="preserve">Bilaterale Unterstützung von mehr als 20 Ländern </w:t>
            </w:r>
          </w:p>
          <w:p>
            <w:pPr>
              <w:pStyle w:val="Listenabsatz"/>
              <w:spacing w:after="120"/>
              <w:ind w:left="448"/>
              <w:rPr>
                <w:b/>
              </w:rPr>
            </w:pPr>
            <w:r>
              <w:rPr>
                <w:b/>
              </w:rPr>
              <w:t>Bereich Kooperation</w:t>
            </w:r>
          </w:p>
          <w:p>
            <w:pPr>
              <w:pStyle w:val="Listenabsatz"/>
              <w:spacing w:after="120"/>
              <w:ind w:left="448"/>
            </w:pPr>
            <w:r>
              <w:t>Anfragen von unterschiedlichen Ländern mit Kontakt durch Botschaften und Kanzleramt</w:t>
            </w:r>
          </w:p>
          <w:p>
            <w:pPr>
              <w:pStyle w:val="Listenabsatz"/>
              <w:spacing w:after="120"/>
              <w:ind w:left="448"/>
              <w:rPr>
                <w:b/>
              </w:rPr>
            </w:pPr>
            <w:r>
              <w:rPr>
                <w:b/>
              </w:rPr>
              <w:t xml:space="preserve">Anfragen über SEEG </w:t>
            </w:r>
          </w:p>
          <w:p>
            <w:pPr>
              <w:pStyle w:val="Listenabsatz"/>
              <w:spacing w:after="120"/>
              <w:ind w:left="448"/>
            </w:pPr>
            <w:r>
              <w:t>Unterstützungsanfragen aus Süd- und Mittelamerika; Koordiniert durch GIZ/BMZ</w:t>
            </w:r>
          </w:p>
          <w:p>
            <w:pPr>
              <w:pStyle w:val="Listenabsatz"/>
              <w:spacing w:after="120"/>
              <w:ind w:left="448"/>
              <w:rPr>
                <w:b/>
              </w:rPr>
            </w:pPr>
            <w:r>
              <w:t>Charité ist zur Unterstützung eingebunden</w:t>
            </w:r>
            <w:r>
              <w:rPr>
                <w:b/>
              </w:rPr>
              <w:t xml:space="preserve"> </w:t>
            </w:r>
          </w:p>
          <w:p>
            <w:pPr>
              <w:pStyle w:val="Listenabsatz"/>
              <w:spacing w:after="120"/>
              <w:ind w:left="448"/>
              <w:rPr>
                <w:b/>
              </w:rPr>
            </w:pPr>
            <w:r>
              <w:rPr>
                <w:b/>
              </w:rPr>
              <w:t>GHPP-Partnerländer</w:t>
            </w:r>
          </w:p>
          <w:p>
            <w:pPr>
              <w:pStyle w:val="Listenabsatz"/>
              <w:spacing w:after="120"/>
              <w:ind w:left="448"/>
            </w:pPr>
            <w:r>
              <w:t xml:space="preserve">BMG hat einen Sonderfond für bestehende Projekte zur </w:t>
            </w:r>
            <w:r>
              <w:lastRenderedPageBreak/>
              <w:t xml:space="preserve">Unterstützung des COVID-19-Response eingerichtet und es besteht der Wunsch die bestehende Zusammenarbeit im Rahmen der Projekte für Unterstützung zu nutzen. Demnächst soll diskutiert werden, ob bestehende Projekte verlängert werden und in den nächsten 12 Monaten zu COVID-19 gearbeitet wird. Verschiebung der nächsten Runde soll diskutiert werden.  </w:t>
            </w:r>
          </w:p>
          <w:p>
            <w:pPr>
              <w:pStyle w:val="Listenabsatz"/>
              <w:spacing w:after="120"/>
              <w:ind w:left="448"/>
              <w:rPr>
                <w:b/>
              </w:rPr>
            </w:pPr>
            <w:r>
              <w:rPr>
                <w:b/>
              </w:rPr>
              <w:t xml:space="preserve">Verstärkter Austausch  </w:t>
            </w:r>
          </w:p>
          <w:p>
            <w:pPr>
              <w:pStyle w:val="Listenabsatz"/>
              <w:spacing w:after="120"/>
              <w:ind w:left="448"/>
            </w:pPr>
            <w:r>
              <w:t>Aktuelle Interessenten sind Korea, Singapur, Vereinigte Arabische Emirate, Israel und Türkei. Umsetzung mit  BMG-Beteiligung und befindet sich noch in Entwicklung.</w:t>
            </w:r>
          </w:p>
        </w:tc>
        <w:tc>
          <w:tcPr>
            <w:tcW w:w="1491" w:type="dxa"/>
          </w:tcPr>
          <w:p>
            <w:r>
              <w:lastRenderedPageBreak/>
              <w:t>ZIGL</w:t>
            </w:r>
          </w:p>
        </w:tc>
      </w:tr>
      <w:tr>
        <w:tc>
          <w:tcPr>
            <w:tcW w:w="762" w:type="dxa"/>
          </w:tcPr>
          <w:p>
            <w:pPr>
              <w:rPr>
                <w:b/>
                <w:sz w:val="28"/>
                <w:szCs w:val="28"/>
              </w:rPr>
            </w:pPr>
            <w:r>
              <w:rPr>
                <w:b/>
                <w:sz w:val="28"/>
                <w:szCs w:val="28"/>
              </w:rPr>
              <w:t>13</w:t>
            </w:r>
          </w:p>
        </w:tc>
        <w:tc>
          <w:tcPr>
            <w:tcW w:w="6434" w:type="dxa"/>
          </w:tcPr>
          <w:p>
            <w:pPr>
              <w:rPr>
                <w:b/>
                <w:color w:val="FF0000"/>
                <w:sz w:val="28"/>
                <w:szCs w:val="28"/>
              </w:rPr>
            </w:pPr>
            <w:r>
              <w:rPr>
                <w:b/>
                <w:sz w:val="28"/>
                <w:szCs w:val="28"/>
              </w:rPr>
              <w:t xml:space="preserve">Update Digitale Projekte </w:t>
            </w:r>
            <w:r>
              <w:rPr>
                <w:b/>
                <w:color w:val="FF0000"/>
                <w:sz w:val="28"/>
                <w:szCs w:val="28"/>
              </w:rPr>
              <w:t>(nur montags)</w:t>
            </w:r>
          </w:p>
          <w:p>
            <w:pPr>
              <w:pStyle w:val="Listenabsatz"/>
              <w:numPr>
                <w:ilvl w:val="0"/>
                <w:numId w:val="30"/>
              </w:numPr>
              <w:spacing w:after="120"/>
              <w:ind w:left="448" w:hanging="357"/>
            </w:pPr>
            <w:r>
              <w:t>Nicht besprochen</w:t>
            </w:r>
          </w:p>
        </w:tc>
        <w:tc>
          <w:tcPr>
            <w:tcW w:w="1491" w:type="dxa"/>
          </w:tcPr>
          <w:p/>
        </w:tc>
      </w:tr>
      <w:tr>
        <w:tc>
          <w:tcPr>
            <w:tcW w:w="762" w:type="dxa"/>
          </w:tcPr>
          <w:p>
            <w:pPr>
              <w:rPr>
                <w:b/>
                <w:sz w:val="28"/>
                <w:szCs w:val="28"/>
              </w:rPr>
            </w:pPr>
            <w:r>
              <w:rPr>
                <w:b/>
                <w:sz w:val="28"/>
                <w:szCs w:val="28"/>
              </w:rPr>
              <w:t>14</w:t>
            </w:r>
          </w:p>
        </w:tc>
        <w:tc>
          <w:tcPr>
            <w:tcW w:w="6434" w:type="dxa"/>
          </w:tcPr>
          <w:p>
            <w:pPr>
              <w:rPr>
                <w:b/>
                <w:sz w:val="28"/>
                <w:szCs w:val="28"/>
              </w:rPr>
            </w:pPr>
            <w:r>
              <w:rPr>
                <w:b/>
                <w:sz w:val="28"/>
                <w:szCs w:val="28"/>
              </w:rPr>
              <w:t>Information aus dem Lagezentrum</w:t>
            </w:r>
          </w:p>
          <w:p>
            <w:pPr>
              <w:pStyle w:val="Listenabsatz"/>
              <w:numPr>
                <w:ilvl w:val="0"/>
                <w:numId w:val="30"/>
              </w:numPr>
              <w:spacing w:after="120"/>
              <w:ind w:left="448" w:hanging="357"/>
              <w:rPr>
                <w:b/>
              </w:rPr>
            </w:pPr>
            <w:r>
              <w:t>Nicht besprochen</w:t>
            </w:r>
          </w:p>
        </w:tc>
        <w:tc>
          <w:tcPr>
            <w:tcW w:w="1491" w:type="dxa"/>
          </w:tcPr>
          <w:p/>
        </w:tc>
      </w:tr>
      <w:tr>
        <w:tc>
          <w:tcPr>
            <w:tcW w:w="762" w:type="dxa"/>
          </w:tcPr>
          <w:p>
            <w:pPr>
              <w:rPr>
                <w:b/>
                <w:sz w:val="28"/>
                <w:szCs w:val="28"/>
              </w:rPr>
            </w:pPr>
            <w:r>
              <w:rPr>
                <w:b/>
                <w:sz w:val="28"/>
                <w:szCs w:val="28"/>
              </w:rPr>
              <w:t>15</w:t>
            </w:r>
          </w:p>
        </w:tc>
        <w:tc>
          <w:tcPr>
            <w:tcW w:w="6434" w:type="dxa"/>
          </w:tcPr>
          <w:p>
            <w:pPr>
              <w:rPr>
                <w:b/>
                <w:sz w:val="28"/>
                <w:szCs w:val="28"/>
              </w:rPr>
            </w:pPr>
            <w:r>
              <w:rPr>
                <w:b/>
                <w:sz w:val="28"/>
                <w:szCs w:val="28"/>
              </w:rPr>
              <w:t>Wichtige Termine</w:t>
            </w:r>
          </w:p>
          <w:p>
            <w:pPr>
              <w:pStyle w:val="Listenabsatz"/>
              <w:numPr>
                <w:ilvl w:val="1"/>
                <w:numId w:val="30"/>
              </w:numPr>
              <w:spacing w:after="120"/>
              <w:ind w:left="867" w:hanging="357"/>
              <w:rPr>
                <w:b/>
              </w:rPr>
            </w:pPr>
          </w:p>
        </w:tc>
        <w:tc>
          <w:tcPr>
            <w:tcW w:w="1491" w:type="dxa"/>
          </w:tcPr>
          <w:p/>
        </w:tc>
      </w:tr>
      <w:tr>
        <w:tc>
          <w:tcPr>
            <w:tcW w:w="762" w:type="dxa"/>
          </w:tcPr>
          <w:p>
            <w:pPr>
              <w:rPr>
                <w:b/>
                <w:sz w:val="28"/>
                <w:szCs w:val="28"/>
              </w:rPr>
            </w:pPr>
            <w:r>
              <w:rPr>
                <w:b/>
                <w:sz w:val="28"/>
                <w:szCs w:val="28"/>
              </w:rPr>
              <w:t>16</w:t>
            </w:r>
          </w:p>
        </w:tc>
        <w:tc>
          <w:tcPr>
            <w:tcW w:w="6434" w:type="dxa"/>
          </w:tcPr>
          <w:p>
            <w:pPr>
              <w:rPr>
                <w:b/>
                <w:sz w:val="28"/>
                <w:szCs w:val="28"/>
              </w:rPr>
            </w:pPr>
            <w:r>
              <w:rPr>
                <w:b/>
                <w:sz w:val="28"/>
                <w:szCs w:val="28"/>
              </w:rPr>
              <w:t>Andere Themen</w:t>
            </w:r>
          </w:p>
          <w:p>
            <w:pPr>
              <w:pStyle w:val="Listenabsatz"/>
              <w:numPr>
                <w:ilvl w:val="0"/>
                <w:numId w:val="5"/>
              </w:numPr>
              <w:spacing w:after="200"/>
              <w:rPr>
                <w:b/>
              </w:rPr>
            </w:pPr>
            <w:r>
              <w:t>Nächste Sitzung: Montag 20.04.2020, 13:00</w:t>
            </w:r>
          </w:p>
        </w:tc>
        <w:tc>
          <w:tcPr>
            <w:tcW w:w="1491" w:type="dxa"/>
          </w:tcPr>
          <w:p/>
        </w:tc>
      </w:tr>
    </w:tbl>
    <w:p>
      <w:pPr>
        <w:spacing w:after="240" w:line="360" w:lineRule="auto"/>
      </w:pPr>
    </w:p>
    <w:sectPr>
      <w:headerReference w:type="even" r:id="rId10"/>
      <w:headerReference w:type="default" r:id="rId11"/>
      <w:footerReference w:type="even" r:id="rId12"/>
      <w:footerReference w:type="default" r:id="rId13"/>
      <w:headerReference w:type="first" r:id="rId14"/>
      <w:footerReference w:type="first" r:id="rId15"/>
      <w:pgSz w:w="11900" w:h="16840"/>
      <w:pgMar w:top="851" w:right="1797" w:bottom="964"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Agenda des COVID-19 Krisenstabs</w:t>
    </w:r>
  </w:p>
  <w:p>
    <w:pPr>
      <w:pStyle w:val="Kopfzeile"/>
      <w:rPr>
        <w:color w:val="1F497D" w:themeColor="text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76D5"/>
    <w:multiLevelType w:val="hybridMultilevel"/>
    <w:tmpl w:val="37123F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C926AB"/>
    <w:multiLevelType w:val="hybridMultilevel"/>
    <w:tmpl w:val="1D6E50CC"/>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210A1F"/>
    <w:multiLevelType w:val="hybridMultilevel"/>
    <w:tmpl w:val="B30ECF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55F3DEA"/>
    <w:multiLevelType w:val="hybridMultilevel"/>
    <w:tmpl w:val="5E289F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DDB4A5D"/>
    <w:multiLevelType w:val="hybridMultilevel"/>
    <w:tmpl w:val="178E2B9A"/>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10812AE"/>
    <w:multiLevelType w:val="hybridMultilevel"/>
    <w:tmpl w:val="1E121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57F64C3"/>
    <w:multiLevelType w:val="hybridMultilevel"/>
    <w:tmpl w:val="D58E4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75F65"/>
    <w:multiLevelType w:val="hybridMultilevel"/>
    <w:tmpl w:val="780A76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B0941A7"/>
    <w:multiLevelType w:val="hybridMultilevel"/>
    <w:tmpl w:val="AEE64A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B397807"/>
    <w:multiLevelType w:val="hybridMultilevel"/>
    <w:tmpl w:val="8E6C29E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2C3E1197"/>
    <w:multiLevelType w:val="hybridMultilevel"/>
    <w:tmpl w:val="8DC08ADC"/>
    <w:lvl w:ilvl="0" w:tplc="04070001">
      <w:start w:val="1"/>
      <w:numFmt w:val="bullet"/>
      <w:lvlText w:val=""/>
      <w:lvlJc w:val="left"/>
      <w:pPr>
        <w:ind w:left="720" w:hanging="360"/>
      </w:pPr>
      <w:rPr>
        <w:rFonts w:ascii="Symbol" w:hAnsi="Symbol"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B87458"/>
    <w:multiLevelType w:val="hybridMultilevel"/>
    <w:tmpl w:val="19589AA0"/>
    <w:lvl w:ilvl="0" w:tplc="955C989C">
      <w:start w:val="3"/>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2F69177D"/>
    <w:multiLevelType w:val="hybridMultilevel"/>
    <w:tmpl w:val="2E5831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33418CF"/>
    <w:multiLevelType w:val="hybridMultilevel"/>
    <w:tmpl w:val="A5BE1E0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029190C"/>
    <w:multiLevelType w:val="hybridMultilevel"/>
    <w:tmpl w:val="1C22CCBA"/>
    <w:lvl w:ilvl="0" w:tplc="04070001">
      <w:start w:val="1"/>
      <w:numFmt w:val="bullet"/>
      <w:lvlText w:val=""/>
      <w:lvlJc w:val="left"/>
      <w:pPr>
        <w:ind w:left="1168" w:hanging="360"/>
      </w:pPr>
      <w:rPr>
        <w:rFonts w:ascii="Symbol" w:hAnsi="Symbol" w:hint="default"/>
      </w:rPr>
    </w:lvl>
    <w:lvl w:ilvl="1" w:tplc="04070003" w:tentative="1">
      <w:start w:val="1"/>
      <w:numFmt w:val="bullet"/>
      <w:lvlText w:val="o"/>
      <w:lvlJc w:val="left"/>
      <w:pPr>
        <w:ind w:left="1888" w:hanging="360"/>
      </w:pPr>
      <w:rPr>
        <w:rFonts w:ascii="Courier New" w:hAnsi="Courier New" w:cs="Courier New" w:hint="default"/>
      </w:rPr>
    </w:lvl>
    <w:lvl w:ilvl="2" w:tplc="04070005" w:tentative="1">
      <w:start w:val="1"/>
      <w:numFmt w:val="bullet"/>
      <w:lvlText w:val=""/>
      <w:lvlJc w:val="left"/>
      <w:pPr>
        <w:ind w:left="2608" w:hanging="360"/>
      </w:pPr>
      <w:rPr>
        <w:rFonts w:ascii="Wingdings" w:hAnsi="Wingdings" w:hint="default"/>
      </w:rPr>
    </w:lvl>
    <w:lvl w:ilvl="3" w:tplc="04070001" w:tentative="1">
      <w:start w:val="1"/>
      <w:numFmt w:val="bullet"/>
      <w:lvlText w:val=""/>
      <w:lvlJc w:val="left"/>
      <w:pPr>
        <w:ind w:left="3328" w:hanging="360"/>
      </w:pPr>
      <w:rPr>
        <w:rFonts w:ascii="Symbol" w:hAnsi="Symbol" w:hint="default"/>
      </w:rPr>
    </w:lvl>
    <w:lvl w:ilvl="4" w:tplc="04070003" w:tentative="1">
      <w:start w:val="1"/>
      <w:numFmt w:val="bullet"/>
      <w:lvlText w:val="o"/>
      <w:lvlJc w:val="left"/>
      <w:pPr>
        <w:ind w:left="4048" w:hanging="360"/>
      </w:pPr>
      <w:rPr>
        <w:rFonts w:ascii="Courier New" w:hAnsi="Courier New" w:cs="Courier New" w:hint="default"/>
      </w:rPr>
    </w:lvl>
    <w:lvl w:ilvl="5" w:tplc="04070005" w:tentative="1">
      <w:start w:val="1"/>
      <w:numFmt w:val="bullet"/>
      <w:lvlText w:val=""/>
      <w:lvlJc w:val="left"/>
      <w:pPr>
        <w:ind w:left="4768" w:hanging="360"/>
      </w:pPr>
      <w:rPr>
        <w:rFonts w:ascii="Wingdings" w:hAnsi="Wingdings" w:hint="default"/>
      </w:rPr>
    </w:lvl>
    <w:lvl w:ilvl="6" w:tplc="04070001" w:tentative="1">
      <w:start w:val="1"/>
      <w:numFmt w:val="bullet"/>
      <w:lvlText w:val=""/>
      <w:lvlJc w:val="left"/>
      <w:pPr>
        <w:ind w:left="5488" w:hanging="360"/>
      </w:pPr>
      <w:rPr>
        <w:rFonts w:ascii="Symbol" w:hAnsi="Symbol" w:hint="default"/>
      </w:rPr>
    </w:lvl>
    <w:lvl w:ilvl="7" w:tplc="04070003" w:tentative="1">
      <w:start w:val="1"/>
      <w:numFmt w:val="bullet"/>
      <w:lvlText w:val="o"/>
      <w:lvlJc w:val="left"/>
      <w:pPr>
        <w:ind w:left="6208" w:hanging="360"/>
      </w:pPr>
      <w:rPr>
        <w:rFonts w:ascii="Courier New" w:hAnsi="Courier New" w:cs="Courier New" w:hint="default"/>
      </w:rPr>
    </w:lvl>
    <w:lvl w:ilvl="8" w:tplc="04070005" w:tentative="1">
      <w:start w:val="1"/>
      <w:numFmt w:val="bullet"/>
      <w:lvlText w:val=""/>
      <w:lvlJc w:val="left"/>
      <w:pPr>
        <w:ind w:left="6928" w:hanging="360"/>
      </w:pPr>
      <w:rPr>
        <w:rFonts w:ascii="Wingdings" w:hAnsi="Wingdings" w:hint="default"/>
      </w:rPr>
    </w:lvl>
  </w:abstractNum>
  <w:abstractNum w:abstractNumId="18" w15:restartNumberingAfterBreak="0">
    <w:nsid w:val="441A5375"/>
    <w:multiLevelType w:val="hybridMultilevel"/>
    <w:tmpl w:val="D1A6776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45F21567"/>
    <w:multiLevelType w:val="hybridMultilevel"/>
    <w:tmpl w:val="2E1EA7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E35088B"/>
    <w:multiLevelType w:val="hybridMultilevel"/>
    <w:tmpl w:val="E27090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1DF13A1"/>
    <w:multiLevelType w:val="hybridMultilevel"/>
    <w:tmpl w:val="5D6EA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3FD59C2"/>
    <w:multiLevelType w:val="hybridMultilevel"/>
    <w:tmpl w:val="6DC0B6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40A411D"/>
    <w:multiLevelType w:val="hybridMultilevel"/>
    <w:tmpl w:val="622E13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5F0180D"/>
    <w:multiLevelType w:val="hybridMultilevel"/>
    <w:tmpl w:val="B3A65B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CAC0447"/>
    <w:multiLevelType w:val="hybridMultilevel"/>
    <w:tmpl w:val="692C2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5E42E3F"/>
    <w:multiLevelType w:val="hybridMultilevel"/>
    <w:tmpl w:val="1AB4C7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88C1294"/>
    <w:multiLevelType w:val="hybridMultilevel"/>
    <w:tmpl w:val="363AD3E8"/>
    <w:lvl w:ilvl="0" w:tplc="E4146BB0">
      <w:start w:val="1"/>
      <w:numFmt w:val="bullet"/>
      <w:lvlText w:val=""/>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DCB4AC2"/>
    <w:multiLevelType w:val="hybridMultilevel"/>
    <w:tmpl w:val="D58E4A5C"/>
    <w:lvl w:ilvl="0" w:tplc="04090001">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14C3351"/>
    <w:multiLevelType w:val="hybridMultilevel"/>
    <w:tmpl w:val="D58E4A5C"/>
    <w:lvl w:ilvl="0" w:tplc="04090001">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D07176"/>
    <w:multiLevelType w:val="hybridMultilevel"/>
    <w:tmpl w:val="0D3CF52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2" w15:restartNumberingAfterBreak="0">
    <w:nsid w:val="733A502D"/>
    <w:multiLevelType w:val="hybridMultilevel"/>
    <w:tmpl w:val="413E3F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F2B797E"/>
    <w:multiLevelType w:val="hybridMultilevel"/>
    <w:tmpl w:val="043257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30"/>
  </w:num>
  <w:num w:numId="3">
    <w:abstractNumId w:val="29"/>
  </w:num>
  <w:num w:numId="4">
    <w:abstractNumId w:val="16"/>
  </w:num>
  <w:num w:numId="5">
    <w:abstractNumId w:val="19"/>
  </w:num>
  <w:num w:numId="6">
    <w:abstractNumId w:val="8"/>
  </w:num>
  <w:num w:numId="7">
    <w:abstractNumId w:val="22"/>
  </w:num>
  <w:num w:numId="8">
    <w:abstractNumId w:val="15"/>
  </w:num>
  <w:num w:numId="9">
    <w:abstractNumId w:val="21"/>
  </w:num>
  <w:num w:numId="10">
    <w:abstractNumId w:val="23"/>
  </w:num>
  <w:num w:numId="11">
    <w:abstractNumId w:val="31"/>
  </w:num>
  <w:num w:numId="12">
    <w:abstractNumId w:val="26"/>
  </w:num>
  <w:num w:numId="13">
    <w:abstractNumId w:val="9"/>
  </w:num>
  <w:num w:numId="14">
    <w:abstractNumId w:val="25"/>
  </w:num>
  <w:num w:numId="15">
    <w:abstractNumId w:val="11"/>
  </w:num>
  <w:num w:numId="16">
    <w:abstractNumId w:val="10"/>
  </w:num>
  <w:num w:numId="17">
    <w:abstractNumId w:val="28"/>
  </w:num>
  <w:num w:numId="18">
    <w:abstractNumId w:val="6"/>
  </w:num>
  <w:num w:numId="19">
    <w:abstractNumId w:val="5"/>
  </w:num>
  <w:num w:numId="20">
    <w:abstractNumId w:val="20"/>
  </w:num>
  <w:num w:numId="21">
    <w:abstractNumId w:val="3"/>
  </w:num>
  <w:num w:numId="22">
    <w:abstractNumId w:val="12"/>
  </w:num>
  <w:num w:numId="23">
    <w:abstractNumId w:val="2"/>
  </w:num>
  <w:num w:numId="24">
    <w:abstractNumId w:val="13"/>
  </w:num>
  <w:num w:numId="25">
    <w:abstractNumId w:val="27"/>
  </w:num>
  <w:num w:numId="26">
    <w:abstractNumId w:val="1"/>
  </w:num>
  <w:num w:numId="27">
    <w:abstractNumId w:val="4"/>
  </w:num>
  <w:num w:numId="28">
    <w:abstractNumId w:val="14"/>
  </w:num>
  <w:num w:numId="29">
    <w:abstractNumId w:val="0"/>
  </w:num>
  <w:num w:numId="30">
    <w:abstractNumId w:val="33"/>
  </w:num>
  <w:num w:numId="31">
    <w:abstractNumId w:val="24"/>
  </w:num>
  <w:num w:numId="32">
    <w:abstractNumId w:val="18"/>
  </w:num>
  <w:num w:numId="33">
    <w:abstractNumId w:val="17"/>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EDDABF-409B-4440-BE76-225DECB1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4"/>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character" w:styleId="Platzhaltertext">
    <w:name w:val="Placeholder Text"/>
    <w:basedOn w:val="Absatz-Standardschriftart"/>
    <w:uiPriority w:val="99"/>
    <w:semiHidden/>
    <w:rPr>
      <w:color w:val="808080"/>
    </w:rPr>
  </w:style>
  <w:style w:type="character" w:styleId="Hyperlink">
    <w:name w:val="Hyperlink"/>
    <w:basedOn w:val="Absatz-Standardschriftart"/>
    <w:uiPriority w:val="99"/>
    <w:unhideWhenUsed/>
    <w:rPr>
      <w:color w:val="0000FF" w:themeColor="hyperlink"/>
      <w:u w:val="single"/>
    </w:rPr>
  </w:style>
  <w:style w:type="character" w:customStyle="1" w:styleId="st">
    <w:name w:val="st"/>
    <w:basedOn w:val="Absatz-Standardschriftart"/>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character" w:customStyle="1" w:styleId="ListenabsatzZchn">
    <w:name w:val="Listenabsatz Zchn"/>
    <w:basedOn w:val="Absatz-Standardschriftart"/>
    <w:link w:val="Listenabsatz"/>
    <w:uiPriority w:val="34"/>
  </w:style>
  <w:style w:type="character" w:styleId="BesuchterLink">
    <w:name w:val="FollowedHyperlink"/>
    <w:basedOn w:val="Absatz-Standardschriftart"/>
    <w:uiPriority w:val="99"/>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4182">
      <w:bodyDiv w:val="1"/>
      <w:marLeft w:val="0"/>
      <w:marRight w:val="0"/>
      <w:marTop w:val="0"/>
      <w:marBottom w:val="0"/>
      <w:divBdr>
        <w:top w:val="none" w:sz="0" w:space="0" w:color="auto"/>
        <w:left w:val="none" w:sz="0" w:space="0" w:color="auto"/>
        <w:bottom w:val="none" w:sz="0" w:space="0" w:color="auto"/>
        <w:right w:val="none" w:sz="0" w:space="0" w:color="auto"/>
      </w:divBdr>
    </w:div>
    <w:div w:id="63190284">
      <w:bodyDiv w:val="1"/>
      <w:marLeft w:val="0"/>
      <w:marRight w:val="0"/>
      <w:marTop w:val="0"/>
      <w:marBottom w:val="0"/>
      <w:divBdr>
        <w:top w:val="none" w:sz="0" w:space="0" w:color="auto"/>
        <w:left w:val="none" w:sz="0" w:space="0" w:color="auto"/>
        <w:bottom w:val="none" w:sz="0" w:space="0" w:color="auto"/>
        <w:right w:val="none" w:sz="0" w:space="0" w:color="auto"/>
      </w:divBdr>
    </w:div>
    <w:div w:id="88083366">
      <w:bodyDiv w:val="1"/>
      <w:marLeft w:val="0"/>
      <w:marRight w:val="0"/>
      <w:marTop w:val="0"/>
      <w:marBottom w:val="0"/>
      <w:divBdr>
        <w:top w:val="none" w:sz="0" w:space="0" w:color="auto"/>
        <w:left w:val="none" w:sz="0" w:space="0" w:color="auto"/>
        <w:bottom w:val="none" w:sz="0" w:space="0" w:color="auto"/>
        <w:right w:val="none" w:sz="0" w:space="0" w:color="auto"/>
      </w:divBdr>
    </w:div>
    <w:div w:id="1171680091">
      <w:bodyDiv w:val="1"/>
      <w:marLeft w:val="0"/>
      <w:marRight w:val="0"/>
      <w:marTop w:val="0"/>
      <w:marBottom w:val="0"/>
      <w:divBdr>
        <w:top w:val="none" w:sz="0" w:space="0" w:color="auto"/>
        <w:left w:val="none" w:sz="0" w:space="0" w:color="auto"/>
        <w:bottom w:val="none" w:sz="0" w:space="0" w:color="auto"/>
        <w:right w:val="none" w:sz="0" w:space="0" w:color="auto"/>
      </w:divBdr>
    </w:div>
    <w:div w:id="20211971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ochgeladen/Lage_International_17_04.pdf"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ochgeladen/Lage-National_2020-04-17.pdf"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FD1638CC2F34C48A85483A10D9486D1"/>
        <w:category>
          <w:name w:val="Allgemein"/>
          <w:gallery w:val="placeholder"/>
        </w:category>
        <w:types>
          <w:type w:val="bbPlcHdr"/>
        </w:types>
        <w:behaviors>
          <w:behavior w:val="content"/>
        </w:behaviors>
        <w:guid w:val="{C8BF339A-C7C3-4811-84EA-0F267D0F4080}"/>
      </w:docPartPr>
      <w:docPartBody>
        <w:p>
          <w:pPr>
            <w:pStyle w:val="4FD1638CC2F34C48A85483A10D9486D1"/>
          </w:pPr>
          <w:r>
            <w:rPr>
              <w:rStyle w:val="Platzhaltertext"/>
            </w:rPr>
            <w:t>Klicken Sie hier, um Text einzugeben.</w:t>
          </w:r>
        </w:p>
      </w:docPartBody>
    </w:docPart>
    <w:docPart>
      <w:docPartPr>
        <w:name w:val="70453C9276B646228C40A7A320BC343F"/>
        <w:category>
          <w:name w:val="Allgemein"/>
          <w:gallery w:val="placeholder"/>
        </w:category>
        <w:types>
          <w:type w:val="bbPlcHdr"/>
        </w:types>
        <w:behaviors>
          <w:behavior w:val="content"/>
        </w:behaviors>
        <w:guid w:val="{A7456E51-AE66-4CD2-93C0-C9F5B41135B0}"/>
      </w:docPartPr>
      <w:docPartBody>
        <w:p>
          <w:pPr>
            <w:pStyle w:val="70453C9276B646228C40A7A320BC343F"/>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E5B39"/>
    <w:rPr>
      <w:color w:val="808080"/>
    </w:rPr>
  </w:style>
  <w:style w:type="paragraph" w:customStyle="1" w:styleId="4FD1638CC2F34C48A85483A10D9486D1">
    <w:name w:val="4FD1638CC2F34C48A85483A10D9486D1"/>
    <w:rsid w:val="005E5B39"/>
  </w:style>
  <w:style w:type="paragraph" w:customStyle="1" w:styleId="70453C9276B646228C40A7A320BC343F">
    <w:name w:val="70453C9276B646228C40A7A320BC343F"/>
    <w:rsid w:val="005E5B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2A630-B0EC-4A33-B067-DD138BC54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1888</Words>
  <Characters>11900</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92</cp:revision>
  <cp:lastPrinted>2020-04-16T16:55:00Z</cp:lastPrinted>
  <dcterms:created xsi:type="dcterms:W3CDTF">2020-04-17T10:16:00Z</dcterms:created>
  <dcterms:modified xsi:type="dcterms:W3CDTF">2021-04-12T14:34:00Z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-1337402490</vt:i4>
  </property>
</Properties>
</file>