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21.04.2020,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rFonts w:cs="Arial"/>
              <w:sz w:val="20"/>
              <w:szCs w:val="20"/>
            </w:rPr>
            <w:t>Viterokonferenz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 Lars Schaade</w:t>
      </w:r>
    </w:p>
    <w:p>
      <w:pPr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Lothar Wieler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 xml:space="preserve">Abt. 2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Thomas Lampert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0"/>
        </w:rPr>
      </w:pPr>
      <w:r>
        <w:rPr>
          <w:sz w:val="20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ind w:hanging="357"/>
        <w:contextualSpacing w:val="0"/>
        <w:rPr>
          <w:sz w:val="20"/>
        </w:rPr>
      </w:pPr>
      <w:r>
        <w:rPr>
          <w:sz w:val="20"/>
        </w:rPr>
        <w:t>Johanna Hanefeld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FG12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Annette Mankertz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Melanie Brunke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Mardjan Arvand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 xml:space="preserve">Thorsten Wolff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FG21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Patrick Schmich</w:t>
      </w:r>
    </w:p>
    <w:p>
      <w:pPr>
        <w:pStyle w:val="Listenabsatz"/>
        <w:numPr>
          <w:ilvl w:val="0"/>
          <w:numId w:val="5"/>
        </w:numPr>
        <w:spacing w:after="0"/>
        <w:contextualSpacing w:val="0"/>
        <w:rPr>
          <w:sz w:val="20"/>
        </w:rPr>
      </w:pPr>
      <w:r>
        <w:rPr>
          <w:sz w:val="20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Linus Grabenhenrich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Ariane Halm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Walther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Silke Buda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IBBS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Christian Herzog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Presse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ZIG1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Andreas Jansen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Heidrun Thaiss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bookmarkStart w:id="0" w:name="_GoBack"/>
      <w:r>
        <w:rPr>
          <w:sz w:val="20"/>
        </w:rPr>
        <w:t>Bundeswehr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 xml:space="preserve">Katalyn Roßmann </w:t>
      </w:r>
    </w:p>
    <w:bookmarkEnd w:id="0"/>
    <w:p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Länder mit &gt;70.000 neuen Fällen/letzte 7 Tage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USA</w:t>
            </w:r>
            <w:r>
              <w:rPr>
                <w:sz w:val="22"/>
                <w:szCs w:val="22"/>
              </w:rPr>
              <w:t>: Bestätigung des abfallenden Trends, &gt;787.000 Fälle, 42.364 Todesfälle, IHME-Projektion zu kumulativen Todesfällen besagt, dass unter den aktuellen Maßnahmen noch mit einem Anstieg zu rechnen ist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Länder mit &gt;7.000 neuen Fällen/letzte 7 Tage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Russland</w:t>
            </w:r>
            <w:r>
              <w:rPr>
                <w:sz w:val="22"/>
                <w:szCs w:val="22"/>
              </w:rPr>
              <w:t>: starker Fallzahl-Anstieg, R0 aktuell ~2; viel Festland-LKW-Verkehr zwischen Russland und Deutschland, bei Maßnahmenlockerung ist gute Beobachtung wichtig, um neuen unbemerk-ten Import zu verhindern – ZIG1 bleibt dran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 anderen Länder mit R0 ~1, gute Perspektive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Länder mit 1.400-7.000 neuen Fällen/Tag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Singapur</w:t>
            </w:r>
            <w:r>
              <w:rPr>
                <w:sz w:val="22"/>
                <w:szCs w:val="22"/>
              </w:rPr>
              <w:t xml:space="preserve">: R0=2,04, bereits besprochen 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Bangladesch</w:t>
            </w:r>
            <w:r>
              <w:rPr>
                <w:sz w:val="22"/>
                <w:szCs w:val="22"/>
              </w:rPr>
              <w:t>: R0=1,98, wird näher untersucht, auch aufgrund der Rohingya Flüchtlingssituation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Länder mit &gt;100 Fällen und einem R0&gt;1: nicht viel neues seit gestern, die Größe der Punkte stellt die nationalen Fallzahlen dar, je heller ein Landespunkt, desto stärker war der Anstieg in den letzten 7 Tagen, Russland hat aktuell den größten hellblauen Punkt, auch kritisch beobachtet: Somalia, Bangladesch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Australien</w:t>
            </w:r>
            <w:r>
              <w:rPr>
                <w:sz w:val="22"/>
                <w:szCs w:val="22"/>
              </w:rPr>
              <w:t xml:space="preserve">: ursprünglich als Risikoland angesehen wegen Nähe zum Ursprung der Epidemie, 6.619 Fälle, 71 Todesfälle, Fallsterblichkeit 1%, Inzidenz ~26,5/100.000, 65% der Fälle importiert,  &gt;400.000 Testungen (Stand 12.04.), Positivrate 1,5%, Strategie sehr extensiv, weitere Ausweitung geplant, vom 16.-30.04. können sich alle Personen im südlichen Landesteil testen lassen, 83 mobile Teststationen für Aborigines die in Reservate fahren und dort Personen testen, auch PCR-Screening von Abwasser („wastewater surveillance system“) zur räumlichen Bestimmung, hat nichts mit fäkal-oraler Übertragung zu tun; </w:t>
            </w:r>
            <w:r>
              <w:rPr>
                <w:sz w:val="22"/>
                <w:szCs w:val="22"/>
              </w:rPr>
              <w:br/>
              <w:t xml:space="preserve">Maßnahmen: nationaler Notstand seit 13.03., meist Reiseverkehrbezogen, eingeschränkte Reiseerlaubnis innerhalb des Landes, vor allem Fokus auf Influx von Fällen, weiter auch hier genutzte Maßnahmen Schließung von nicht-essentiellen Geschäften und öffentlichen Einrichtungen, aktuell &lt;20 neue Fälle/Tag, Maßnahmen sollen bis Mitte/Ende Mai erhalten </w:t>
            </w:r>
            <w:r>
              <w:rPr>
                <w:sz w:val="22"/>
                <w:szCs w:val="22"/>
              </w:rPr>
              <w:lastRenderedPageBreak/>
              <w:t>bleiben, auch damit gute KoNa gesichert ist;</w:t>
            </w:r>
            <w:r>
              <w:rPr>
                <w:sz w:val="22"/>
                <w:szCs w:val="22"/>
              </w:rPr>
              <w:br/>
              <w:t>Ausnahme: keine Schulschließungen wegen geringer Infektionszahl bei Personen &lt;19 Jahren, Umsetzung von Maßnahmen unterliegt lokalen Behörden, Eltern entscheiden mit, ob Kinder in die Schule gehen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Schulschließungen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Singapur hat auch keine Schulen geschlossen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gibt ein Papier aus Australien zur Strategie bezüglich der Offenhaltung von Schulen, Andreas Jansen teilt es mit allen 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 wissenschaftlichen Begründung hierzu ist noch nicht identifiziert worden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Saisonalität, UV-Einwirkung, Hitzestabilität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Noch keine Evidenz für Klimaauswirkungen, viele Paper präsentieren Modellierungen mit diversen Ergebnissen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noch keine Aussage möglich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Australien und Neuseeland haben gute Surveillanceinstrumente, wenn dort Studien durchgeführt werden sicher mehr Information verfügbar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 und Ramadan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2 Tagen beginnt die Fastenzeit, bis zu 5 Mio. Muslime in Deutschland nehmen auch teil, abendliches Fastenbrechen findet normalerweise in größeren Gruppen und Familien statt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Ramadanverschiebung wurde diskutiert, hohes Risikopotential wegen großer Gruppen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 hat Guideline hierzu publiziert (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Sollte RKI sich hierzu positionieren? 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Nein, kein Hervorheben einer Religion, BMI hat letzten Freitag hierzu Treffen gehabt, generell werden für alle religiösen Gemeinschaften Empfehlungen ausgesprochen</w:t>
            </w:r>
          </w:p>
          <w:p>
            <w:pPr>
              <w:rPr>
                <w:i/>
                <w:sz w:val="22"/>
              </w:rPr>
            </w:pP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SurvNet übermittelte Fälle: 143.457 (+1.785), davon 4.598 (3,2%) Todesfälle (+194), </w:t>
            </w:r>
            <w:r>
              <w:rPr>
                <w:sz w:val="22"/>
                <w:szCs w:val="22"/>
              </w:rPr>
              <w:br/>
              <w:t>Inzidenz 173/100.000 Einw., ca. 95.200 Genesene, R=0,7 (95% KI 0,5-0,8)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 national 173/100.000 Einw.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Nowcast, auch nach Alters- und Geschlechtsgruppen, aufgrund großer 95%KI in den einzelnen Gruppen schwer zu interpretieren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Dashboard-Daten können auch abgerufen werden, allerdings ist ggf. Erklärung hierfür notwendig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IHME Forecast zu Krankenhausressourcen und Todesfällen: s. Folien oder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Brandherde erscheinen in den letzten Tagen geringer, möglicherweise ist Wochenendeffekt noch beinhaltet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DESTATIS Mortalitätssurveillance wird verfügbar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Einrichtungen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Gemeinschaftseinrichtungen: Fälle hier sollten beobachtet werden, da hier häufig Kinder und Jugendliche betreut werden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in Einrichtungen wurden gestern in Lagebericht integriert: dies stieß auf große Medienresonanz, solcherart Informationen können nur aus Meldedaten erhalten werden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aus medizinischem Personal sollten wenn möglich mehr untersucht werden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DIVI IntensivRegister (Folien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&gt;1.200 KKH, in der Bundesstatistik (von vor ein paar Jahren ) waren 1.160 aufgeführt, Lagebild ist jetzt relativ komplett (90%) und nahezu alle Intensivbetten werden erfasst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KKH kann (mehrmals) aus verschiedenen einzelnen Meldebereichen melden (wird noch überarbeitet)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Aktuell ca. 3.000 Patienten, davon ~75% beatmet, dies und die Anzahl der Toten ist relativ stabil über die letzten Wochen seit das Register gute Daten meldet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wird von ~32-33.000 Betten ausgegangen, ca. 40% hiervon sind frei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Zurzeit liegt der Schwerpunkt der Fälle in intensiv-medizinischer Behandlung in BW und BY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 beinhaltet Kategorisierung nach Schwere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Low-care: nicht-invasive Beatmung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High-care: mit invasiver Beatmung, ~8.000 frei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Steuerungs-Prognose von intensivmedizinischen COVID-19-Kapazitäten (SPoCK)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Modell für dieses neue Projekt ist in Arbeit, es basiert u.a. auf aktueller Kapazität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Kick-off Treffen am Donnerstag 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Einzelfalldaten werden als Modellgrundlagen genutzt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Projekt soll über die nächsten 2 Jahre laufen 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lediglich Koordination, andere TN sind DIVI, IMBI Freiburg, IMI Aachen, BMG-finanziert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Intensivmedizinische Versorgung von Kindern und Jugendlichen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Paper aus USA suggerieren hier mögliche Überlastung, kann dies über DIVI erfasst werden?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(neonatologische bzw. Kinderabteilung) sind im Register enthalten aber noch nicht ausgewiesen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 Erfassung der Altersstrukturen wird möglich sein, aktuell sind es jedoch nur aggregierte Daten, in den nächsten Wochen  soll eine Strategie entwickelt werden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Kapazität hierfür kann aus den vorhandenen Informationen erfasst werden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Prä-intensivmedizinischer Bereich 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Werden klinische Verläufe vor Intensivmedizin auch beobachtet, bzw. wird es Parameter/ prädiktive Werte hierzu geben?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Aktuell erhobene Daten beziehen sich ausschließlich auf intensivmedizinischen Bereich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Noch nicht aber in Zukunft: Eine Medizin-Informatik Initiative arbeitet an gemeinsamem Datenübertragungs-system, so dass auch andere Daten und Parameter abgeleitet werden können</w:t>
            </w:r>
          </w:p>
          <w:p>
            <w:pPr>
              <w:pStyle w:val="Listenabsatz"/>
              <w:numPr>
                <w:ilvl w:val="2"/>
                <w:numId w:val="31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 soll auch den stationären Verlauf davor beinhalten mit Anteilen/Charakteristika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Sollen elektive Maßnahmen wieder zugelassen werden? Wird Prognose-modellierung hierfür bereits verwendet werden können? Die Hoffnung ist ja, bleibt abzuwarten, ob es geht, der Wunsch ist, diese Grundlage zu legen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Erkenntnisse über Erreger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Molekulare Surveillance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wird diese jetzt aufgebaut: wird sequenziert und wie wird Sequenzierung entschieden?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leitet Initiative an der verschiedene Bereiche beteiligt sind, Kollaboration mit KL ist auch geplant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Technisches Problem: Vollgenomsequenzierungen aus Proben waren erst nicht möglich, heute TK um diesbezügliche Kapazitäten zu klären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Epidemiologische Begleitung von Proben die im KL auflaufen soll gesichert werden, Vertrag und Kooperationsunterlagen in Fertigstellung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Noch keine Sequenzierungs-Ergebnisse von positiven Proben aus AG Influenza oder Krankenhaus-Kooperation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FG36 (Stefan Kröger) versucht die verschiedenen Bereiche, wo Sequenzierungen in ZBS und Kollaboration mit KL laufen in den Workflow zu integrieren, auch hinsichtlich epidemiologischer Fragestellungen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Nächste Woche wird ausführlicher hierzu berichtet</w:t>
            </w:r>
          </w:p>
          <w:p>
            <w:pPr>
              <w:spacing w:line="276" w:lineRule="auto"/>
              <w:rPr>
                <w:i/>
                <w:sz w:val="22"/>
                <w:szCs w:val="22"/>
              </w:rPr>
            </w:pPr>
          </w:p>
          <w:p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ACE-2-Rezeptor: wo kommt er vor?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Wurde in der Vergangenheit in Enterozyten in der Niere und in der Lunge gefunden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Auch dokumentiert in der Mundschleimhaut, in Blutgefäßen (Lancet Paper beschreibt ihn im Endotel), dies suggeriert eine Beteiligung der Blutgefäße und ubiquitärere Verteilung als ursprünglich vermutet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Ggf. gibt es einen Unterschied zwischen Basis- und Erkrankungszustand, möglicherweise Interferon-vermittelt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bestehen Hinweise auf neurologische Störungen und Beteiligung von Nervenzellen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Bericht aus der Klinik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Präs berichtet von Gespräch mit </w:t>
            </w:r>
            <w:r>
              <w:rPr>
                <w:sz w:val="22"/>
                <w:szCs w:val="22"/>
                <w:highlight w:val="yellow"/>
              </w:rPr>
              <w:t>Herrn?</w:t>
            </w:r>
            <w:r>
              <w:rPr>
                <w:sz w:val="22"/>
                <w:szCs w:val="22"/>
              </w:rPr>
              <w:t xml:space="preserve"> aus klinischem Bereich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werden massiv zentralnervöse Störungen bei COVID-19-Patienten beobachtet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Manche Arbeiten beschreiben, dass Rezeptoren auch in Nervenzellen gefunden werden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KKH-Liegezeiten teilweise sehr lang (5 Wochen)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 klinisches Register über klinische Verläufe wird unter Kollaboration von Lübeck und Charité erstellt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sehr wichtig um die einzelnen Erkrankungsstadien und kritischen Phasen besser zu verstehen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FG17/FG36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FG17/Präs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Präs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Nichts neues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Aktualisierung von Merk- und Informationsblättern, Abstimmung zu ambulanter Pflege läuft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Aktualisierung der Empfehlungen für ArbeitgeberInnen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Ramadan: scheinbar noch keine neue Informationen aus dem BMI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 mit Integrationsbeauftragter bezüglich Aufnahmeeinrichtungen: große Informationsbedarfe, eine pro-aktive Abdeckung dieser ist in Vorbereitung in Form von Piktogrammen und ggf. Videos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Nichts zu berichten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Bundeswehr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Wünscht Trainingsunterlagen und Information zur Qualifizierung der EpiScouts, ist mittlerweile erledigt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Bundeswehr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43"/>
              </w:num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Strategie-Papier „Stärkung ÖGD“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Sollte als Arbeitsauftrag verstanden werden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Minister ist schnell/reaktiv: RKI sollte zeitnah Empfehlungen verfassen, damit diese vom BMG angenommen werden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Frist 22.04.: Meldepflicht zu Überlastungsanzeigen, Selbsteinschätzung der (regionalen? und) lokalen Behörden, damit ggf. auch RKI reagieren kann 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einfaches Ampelsystem ohne Indikatoren erwünscht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</w:rPr>
              <w:t>Bericht und Beschlüsse CDS-Schalte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Beschlüsse die sich mit RKI-Themen beschäftigen </w:t>
            </w:r>
            <w:r>
              <w:rPr>
                <w:sz w:val="22"/>
                <w:szCs w:val="22"/>
              </w:rPr>
              <w:lastRenderedPageBreak/>
              <w:t xml:space="preserve">kommen oft über die Länder und nicht über die Regierung bei uns an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Kommunikation geht direkt vom Minister aus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Papiere wurden bei Bundespressekonferenz ausgelegt und wahrscheinlich auf BMG-Homepage veröffentlicht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Arbeitsebene eventuell nicht immer durch Minister beteiligt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ToDo: RKI LZ (LZ-Leitung?) bittet BMG LZ das RKI über solcherart Dinge zu informieren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43"/>
              </w:num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besprochen 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FG32/Präs/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VPräs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Sprachregelung R (Basis vs. Effektive Reproduktionszahl)/ aktuelle Entwicklung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Wunsch des BMG, bezieht sich auf bundesweites Kontaktverbot und Stilllegen der Wirtschaft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Matthias an der Heiden hat kommentiert, Bewegungsdaten sollen eingefügt werden (Dirk Brockmann), bevor es zurück ans BMG geht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sind jedoch noch andere Komponenten zu berücksichtigen, Papier sollte nicht nur R-bezogen sein/diese nicht überbewerten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Multikomponentenansatz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Absage von Massenveranstaltungen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Unterbrechen von Übertragungsketten zwischen verschiedenen Bereichen (Kontaktsperre)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Kommunikationsherausforderung, da R nur einer der Parameter ist, gerade die COVID-19-Kurven bei &gt;80-jährigen, Todesfällen, DIVI-Prognosen zeigen diverse andere Entscheidungskriterien, die mit berücksichtigt werden müssen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Transmission (vielleicht auch R)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Individuelle klinische schwere (Klinikberichte)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Impact (DIVI System und Todesfälle</w:t>
            </w:r>
          </w:p>
          <w:p>
            <w:p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Alle drei müssen berücksichtigt werden und darauf basierend kann über Maßnahmen Abbau oder Zusatz entschieden werden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Walter Haas macht noch einen Zusatz im Papier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ToDo: Dirk Brockmann soll die erwünschten Bewegungsdaten einfügen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ToDo: Walter Haas ergänzt im o.g. Sinne, dann soll es zurück ans BMG (Iris Andernach) gehen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Empfehlungen für Erstaufnahmeeinrichtungen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Halberstadt Einsatz war aufgrund der Komplexität schwierig, hat aber generische Gedanken angestoßen, die auch heute auf der AGI-Agenda stehen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 BAMF beschäftigt sich niemand hiermit, es wird als </w:t>
            </w:r>
            <w:r>
              <w:rPr>
                <w:sz w:val="22"/>
                <w:szCs w:val="22"/>
              </w:rPr>
              <w:lastRenderedPageBreak/>
              <w:t>Verantwortung der Länder gesehen (ist dies dokumentiert?)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Interne Abstimmung läuft, Dokument ist noch nicht AGI-reif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Wiedereröffnung von Schulen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Dokument ging an BMG, noch keine Rückmeldung, wurde an AGI geschickt und wird dort heute besprochen, Walter Haas nimmt deswegen an AGI teil</w:t>
            </w:r>
          </w:p>
          <w:p>
            <w:pPr>
              <w:rPr>
                <w:i/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FG32/FG36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FG36/FG32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Letzte Woche hat FG36 ein Motivationsschreiben an AG Influenza Praxen geschickt, heute werden 27 Proben getestet, (zu) niedriges Probenaufkommen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Kostenübernahme für Testungen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Gibt es Neuigkeiten nach BMG-Papier „testen, testen, testen“, wer bezahlt für Testungen?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Anfragen dieser Art ans BMG LZ schicken, dort wird daran gearbeitet, RKI soll sich nicht äußern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AG Diagnostik wird Kostenübernahme aktuell und insbesondere für serologische Testungen diskutiert, noch kein finales Ergebnis hierzu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Rückmeldung von AGI Ärzten: sie würden gerne Patienten beproben, aber Patienten werden umgeleitet und nicht mehr in den primärversorgenden Praxen gesehen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FG17/alle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0"/>
                <w:szCs w:val="22"/>
              </w:rPr>
            </w:pPr>
            <w:r>
              <w:rPr>
                <w:sz w:val="22"/>
              </w:rPr>
              <w:t>Präsentation/Update zum DIVI-Register, s. oben Lage National</w:t>
            </w:r>
          </w:p>
          <w:p>
            <w:pPr>
              <w:spacing w:line="276" w:lineRule="auto"/>
              <w:rPr>
                <w:i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Hygieneempfehlungen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RKI Empfehlung ist im Umgang mit COVID-Patienten wenn möglich FFP2-Masken zu nutzen, zusätzlich: bei Masken-Knappheit und wenn keine aerosolgenerierenden Maßnahmen stattfinden kann auch MNS verwendet werden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Wurde als rechtswidrige Empfehlung gesehen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BMG möchte nun, dass RKI dem BMAS Formulierungsvorschlag nähertritt mit zusätzlichem Disclaimer „wenn Notlage…“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 TK hierzu steht aus, Einladung durch BMG wird erfolgen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MNS oder MNB am RKI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Außerhalb des Büros sollen MA eigenständig den Empfehlungen des RKI Folge leisten, dies beinhaltet auch ÖPNV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soll im Büro vorgegangen werden: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sollte generell mit gutem Beispiel voran gehen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Hausverfügung, Masken auf dem Flur zu tragen?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Textile Masken oder professioneller MNS?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wenn Abstand nicht eingehalten werden kann?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Masken sinnvoll, gerade bei längeren Besprechungen zusätzlich zu Abstand implementieren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Aktuell wird diesbezüglich von der Allgemeinbevölkerung selber </w:t>
            </w:r>
            <w:r>
              <w:rPr>
                <w:sz w:val="22"/>
                <w:szCs w:val="22"/>
              </w:rPr>
              <w:lastRenderedPageBreak/>
              <w:t>eine Lösung erwartet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Wenn Masken sollte auch Desinfektionsmittel zur Verfügung gestellt werden, genug 1-mal MNS mit Desinfektionsmittel-spendern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sollte eine institutsweite Regelung gefunden werden, auch bezüglich auf- und absetzen der Masken, Lagerung etc. sollte unter angemessenen Hygieneumständen erfolgen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Schlussfolgerung: MNS am RKI, noch nicht klar, ob immer oder bei Abstandsproblemen, professioneller MNS mit entsprechendem Desinfektionsmittel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Große Mehrheit des Krisenstabs ist für Masken am RKI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ToDo: VPräs bespricht dies mit den entsprechende Stellen im Haus 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VPräs/FG14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Rechtsänderungen IfSG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Kommentierungsfrist bis morgen, auch Meldung von Negativtestungen soll ermöglicht werden, wurde bereits bei der EpiLag diskutiert, besser die Diskussion morgen zu führen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Vertagt auf morgen (bitte wenig auf die Agenda)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Transport und Grenzübergangsstellen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Internationales </w:t>
            </w:r>
            <w:r>
              <w:rPr>
                <w:b/>
                <w:color w:val="FF0000"/>
                <w:sz w:val="22"/>
              </w:rPr>
              <w:t>(nur freitags)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  <w:sz w:val="22"/>
              </w:rPr>
              <w:t>(sonst nur montags)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0"/>
                <w:szCs w:val="22"/>
              </w:rPr>
            </w:pPr>
            <w:r>
              <w:rPr>
                <w:sz w:val="22"/>
              </w:rPr>
              <w:t xml:space="preserve">1. Charité-App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Fragebogen läuft dort (Charité)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 möchte, dass dies auf RKI-Seite eingebunden wird, aber aktuell fehlt die rechtliche Grundlage hierzu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 prüft dies, am Donnerstag gibt es eine TK, RKI-Presse ist involviert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0"/>
                <w:szCs w:val="22"/>
              </w:rPr>
            </w:pPr>
            <w:r>
              <w:rPr>
                <w:sz w:val="22"/>
              </w:rPr>
              <w:t xml:space="preserve">2. Datenspende-App: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Aktiv, Nutzerzahlen sind hoch (~1 Mio. haben sich registriert, 300-400.000 Nutzer haben sich verbunden)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Aktuell wird daran gearbeitet, Ergebnisse zu produzieren, 14 Tage sind notwendig, um Veränderungen zu sehen, Ergebnisdarstellung mit interaktivem Design soll ab Sonntag/Montag erfolgen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Freitagabend viel Diskussion, Chaos Computer Club fühlt sich in die Entwicklung der Bundesregierung nicht genügend eingebunden und möchte künftig stärker involviert werden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Kritik ist u.a., dass Quellcode der App nicht veröffentlicht wird, wird auch für andere RKI-Lizenzprodukte nicht veröffentlicht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3. PEPP-PT Konsortium: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Mediale Macht und mögliche Konsequenzen (s.o. Chaos Computer Club) müssen RKI bewusst sein, wenn es RKI-Produkt herausbringt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Automatisierte Erfassung von Kontakten durch die App erfolgt großflächig, wenn Element aus einer Kette infiziert wird, werden andere Kontakte informiert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Konsortium ist groß, auch Zusammenarbeit mit Fraunhofer, manche Player mittlerweile wieder verschwunden, Schweizer Kollegen haben sich mit großer Gruppe gegen das Konsortium gewandt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 RKI Sprachregelung, die sich am Produkt und der Funktionalität des Produkts orientiert ist notwendig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Außerdem gibt es ein Apple und Google Konsortium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Heute Vorgespräch mit dem neuem Projektmanager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Morgen Gespräche mit BMG, PWC zum Datenschutzkonzept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Zielkomponenten müssen in Einklang gebracht, Datenkonzept und Dokumente strukturiert werden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Angedachte Zielfunktionalität ist, dass GA nicht die Leute anrufen müssen, GA bis jetzt nicht aktiv involviert, Erklärung, wie GA-Entlastung praktisch laufen soll steht noch aus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wurde eine Karte erstellt, auf der die digitalen Projekte veranschaulicht werden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Information aus dem Lagezentrum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Anfrage aus BMFSJ zu Beteiligung RKI an Leitfadenerstellung zur Wiedereröffnung Kitas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Wunsch ist Beteiligung von RKI-Experten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Weiterleitung an das BMG mit Bitte um Entscheidung, ob RKI sich einbringen soll, BMG soll Kontrolle behalten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Wenn RKI mitmacht, sollte es in Studien involviert sein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 soll entscheiden, ob sie ggf. in Kooperation mit externen Studien aufsetzen könnten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ToDo: überprüfen ob Anfrage über BMG kam, ansonsten zunächst Weiterleitung an BMG mit Frage ob RKI beteiligt werden soll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12:00 Wöchentliche Pressekonferenz von ALM (</w:t>
            </w:r>
            <w:proofErr w:type="spellStart"/>
            <w:r>
              <w:rPr>
                <w:sz w:val="22"/>
                <w:szCs w:val="22"/>
              </w:rPr>
              <w:t>PreAkkreditierte</w:t>
            </w:r>
            <w:proofErr w:type="spellEnd"/>
            <w:r>
              <w:rPr>
                <w:sz w:val="22"/>
                <w:szCs w:val="22"/>
              </w:rPr>
              <w:t xml:space="preserve"> Labore in der Medizin)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13:00 AGI Telefonkonferenz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 und 15:30 Pressekonferenzen Ministerium für Soziales, Arbeit, Gesundheit und Demografie Rheinland-Pfalz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Noch offen: Soll großzügiges </w:t>
            </w:r>
            <w:proofErr w:type="spellStart"/>
            <w:r>
              <w:rPr>
                <w:sz w:val="22"/>
                <w:szCs w:val="22"/>
              </w:rPr>
              <w:t>home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office</w:t>
            </w:r>
            <w:proofErr w:type="spellEnd"/>
            <w:r>
              <w:rPr>
                <w:sz w:val="22"/>
                <w:szCs w:val="22"/>
              </w:rPr>
              <w:t xml:space="preserve"> für MA jetzt rückgängig gemacht werden? E-Mail Präs am 16.04. um 16:22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Bitte wenig auf die Agenda morgen um Diskussion zu IfSG-Änderungen zu ermöglichen (VPräs)</w:t>
            </w:r>
          </w:p>
          <w:p>
            <w:pPr>
              <w:pStyle w:val="Listenabsatz"/>
              <w:ind w:left="45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Nächste Sitzung: Mittwoch, 22.04.2020, 11:00 Uhr, via Vitero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jc w:val="right"/>
      <w:rPr>
        <w:i/>
        <w:color w:val="7F7F7F" w:themeColor="text1" w:themeTint="80"/>
      </w:rPr>
    </w:pPr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</w:rPr>
      <w:tab/>
    </w:r>
    <w:r>
      <w:rPr>
        <w:color w:val="1F497D" w:themeColor="text2"/>
      </w:rPr>
      <w:tab/>
    </w:r>
    <w:r>
      <w:rPr>
        <w:noProof/>
        <w:color w:val="1F497D" w:themeColor="text2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824"/>
    <w:multiLevelType w:val="hybridMultilevel"/>
    <w:tmpl w:val="9ED49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5E55"/>
    <w:multiLevelType w:val="hybridMultilevel"/>
    <w:tmpl w:val="4E1A912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0737CF"/>
    <w:multiLevelType w:val="hybridMultilevel"/>
    <w:tmpl w:val="A198B08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250161"/>
    <w:multiLevelType w:val="hybridMultilevel"/>
    <w:tmpl w:val="1922A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E4327"/>
    <w:multiLevelType w:val="hybridMultilevel"/>
    <w:tmpl w:val="F936256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E3979"/>
    <w:multiLevelType w:val="hybridMultilevel"/>
    <w:tmpl w:val="45764AC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E51AC878">
      <w:start w:val="1"/>
      <w:numFmt w:val="bullet"/>
      <w:lvlText w:val="-"/>
      <w:lvlJc w:val="left"/>
      <w:pPr>
        <w:ind w:left="4680" w:hanging="360"/>
      </w:pPr>
      <w:rPr>
        <w:rFonts w:ascii="Calibri" w:hAnsi="Calibri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A2849"/>
    <w:multiLevelType w:val="hybridMultilevel"/>
    <w:tmpl w:val="FC6E9F7A"/>
    <w:lvl w:ilvl="0" w:tplc="77B04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C6FC4"/>
    <w:multiLevelType w:val="hybridMultilevel"/>
    <w:tmpl w:val="64BAC0EE"/>
    <w:lvl w:ilvl="0" w:tplc="23EEE308"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C67DD"/>
    <w:multiLevelType w:val="hybridMultilevel"/>
    <w:tmpl w:val="8FB83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F6FE9"/>
    <w:multiLevelType w:val="hybridMultilevel"/>
    <w:tmpl w:val="10805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47304"/>
    <w:multiLevelType w:val="hybridMultilevel"/>
    <w:tmpl w:val="C3485AA0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C212D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97807"/>
    <w:multiLevelType w:val="hybridMultilevel"/>
    <w:tmpl w:val="8E6C29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2A07E2"/>
    <w:multiLevelType w:val="hybridMultilevel"/>
    <w:tmpl w:val="2F145C3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977DEE"/>
    <w:multiLevelType w:val="hybridMultilevel"/>
    <w:tmpl w:val="DF240308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6B3F35"/>
    <w:multiLevelType w:val="hybridMultilevel"/>
    <w:tmpl w:val="2B76A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31578"/>
    <w:multiLevelType w:val="hybridMultilevel"/>
    <w:tmpl w:val="5024F0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F21567"/>
    <w:multiLevelType w:val="hybridMultilevel"/>
    <w:tmpl w:val="B7663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633CA"/>
    <w:multiLevelType w:val="hybridMultilevel"/>
    <w:tmpl w:val="313C207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6456F5"/>
    <w:multiLevelType w:val="hybridMultilevel"/>
    <w:tmpl w:val="472A7808"/>
    <w:lvl w:ilvl="0" w:tplc="42E83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313F4"/>
    <w:multiLevelType w:val="hybridMultilevel"/>
    <w:tmpl w:val="4B020A48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</w:rPr>
    </w:lvl>
    <w:lvl w:ilvl="1" w:tplc="C212D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418FF"/>
    <w:multiLevelType w:val="hybridMultilevel"/>
    <w:tmpl w:val="53C6567A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53985"/>
    <w:multiLevelType w:val="hybridMultilevel"/>
    <w:tmpl w:val="BC766FF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B44C8"/>
    <w:multiLevelType w:val="hybridMultilevel"/>
    <w:tmpl w:val="C9B49F4C"/>
    <w:lvl w:ilvl="0" w:tplc="0409000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43753D"/>
    <w:multiLevelType w:val="hybridMultilevel"/>
    <w:tmpl w:val="9DCAF056"/>
    <w:lvl w:ilvl="0" w:tplc="AE266874"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4D10A8A"/>
    <w:multiLevelType w:val="hybridMultilevel"/>
    <w:tmpl w:val="7EFE77B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F0180D"/>
    <w:multiLevelType w:val="hybridMultilevel"/>
    <w:tmpl w:val="E8023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C4816"/>
    <w:multiLevelType w:val="hybridMultilevel"/>
    <w:tmpl w:val="675C8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9A7A9B"/>
    <w:multiLevelType w:val="hybridMultilevel"/>
    <w:tmpl w:val="DF2087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7F4FB2"/>
    <w:multiLevelType w:val="hybridMultilevel"/>
    <w:tmpl w:val="6012E62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D8161FE"/>
    <w:multiLevelType w:val="hybridMultilevel"/>
    <w:tmpl w:val="B20AD5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33F5"/>
    <w:multiLevelType w:val="hybridMultilevel"/>
    <w:tmpl w:val="00E48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23E21"/>
    <w:multiLevelType w:val="hybridMultilevel"/>
    <w:tmpl w:val="6760482C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3E87"/>
    <w:multiLevelType w:val="hybridMultilevel"/>
    <w:tmpl w:val="3D00A4FE"/>
    <w:lvl w:ilvl="0" w:tplc="39A83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E763D"/>
    <w:multiLevelType w:val="hybridMultilevel"/>
    <w:tmpl w:val="3552D348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D4259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95618"/>
    <w:multiLevelType w:val="hybridMultilevel"/>
    <w:tmpl w:val="18E0A4D6"/>
    <w:lvl w:ilvl="0" w:tplc="E51AC87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62AA0"/>
    <w:multiLevelType w:val="hybridMultilevel"/>
    <w:tmpl w:val="EE5A9F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114FE"/>
    <w:multiLevelType w:val="hybridMultilevel"/>
    <w:tmpl w:val="FAE82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537FB"/>
    <w:multiLevelType w:val="hybridMultilevel"/>
    <w:tmpl w:val="5D4A4516"/>
    <w:lvl w:ilvl="0" w:tplc="BCF81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036B6"/>
    <w:multiLevelType w:val="hybridMultilevel"/>
    <w:tmpl w:val="5476C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7"/>
  </w:num>
  <w:num w:numId="4">
    <w:abstractNumId w:val="5"/>
  </w:num>
  <w:num w:numId="5">
    <w:abstractNumId w:val="25"/>
  </w:num>
  <w:num w:numId="6">
    <w:abstractNumId w:val="10"/>
  </w:num>
  <w:num w:numId="7">
    <w:abstractNumId w:val="22"/>
  </w:num>
  <w:num w:numId="8">
    <w:abstractNumId w:val="8"/>
  </w:num>
  <w:num w:numId="9">
    <w:abstractNumId w:val="15"/>
  </w:num>
  <w:num w:numId="10">
    <w:abstractNumId w:val="20"/>
  </w:num>
  <w:num w:numId="11">
    <w:abstractNumId w:val="43"/>
  </w:num>
  <w:num w:numId="12">
    <w:abstractNumId w:val="3"/>
  </w:num>
  <w:num w:numId="13">
    <w:abstractNumId w:val="44"/>
  </w:num>
  <w:num w:numId="14">
    <w:abstractNumId w:val="19"/>
  </w:num>
  <w:num w:numId="15">
    <w:abstractNumId w:val="21"/>
  </w:num>
  <w:num w:numId="16">
    <w:abstractNumId w:val="1"/>
  </w:num>
  <w:num w:numId="17">
    <w:abstractNumId w:val="38"/>
  </w:num>
  <w:num w:numId="18">
    <w:abstractNumId w:val="13"/>
  </w:num>
  <w:num w:numId="19">
    <w:abstractNumId w:val="35"/>
  </w:num>
  <w:num w:numId="20">
    <w:abstractNumId w:val="32"/>
  </w:num>
  <w:num w:numId="21">
    <w:abstractNumId w:val="45"/>
  </w:num>
  <w:num w:numId="22">
    <w:abstractNumId w:val="4"/>
  </w:num>
  <w:num w:numId="23">
    <w:abstractNumId w:val="16"/>
  </w:num>
  <w:num w:numId="24">
    <w:abstractNumId w:val="24"/>
  </w:num>
  <w:num w:numId="25">
    <w:abstractNumId w:val="37"/>
  </w:num>
  <w:num w:numId="26">
    <w:abstractNumId w:val="39"/>
  </w:num>
  <w:num w:numId="27">
    <w:abstractNumId w:val="0"/>
  </w:num>
  <w:num w:numId="28">
    <w:abstractNumId w:val="33"/>
  </w:num>
  <w:num w:numId="29">
    <w:abstractNumId w:val="11"/>
  </w:num>
  <w:num w:numId="30">
    <w:abstractNumId w:val="42"/>
  </w:num>
  <w:num w:numId="31">
    <w:abstractNumId w:val="14"/>
  </w:num>
  <w:num w:numId="32">
    <w:abstractNumId w:val="34"/>
  </w:num>
  <w:num w:numId="33">
    <w:abstractNumId w:val="36"/>
  </w:num>
  <w:num w:numId="34">
    <w:abstractNumId w:val="23"/>
  </w:num>
  <w:num w:numId="35">
    <w:abstractNumId w:val="28"/>
  </w:num>
  <w:num w:numId="36">
    <w:abstractNumId w:val="31"/>
  </w:num>
  <w:num w:numId="37">
    <w:abstractNumId w:val="12"/>
  </w:num>
  <w:num w:numId="38">
    <w:abstractNumId w:val="18"/>
  </w:num>
  <w:num w:numId="39">
    <w:abstractNumId w:val="41"/>
  </w:num>
  <w:num w:numId="40">
    <w:abstractNumId w:val="2"/>
  </w:num>
  <w:num w:numId="41">
    <w:abstractNumId w:val="6"/>
  </w:num>
  <w:num w:numId="42">
    <w:abstractNumId w:val="40"/>
  </w:num>
  <w:num w:numId="43">
    <w:abstractNumId w:val="30"/>
  </w:num>
  <w:num w:numId="44">
    <w:abstractNumId w:val="26"/>
  </w:num>
  <w:num w:numId="45">
    <w:abstractNumId w:val="29"/>
  </w:num>
  <w:num w:numId="46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AAB61FC8-E120-4013-A6ED-3411F91A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alma\AppData\Roaming\Microsoft\Word\Hochladen\Lage_21_04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ochladen/DIVI%20IntensivRegister%20und%20SPoCK%20-%20Update%202020_04_21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vid19.healthdata.org/german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halma\AppData\Roaming\Microsoft\Word\Hochladen\Lage-National_2020-04-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who.int/iris/bitstream/handle/10665/331767/WHO-2019-nCoV-Ramadan-2020.1-eng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500B8-B2AF-4150-AAFA-C3E12FBE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2633</Words>
  <Characters>16588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14</cp:revision>
  <dcterms:created xsi:type="dcterms:W3CDTF">2020-04-21T06:45:00Z</dcterms:created>
  <dcterms:modified xsi:type="dcterms:W3CDTF">2021-04-12T14:35:00Z</dcterms:modified>
</cp:coreProperties>
</file>