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15.05.2020,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Viterokonferenz</w:t>
          </w:r>
        </w:sdtContent>
      </w:sdt>
    </w:p>
    <w:p>
      <w:pPr>
        <w:rPr>
          <w:b/>
          <w:sz w:val="22"/>
        </w:rPr>
      </w:pPr>
      <w:r>
        <w:rPr>
          <w:b/>
          <w:sz w:val="22"/>
        </w:rPr>
        <w:t xml:space="preserve">Moderation:  Osamah Hamouda </w:t>
      </w:r>
    </w:p>
    <w:p>
      <w:pPr>
        <w:spacing w:after="0"/>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AL1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AL3</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ZIGL</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Mardjan Arvand</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proofErr w:type="spellStart"/>
      <w:r>
        <w:rPr>
          <w:sz w:val="22"/>
        </w:rPr>
        <w:t>Dschin</w:t>
      </w:r>
      <w:proofErr w:type="spellEnd"/>
      <w:r>
        <w:rPr>
          <w:sz w:val="22"/>
        </w:rPr>
        <w:t>-Je Oh</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Michaela Diercke</w:t>
      </w:r>
    </w:p>
    <w:p>
      <w:pPr>
        <w:pStyle w:val="Listenabsatz"/>
        <w:numPr>
          <w:ilvl w:val="0"/>
          <w:numId w:val="2"/>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1"/>
          <w:numId w:val="2"/>
        </w:numPr>
        <w:spacing w:after="0"/>
        <w:contextualSpacing w:val="0"/>
        <w:rPr>
          <w:sz w:val="22"/>
        </w:rPr>
      </w:pPr>
      <w:r>
        <w:rPr>
          <w:sz w:val="22"/>
        </w:rPr>
        <w:t>Kristin Tolksdorf</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Jamela Seedat</w:t>
      </w:r>
    </w:p>
    <w:p>
      <w:pPr>
        <w:pStyle w:val="Listenabsatz"/>
        <w:numPr>
          <w:ilvl w:val="0"/>
          <w:numId w:val="4"/>
        </w:numPr>
        <w:spacing w:after="0"/>
        <w:contextualSpacing w:val="0"/>
        <w:rPr>
          <w:sz w:val="22"/>
        </w:rPr>
      </w:pPr>
      <w:r>
        <w:rPr>
          <w:sz w:val="22"/>
        </w:rPr>
        <w:t>ZBS1</w:t>
      </w:r>
    </w:p>
    <w:p>
      <w:pPr>
        <w:pStyle w:val="Listenabsatz"/>
        <w:numPr>
          <w:ilvl w:val="1"/>
          <w:numId w:val="4"/>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contextualSpacing w:val="0"/>
        <w:rPr>
          <w:sz w:val="22"/>
        </w:rPr>
      </w:pPr>
      <w:r>
        <w:rPr>
          <w:sz w:val="22"/>
        </w:rPr>
        <w:lastRenderedPageBreak/>
        <w:t>Bundeswehr</w:t>
      </w:r>
    </w:p>
    <w:p>
      <w:pPr>
        <w:pStyle w:val="Listenabsatz"/>
        <w:numPr>
          <w:ilvl w:val="1"/>
          <w:numId w:val="2"/>
        </w:numPr>
        <w:spacing w:after="0"/>
        <w:contextualSpacing w:val="0"/>
        <w:rPr>
          <w:sz w:val="22"/>
        </w:rPr>
      </w:pPr>
      <w:r>
        <w:rPr>
          <w:sz w:val="22"/>
        </w:rPr>
        <w:t xml:space="preserve">Katalyn Roßmann </w:t>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31"/>
              </w:numPr>
              <w:ind w:left="924" w:hanging="357"/>
              <w:rPr>
                <w:sz w:val="22"/>
                <w:szCs w:val="22"/>
              </w:rPr>
            </w:pPr>
            <w:r>
              <w:rPr>
                <w:sz w:val="22"/>
                <w:szCs w:val="22"/>
              </w:rPr>
              <w:t>Top 10 Länder nach Fallzahlen: ca. 4,5 Mio. Fälle, erste Plätze sind unverändert, Fallzahlen in United Kingdom gehen nach unten</w:t>
            </w:r>
          </w:p>
          <w:p>
            <w:pPr>
              <w:pStyle w:val="Listenabsatz"/>
              <w:numPr>
                <w:ilvl w:val="1"/>
                <w:numId w:val="31"/>
              </w:numPr>
              <w:ind w:left="924" w:hanging="357"/>
              <w:rPr>
                <w:sz w:val="22"/>
                <w:szCs w:val="22"/>
              </w:rPr>
            </w:pPr>
            <w:r>
              <w:rPr>
                <w:sz w:val="22"/>
                <w:szCs w:val="22"/>
              </w:rPr>
              <w:t xml:space="preserve">Länder mit &gt; 70.000 neuen Fällen in letzten 7 Tagen: </w:t>
            </w:r>
          </w:p>
          <w:p>
            <w:pPr>
              <w:pStyle w:val="Listenabsatz"/>
              <w:numPr>
                <w:ilvl w:val="2"/>
                <w:numId w:val="31"/>
              </w:numPr>
              <w:ind w:left="1491" w:hanging="357"/>
              <w:rPr>
                <w:sz w:val="22"/>
                <w:szCs w:val="22"/>
              </w:rPr>
            </w:pPr>
            <w:r>
              <w:rPr>
                <w:sz w:val="22"/>
                <w:szCs w:val="22"/>
              </w:rPr>
              <w:t xml:space="preserve">Russland: ca. ¼ Mio. Fälle. Die Fallzahlen stabilisieren sich. Die Testung wurde deutlich verstärkt. </w:t>
            </w:r>
          </w:p>
          <w:p>
            <w:pPr>
              <w:pStyle w:val="Listenabsatz"/>
              <w:numPr>
                <w:ilvl w:val="2"/>
                <w:numId w:val="31"/>
              </w:numPr>
              <w:ind w:left="1491" w:hanging="357"/>
              <w:rPr>
                <w:sz w:val="22"/>
                <w:szCs w:val="22"/>
              </w:rPr>
            </w:pPr>
            <w:r>
              <w:rPr>
                <w:sz w:val="22"/>
                <w:szCs w:val="22"/>
              </w:rPr>
              <w:t>Vereinigte Staaten: Trend geht nach unten. Die Testung wurde nicht verstärkt. Maßnahmen werden weiter gelockert.</w:t>
            </w:r>
          </w:p>
          <w:p>
            <w:pPr>
              <w:pStyle w:val="Listenabsatz"/>
              <w:numPr>
                <w:ilvl w:val="1"/>
                <w:numId w:val="31"/>
              </w:numPr>
              <w:ind w:left="924" w:hanging="357"/>
              <w:rPr>
                <w:sz w:val="22"/>
                <w:szCs w:val="22"/>
              </w:rPr>
            </w:pPr>
            <w:r>
              <w:rPr>
                <w:sz w:val="22"/>
                <w:szCs w:val="22"/>
              </w:rPr>
              <w:t xml:space="preserve">Länder mit 7.000-70.000 neuen Fällen in letzten 7 Tagen: </w:t>
            </w:r>
          </w:p>
          <w:p>
            <w:pPr>
              <w:pStyle w:val="Listenabsatz"/>
              <w:numPr>
                <w:ilvl w:val="2"/>
                <w:numId w:val="31"/>
              </w:numPr>
              <w:ind w:left="1491" w:hanging="357"/>
              <w:rPr>
                <w:sz w:val="22"/>
                <w:szCs w:val="22"/>
              </w:rPr>
            </w:pPr>
            <w:r>
              <w:rPr>
                <w:sz w:val="22"/>
                <w:szCs w:val="22"/>
              </w:rPr>
              <w:t>Iran: Lockerungen wurden eingeführt, in einigen Bezirken punktueller Anstieg. Nächste Woche erfolgt detaillierter Bericht.</w:t>
            </w:r>
          </w:p>
          <w:p>
            <w:pPr>
              <w:pStyle w:val="Listenabsatz"/>
              <w:numPr>
                <w:ilvl w:val="1"/>
                <w:numId w:val="31"/>
              </w:numPr>
              <w:ind w:left="924" w:hanging="357"/>
              <w:rPr>
                <w:sz w:val="22"/>
                <w:szCs w:val="22"/>
              </w:rPr>
            </w:pPr>
            <w:r>
              <w:rPr>
                <w:sz w:val="22"/>
                <w:szCs w:val="22"/>
              </w:rPr>
              <w:t xml:space="preserve">Länder mit 1.400–7.000 neuen Fällen in letzten 7 Tagen: </w:t>
            </w:r>
          </w:p>
          <w:p>
            <w:pPr>
              <w:pStyle w:val="Listenabsatz"/>
              <w:numPr>
                <w:ilvl w:val="2"/>
                <w:numId w:val="31"/>
              </w:numPr>
              <w:ind w:left="1491" w:hanging="357"/>
              <w:rPr>
                <w:sz w:val="22"/>
                <w:szCs w:val="22"/>
              </w:rPr>
            </w:pPr>
            <w:r>
              <w:rPr>
                <w:sz w:val="22"/>
                <w:szCs w:val="22"/>
              </w:rPr>
              <w:t>Anstieg in Kuweit, Bahrain: vor allem durch Ausbrüche in der Population der Gastarbeiter</w:t>
            </w:r>
          </w:p>
          <w:p>
            <w:pPr>
              <w:pStyle w:val="Listenabsatz"/>
              <w:numPr>
                <w:ilvl w:val="1"/>
                <w:numId w:val="31"/>
              </w:numPr>
              <w:ind w:left="924" w:hanging="357"/>
              <w:rPr>
                <w:sz w:val="22"/>
                <w:szCs w:val="22"/>
              </w:rPr>
            </w:pPr>
            <w:r>
              <w:rPr>
                <w:sz w:val="22"/>
                <w:szCs w:val="22"/>
              </w:rPr>
              <w:t xml:space="preserve">Länder mit &gt;100 Fällen und einem R </w:t>
            </w:r>
            <w:proofErr w:type="spellStart"/>
            <w:r>
              <w:rPr>
                <w:sz w:val="22"/>
                <w:szCs w:val="22"/>
              </w:rPr>
              <w:t>eff</w:t>
            </w:r>
            <w:proofErr w:type="spellEnd"/>
            <w:r>
              <w:rPr>
                <w:sz w:val="22"/>
                <w:szCs w:val="22"/>
              </w:rPr>
              <w:t xml:space="preserve">. &gt; 1, u.a.: </w:t>
            </w:r>
          </w:p>
          <w:p>
            <w:pPr>
              <w:pStyle w:val="Listenabsatz"/>
              <w:numPr>
                <w:ilvl w:val="2"/>
                <w:numId w:val="31"/>
              </w:numPr>
              <w:ind w:left="1491" w:hanging="357"/>
              <w:rPr>
                <w:sz w:val="22"/>
                <w:szCs w:val="22"/>
              </w:rPr>
            </w:pPr>
            <w:r>
              <w:rPr>
                <w:sz w:val="22"/>
                <w:szCs w:val="22"/>
              </w:rPr>
              <w:t xml:space="preserve">Russland: absteigender Trend </w:t>
            </w:r>
          </w:p>
          <w:p>
            <w:pPr>
              <w:pStyle w:val="Listenabsatz"/>
              <w:numPr>
                <w:ilvl w:val="2"/>
                <w:numId w:val="31"/>
              </w:numPr>
              <w:ind w:left="1491" w:hanging="357"/>
              <w:rPr>
                <w:sz w:val="22"/>
                <w:szCs w:val="22"/>
              </w:rPr>
            </w:pPr>
            <w:r>
              <w:rPr>
                <w:sz w:val="22"/>
                <w:szCs w:val="22"/>
              </w:rPr>
              <w:t>Brasilien: leicht absteigende Tendenz</w:t>
            </w:r>
          </w:p>
          <w:p>
            <w:pPr>
              <w:pStyle w:val="Listenabsatz"/>
              <w:numPr>
                <w:ilvl w:val="2"/>
                <w:numId w:val="31"/>
              </w:numPr>
              <w:ind w:left="1491" w:hanging="357"/>
              <w:rPr>
                <w:sz w:val="22"/>
                <w:szCs w:val="22"/>
              </w:rPr>
            </w:pPr>
            <w:r>
              <w:rPr>
                <w:sz w:val="22"/>
                <w:szCs w:val="22"/>
              </w:rPr>
              <w:t>Kambodscha: R-Wert von 5, bedingt durch kleine Fallzahlen</w:t>
            </w:r>
          </w:p>
          <w:p>
            <w:pPr>
              <w:pStyle w:val="Listenabsatz"/>
              <w:ind w:left="1080"/>
              <w:rPr>
                <w:sz w:val="22"/>
                <w:szCs w:val="22"/>
              </w:rPr>
            </w:pPr>
          </w:p>
          <w:p>
            <w:pPr>
              <w:pStyle w:val="Listenabsatz"/>
              <w:numPr>
                <w:ilvl w:val="0"/>
                <w:numId w:val="31"/>
              </w:numPr>
              <w:ind w:left="450" w:hanging="232"/>
              <w:rPr>
                <w:sz w:val="22"/>
                <w:szCs w:val="22"/>
              </w:rPr>
            </w:pPr>
            <w:r>
              <w:rPr>
                <w:sz w:val="22"/>
                <w:szCs w:val="22"/>
              </w:rPr>
              <w:t>China</w:t>
            </w:r>
          </w:p>
          <w:p>
            <w:pPr>
              <w:pStyle w:val="Listenabsatz"/>
              <w:numPr>
                <w:ilvl w:val="1"/>
                <w:numId w:val="31"/>
              </w:numPr>
              <w:ind w:left="924" w:hanging="357"/>
              <w:rPr>
                <w:sz w:val="22"/>
                <w:szCs w:val="22"/>
              </w:rPr>
            </w:pPr>
            <w:r>
              <w:rPr>
                <w:sz w:val="22"/>
                <w:szCs w:val="22"/>
              </w:rPr>
              <w:t>82.929 Fälle, in den letzten 7 Tagen 44 Fälle gemeldet, hauptsächlich in der Provinz Jilin.</w:t>
            </w:r>
          </w:p>
          <w:p>
            <w:pPr>
              <w:pStyle w:val="Listenabsatz"/>
              <w:numPr>
                <w:ilvl w:val="1"/>
                <w:numId w:val="31"/>
              </w:numPr>
              <w:ind w:left="924" w:hanging="357"/>
              <w:rPr>
                <w:sz w:val="22"/>
                <w:szCs w:val="22"/>
              </w:rPr>
            </w:pPr>
            <w:r>
              <w:rPr>
                <w:sz w:val="22"/>
                <w:szCs w:val="22"/>
              </w:rPr>
              <w:t>In Hubei wurden die ersten Fälle seit 03.04. gemeldet. Maßnahme: alle 11 Mio. Einwohner in Wuhan werden innerhalb von 10 Tagen getestet (PCR). Testung nach Stadtvierteln gestaffelt, Priorisierung von älteren Einwohnern, keine erneute Testung von Personen, die innerhalb der letzten Woche getestet wurden, keine Testung von Kindern &lt;6 Jahre.</w:t>
            </w:r>
          </w:p>
          <w:p>
            <w:pPr>
              <w:pStyle w:val="Listenabsatz"/>
              <w:numPr>
                <w:ilvl w:val="1"/>
                <w:numId w:val="31"/>
              </w:numPr>
              <w:ind w:left="924" w:hanging="357"/>
              <w:rPr>
                <w:sz w:val="22"/>
                <w:szCs w:val="22"/>
              </w:rPr>
            </w:pPr>
            <w:r>
              <w:rPr>
                <w:sz w:val="22"/>
                <w:szCs w:val="22"/>
              </w:rPr>
              <w:t xml:space="preserve">Jilin Provinz (Nordchina): insgesamt 134 Fälle seit Beginn der Epidemie, davon 22 Fälle in den letzten 7 Tagen. Indexfall von Cluster in </w:t>
            </w:r>
            <w:proofErr w:type="spellStart"/>
            <w:r>
              <w:rPr>
                <w:sz w:val="22"/>
                <w:szCs w:val="22"/>
              </w:rPr>
              <w:t>Shulan</w:t>
            </w:r>
            <w:proofErr w:type="spellEnd"/>
            <w:r>
              <w:rPr>
                <w:sz w:val="22"/>
                <w:szCs w:val="22"/>
              </w:rPr>
              <w:t xml:space="preserve"> ohne Reiseanamnese oder Kontakt zu bekanntem Fall. Maßnahmen: gesamtes Stadtgebiet von </w:t>
            </w:r>
            <w:proofErr w:type="spellStart"/>
            <w:r>
              <w:rPr>
                <w:sz w:val="22"/>
                <w:szCs w:val="22"/>
              </w:rPr>
              <w:t>Shulan</w:t>
            </w:r>
            <w:proofErr w:type="spellEnd"/>
            <w:r>
              <w:rPr>
                <w:sz w:val="22"/>
                <w:szCs w:val="22"/>
              </w:rPr>
              <w:t xml:space="preserve"> als Hochrisikoregion eingestuft, Teil-Lockdown. </w:t>
            </w:r>
          </w:p>
          <w:p>
            <w:pPr>
              <w:pStyle w:val="Listenabsatz"/>
              <w:numPr>
                <w:ilvl w:val="1"/>
                <w:numId w:val="31"/>
              </w:numPr>
              <w:ind w:left="924" w:hanging="357"/>
              <w:rPr>
                <w:sz w:val="22"/>
                <w:szCs w:val="22"/>
              </w:rPr>
            </w:pPr>
            <w:r>
              <w:rPr>
                <w:sz w:val="22"/>
                <w:szCs w:val="22"/>
              </w:rPr>
              <w:t xml:space="preserve">4,4 Mio. Einwohner-Stadt Jilin: 6 Fälle, davon 5 mit Cluster in </w:t>
            </w:r>
            <w:proofErr w:type="spellStart"/>
            <w:r>
              <w:rPr>
                <w:sz w:val="22"/>
                <w:szCs w:val="22"/>
              </w:rPr>
              <w:t>Shulan</w:t>
            </w:r>
            <w:proofErr w:type="spellEnd"/>
            <w:r>
              <w:rPr>
                <w:sz w:val="22"/>
                <w:szCs w:val="22"/>
              </w:rPr>
              <w:t xml:space="preserve"> assoziiert: Busse und Züge eingestellt, Schulen geschlossen, Verlassen der Stadt nur möglich mit neg. </w:t>
            </w:r>
            <w:r>
              <w:rPr>
                <w:sz w:val="22"/>
                <w:szCs w:val="22"/>
              </w:rPr>
              <w:lastRenderedPageBreak/>
              <w:t>Nachweis oder Quarantäne.</w:t>
            </w:r>
          </w:p>
          <w:p>
            <w:pPr>
              <w:pStyle w:val="Listenabsatz"/>
              <w:ind w:left="1080"/>
              <w:rPr>
                <w:sz w:val="22"/>
                <w:szCs w:val="22"/>
              </w:rPr>
            </w:pPr>
          </w:p>
          <w:p>
            <w:pPr>
              <w:pStyle w:val="Listenabsatz"/>
              <w:ind w:left="1080"/>
              <w:rPr>
                <w:sz w:val="22"/>
                <w:szCs w:val="22"/>
              </w:rPr>
            </w:pPr>
          </w:p>
          <w:p>
            <w:pPr>
              <w:pStyle w:val="Listenabsatz"/>
              <w:numPr>
                <w:ilvl w:val="0"/>
                <w:numId w:val="31"/>
              </w:numPr>
              <w:ind w:left="450" w:hanging="232"/>
              <w:rPr>
                <w:sz w:val="22"/>
                <w:szCs w:val="22"/>
              </w:rPr>
            </w:pPr>
            <w:r>
              <w:rPr>
                <w:sz w:val="22"/>
                <w:szCs w:val="22"/>
              </w:rPr>
              <w:t>WHO - AFRO</w:t>
            </w:r>
          </w:p>
          <w:p>
            <w:pPr>
              <w:pStyle w:val="Listenabsatz"/>
              <w:numPr>
                <w:ilvl w:val="1"/>
                <w:numId w:val="31"/>
              </w:numPr>
              <w:ind w:left="924" w:hanging="357"/>
              <w:rPr>
                <w:sz w:val="22"/>
                <w:szCs w:val="22"/>
              </w:rPr>
            </w:pPr>
            <w:r>
              <w:rPr>
                <w:sz w:val="22"/>
                <w:szCs w:val="22"/>
              </w:rPr>
              <w:t xml:space="preserve">Modellierung wurde modifiziert und soll morgen im BMJ Global Health veröffentlicht werden: </w:t>
            </w:r>
          </w:p>
          <w:p>
            <w:pPr>
              <w:pStyle w:val="Listenabsatz"/>
              <w:numPr>
                <w:ilvl w:val="2"/>
                <w:numId w:val="31"/>
              </w:numPr>
              <w:ind w:left="1491" w:hanging="357"/>
              <w:rPr>
                <w:sz w:val="22"/>
                <w:szCs w:val="22"/>
              </w:rPr>
            </w:pPr>
            <w:r>
              <w:rPr>
                <w:sz w:val="22"/>
                <w:szCs w:val="22"/>
              </w:rPr>
              <w:t xml:space="preserve">Ohne Maßnahmen werden </w:t>
            </w:r>
            <w:proofErr w:type="spellStart"/>
            <w:r>
              <w:rPr>
                <w:sz w:val="22"/>
                <w:szCs w:val="22"/>
              </w:rPr>
              <w:t>werden</w:t>
            </w:r>
            <w:proofErr w:type="spellEnd"/>
            <w:r>
              <w:rPr>
                <w:sz w:val="22"/>
                <w:szCs w:val="22"/>
              </w:rPr>
              <w:t xml:space="preserve"> nach Beginn von Community Transmission 231 Mio. Menschen (22%) in 1 Jahr infiziert, davon werden 37 Mio. symptomatisch</w:t>
            </w:r>
          </w:p>
          <w:p>
            <w:pPr>
              <w:pStyle w:val="Listenabsatz"/>
              <w:numPr>
                <w:ilvl w:val="2"/>
                <w:numId w:val="31"/>
              </w:numPr>
              <w:ind w:left="1491" w:hanging="357"/>
              <w:rPr>
                <w:sz w:val="22"/>
                <w:szCs w:val="22"/>
              </w:rPr>
            </w:pPr>
            <w:r>
              <w:rPr>
                <w:sz w:val="22"/>
                <w:szCs w:val="22"/>
              </w:rPr>
              <w:t>3,6 - 5,5 Mio. Hospitalisierungen</w:t>
            </w:r>
          </w:p>
          <w:p>
            <w:pPr>
              <w:pStyle w:val="Listenabsatz"/>
              <w:numPr>
                <w:ilvl w:val="2"/>
                <w:numId w:val="31"/>
              </w:numPr>
              <w:ind w:left="1491" w:hanging="357"/>
              <w:rPr>
                <w:sz w:val="22"/>
                <w:szCs w:val="22"/>
              </w:rPr>
            </w:pPr>
            <w:r>
              <w:rPr>
                <w:sz w:val="22"/>
                <w:szCs w:val="22"/>
              </w:rPr>
              <w:t xml:space="preserve">83.000 – 190.000 Todesfälle </w:t>
            </w:r>
          </w:p>
          <w:p>
            <w:pPr>
              <w:pStyle w:val="Listenabsatz"/>
              <w:numPr>
                <w:ilvl w:val="2"/>
                <w:numId w:val="31"/>
              </w:numPr>
              <w:ind w:left="1491" w:hanging="357"/>
              <w:rPr>
                <w:sz w:val="22"/>
                <w:szCs w:val="22"/>
              </w:rPr>
            </w:pPr>
            <w:r>
              <w:rPr>
                <w:sz w:val="22"/>
                <w:szCs w:val="22"/>
              </w:rPr>
              <w:t>am stärksten betroffen: Algerien, Ghana, Nigeria, Südafrika</w:t>
            </w:r>
          </w:p>
          <w:p>
            <w:pPr>
              <w:pStyle w:val="Listenabsatz"/>
              <w:numPr>
                <w:ilvl w:val="1"/>
                <w:numId w:val="31"/>
              </w:numPr>
              <w:ind w:left="924" w:hanging="357"/>
              <w:rPr>
                <w:sz w:val="22"/>
                <w:szCs w:val="22"/>
              </w:rPr>
            </w:pPr>
            <w:r>
              <w:rPr>
                <w:sz w:val="22"/>
                <w:szCs w:val="22"/>
              </w:rPr>
              <w:t xml:space="preserve">Gründe für geringe Anzahl erwarteter Hospitalisierungen und Todesfälle: </w:t>
            </w:r>
          </w:p>
          <w:p>
            <w:pPr>
              <w:pStyle w:val="Listenabsatz"/>
              <w:numPr>
                <w:ilvl w:val="2"/>
                <w:numId w:val="31"/>
              </w:numPr>
              <w:ind w:left="1491" w:hanging="357"/>
              <w:rPr>
                <w:sz w:val="22"/>
                <w:szCs w:val="22"/>
              </w:rPr>
            </w:pPr>
            <w:r>
              <w:rPr>
                <w:sz w:val="22"/>
                <w:szCs w:val="22"/>
              </w:rPr>
              <w:t xml:space="preserve">Altersstruktur: Altersmedian ist in den meisten Ländern Afrikas zwischen 14-20 Jahre. </w:t>
            </w:r>
          </w:p>
          <w:p>
            <w:pPr>
              <w:pStyle w:val="Listenabsatz"/>
              <w:numPr>
                <w:ilvl w:val="2"/>
                <w:numId w:val="31"/>
              </w:numPr>
              <w:ind w:left="1491" w:hanging="357"/>
              <w:rPr>
                <w:sz w:val="22"/>
                <w:szCs w:val="22"/>
              </w:rPr>
            </w:pPr>
            <w:r>
              <w:rPr>
                <w:sz w:val="22"/>
                <w:szCs w:val="22"/>
              </w:rPr>
              <w:t>Bevölkerungsdichte: ist deutlich geringer als in Europa oder Asien, insg. nur ca. 1 Milliarde Menschen.</w:t>
            </w:r>
          </w:p>
          <w:p>
            <w:pPr>
              <w:pStyle w:val="Listenabsatz"/>
              <w:numPr>
                <w:ilvl w:val="2"/>
                <w:numId w:val="31"/>
              </w:numPr>
              <w:ind w:left="1491" w:hanging="357"/>
              <w:rPr>
                <w:sz w:val="22"/>
                <w:szCs w:val="22"/>
              </w:rPr>
            </w:pPr>
            <w:r>
              <w:rPr>
                <w:sz w:val="22"/>
                <w:szCs w:val="22"/>
              </w:rPr>
              <w:t>Geringe Mobilität, jedoch keine zuverlässigen Daten hierzu</w:t>
            </w:r>
          </w:p>
          <w:p>
            <w:pPr>
              <w:pStyle w:val="Listenabsatz"/>
              <w:numPr>
                <w:ilvl w:val="1"/>
                <w:numId w:val="31"/>
              </w:numPr>
              <w:ind w:left="924" w:hanging="357"/>
              <w:rPr>
                <w:sz w:val="22"/>
                <w:szCs w:val="22"/>
              </w:rPr>
            </w:pPr>
            <w:r>
              <w:rPr>
                <w:sz w:val="22"/>
                <w:szCs w:val="22"/>
              </w:rPr>
              <w:t>Zahl der Todesfälle durch AIDS-bedingte Krankheiten könnte sich durch Einschränkung der Gesundheits</w:t>
            </w:r>
            <w:r>
              <w:rPr>
                <w:sz w:val="22"/>
                <w:szCs w:val="22"/>
              </w:rPr>
              <w:softHyphen/>
              <w:t>versorgung verdoppeln. Eine sechsmonatige Unterbrechung der antiretroviralen Therapie könnte zu 500.000 zusätzlichen Todesfällen führen.</w:t>
            </w:r>
          </w:p>
          <w:p>
            <w:pPr>
              <w:pStyle w:val="Listenabsatz"/>
              <w:numPr>
                <w:ilvl w:val="1"/>
                <w:numId w:val="31"/>
              </w:numPr>
              <w:ind w:left="924" w:hanging="357"/>
              <w:rPr>
                <w:sz w:val="22"/>
                <w:szCs w:val="22"/>
              </w:rPr>
            </w:pPr>
            <w:r>
              <w:rPr>
                <w:sz w:val="22"/>
                <w:szCs w:val="22"/>
              </w:rPr>
              <w:t>Durch Einschränkung der Versorgung könnte die Anzahl Tote durch Malaria deutlich steigen.</w:t>
            </w:r>
          </w:p>
          <w:p>
            <w:pPr>
              <w:pStyle w:val="Listenabsatz"/>
              <w:numPr>
                <w:ilvl w:val="1"/>
                <w:numId w:val="31"/>
              </w:numPr>
              <w:ind w:left="924" w:hanging="357"/>
              <w:rPr>
                <w:sz w:val="22"/>
                <w:szCs w:val="22"/>
              </w:rPr>
            </w:pPr>
            <w:r>
              <w:rPr>
                <w:sz w:val="22"/>
                <w:szCs w:val="22"/>
              </w:rPr>
              <w:t>Aussetzen von Impfprogrammen hat mittel- und langfristige Konsequenzen.</w:t>
            </w:r>
          </w:p>
          <w:p>
            <w:pPr>
              <w:pStyle w:val="Listenabsatz"/>
              <w:numPr>
                <w:ilvl w:val="1"/>
                <w:numId w:val="31"/>
              </w:numPr>
              <w:ind w:left="924" w:hanging="357"/>
              <w:rPr>
                <w:sz w:val="22"/>
                <w:szCs w:val="22"/>
              </w:rPr>
            </w:pPr>
            <w:r>
              <w:rPr>
                <w:sz w:val="22"/>
                <w:szCs w:val="22"/>
              </w:rPr>
              <w:t>Wirtschaftliche Auswirkungen sind besonders hart durch Fehlen von sozialen Sicherheitsnetzen und Ersparnissen großer Teile der Bevölkerung.</w:t>
            </w:r>
          </w:p>
          <w:p>
            <w:pPr>
              <w:pStyle w:val="Listenabsatz"/>
              <w:numPr>
                <w:ilvl w:val="1"/>
                <w:numId w:val="31"/>
              </w:numPr>
              <w:ind w:left="924" w:hanging="357"/>
              <w:rPr>
                <w:sz w:val="22"/>
                <w:szCs w:val="22"/>
              </w:rPr>
            </w:pPr>
            <w:r>
              <w:rPr>
                <w:sz w:val="22"/>
                <w:szCs w:val="22"/>
              </w:rPr>
              <w:t>Durch Transporteinschränkungen könnte Ernährungssicherheit ein noch größeres Problem werden.</w:t>
            </w:r>
          </w:p>
          <w:p>
            <w:pPr>
              <w:pStyle w:val="Listenabsatz"/>
              <w:numPr>
                <w:ilvl w:val="1"/>
                <w:numId w:val="31"/>
              </w:numPr>
              <w:ind w:left="924" w:hanging="357"/>
              <w:rPr>
                <w:sz w:val="22"/>
                <w:szCs w:val="22"/>
              </w:rPr>
            </w:pPr>
            <w:r>
              <w:rPr>
                <w:sz w:val="22"/>
                <w:szCs w:val="22"/>
              </w:rPr>
              <w:t xml:space="preserve">Aufgrund der wirtschaftlichen Belastung haben Ghana, Nigeria und Botswana begonnen Sperren zu lockern. </w:t>
            </w:r>
          </w:p>
          <w:p>
            <w:pPr>
              <w:pStyle w:val="Listenabsatz"/>
              <w:numPr>
                <w:ilvl w:val="1"/>
                <w:numId w:val="31"/>
              </w:numPr>
              <w:ind w:left="924" w:hanging="357"/>
              <w:rPr>
                <w:sz w:val="22"/>
                <w:szCs w:val="22"/>
              </w:rPr>
            </w:pPr>
            <w:r>
              <w:rPr>
                <w:sz w:val="22"/>
                <w:szCs w:val="22"/>
              </w:rPr>
              <w:t>In Afrika ist ein Lock-down nicht sinnvoll, da die Kollateralschäden zu groß sind.</w:t>
            </w:r>
          </w:p>
          <w:p>
            <w:pPr>
              <w:pStyle w:val="Listenabsatz"/>
              <w:numPr>
                <w:ilvl w:val="1"/>
                <w:numId w:val="31"/>
              </w:numPr>
              <w:ind w:left="924" w:hanging="357"/>
              <w:rPr>
                <w:sz w:val="22"/>
                <w:szCs w:val="22"/>
              </w:rPr>
            </w:pPr>
            <w:r>
              <w:rPr>
                <w:sz w:val="22"/>
                <w:szCs w:val="22"/>
              </w:rPr>
              <w:t xml:space="preserve">In </w:t>
            </w:r>
            <w:proofErr w:type="spellStart"/>
            <w:r>
              <w:rPr>
                <w:sz w:val="22"/>
                <w:szCs w:val="22"/>
              </w:rPr>
              <w:t>low</w:t>
            </w:r>
            <w:proofErr w:type="spellEnd"/>
            <w:r>
              <w:rPr>
                <w:sz w:val="22"/>
                <w:szCs w:val="22"/>
              </w:rPr>
              <w:t xml:space="preserve"> und </w:t>
            </w:r>
            <w:proofErr w:type="spellStart"/>
            <w:r>
              <w:rPr>
                <w:sz w:val="22"/>
                <w:szCs w:val="22"/>
              </w:rPr>
              <w:t>middle</w:t>
            </w:r>
            <w:proofErr w:type="spellEnd"/>
            <w:r>
              <w:rPr>
                <w:sz w:val="22"/>
                <w:szCs w:val="22"/>
              </w:rPr>
              <w:t xml:space="preserve"> </w:t>
            </w:r>
            <w:proofErr w:type="spellStart"/>
            <w:r>
              <w:rPr>
                <w:sz w:val="22"/>
                <w:szCs w:val="22"/>
              </w:rPr>
              <w:t>income</w:t>
            </w:r>
            <w:proofErr w:type="spellEnd"/>
            <w:r>
              <w:rPr>
                <w:sz w:val="22"/>
                <w:szCs w:val="22"/>
              </w:rPr>
              <w:t xml:space="preserve"> countries werden Testungen vor allem bei HCW durchgeführt.</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31"/>
              </w:numPr>
              <w:ind w:left="924" w:hanging="357"/>
              <w:rPr>
                <w:sz w:val="22"/>
                <w:szCs w:val="22"/>
              </w:rPr>
            </w:pPr>
            <w:proofErr w:type="spellStart"/>
            <w:r>
              <w:rPr>
                <w:sz w:val="22"/>
                <w:szCs w:val="22"/>
              </w:rPr>
              <w:t>SurvNet</w:t>
            </w:r>
            <w:proofErr w:type="spellEnd"/>
            <w:r>
              <w:rPr>
                <w:sz w:val="22"/>
                <w:szCs w:val="22"/>
              </w:rPr>
              <w:t xml:space="preserve"> übermittelt: 173.152 (+913), davon 7.824 (4,5%) Todesfälle (+101), Inzidenz 208/100.000 </w:t>
            </w:r>
            <w:proofErr w:type="spellStart"/>
            <w:r>
              <w:rPr>
                <w:sz w:val="22"/>
                <w:szCs w:val="22"/>
              </w:rPr>
              <w:t>Einw</w:t>
            </w:r>
            <w:proofErr w:type="spellEnd"/>
            <w:r>
              <w:rPr>
                <w:sz w:val="22"/>
                <w:szCs w:val="22"/>
              </w:rPr>
              <w:t xml:space="preserve">., ca. 151.700 Genesene, R </w:t>
            </w:r>
            <w:proofErr w:type="spellStart"/>
            <w:r>
              <w:rPr>
                <w:sz w:val="22"/>
                <w:szCs w:val="22"/>
              </w:rPr>
              <w:t>eff</w:t>
            </w:r>
            <w:proofErr w:type="spellEnd"/>
            <w:r>
              <w:rPr>
                <w:sz w:val="22"/>
                <w:szCs w:val="22"/>
              </w:rPr>
              <w:t>=0,75 (Wert von gestern)</w:t>
            </w:r>
          </w:p>
          <w:p>
            <w:pPr>
              <w:pStyle w:val="Listenabsatz"/>
              <w:numPr>
                <w:ilvl w:val="1"/>
                <w:numId w:val="31"/>
              </w:numPr>
              <w:ind w:left="924" w:hanging="357"/>
              <w:rPr>
                <w:sz w:val="22"/>
                <w:szCs w:val="22"/>
              </w:rPr>
            </w:pPr>
            <w:r>
              <w:rPr>
                <w:sz w:val="22"/>
                <w:szCs w:val="22"/>
              </w:rPr>
              <w:t>Kurve mit Fällen nach Todesdatum flacht sich nach hinten ab; Todesfälle pro Tag gehen etwas zurück.</w:t>
            </w:r>
          </w:p>
          <w:p>
            <w:pPr>
              <w:pStyle w:val="Listenabsatz"/>
              <w:numPr>
                <w:ilvl w:val="1"/>
                <w:numId w:val="31"/>
              </w:numPr>
              <w:ind w:left="924" w:hanging="357"/>
              <w:rPr>
                <w:sz w:val="22"/>
                <w:szCs w:val="22"/>
              </w:rPr>
            </w:pPr>
            <w:r>
              <w:rPr>
                <w:sz w:val="22"/>
                <w:szCs w:val="22"/>
              </w:rPr>
              <w:t>Fall-Verstorbenen-Anteil steigt nicht mehr linear an.</w:t>
            </w:r>
          </w:p>
          <w:p>
            <w:pPr>
              <w:pStyle w:val="Listenabsatz"/>
              <w:numPr>
                <w:ilvl w:val="1"/>
                <w:numId w:val="31"/>
              </w:numPr>
              <w:ind w:left="924" w:hanging="357"/>
              <w:rPr>
                <w:sz w:val="22"/>
                <w:szCs w:val="22"/>
              </w:rPr>
            </w:pPr>
            <w:r>
              <w:rPr>
                <w:sz w:val="22"/>
                <w:szCs w:val="22"/>
              </w:rPr>
              <w:lastRenderedPageBreak/>
              <w:t>Reproduktionszahl: Im Lagebericht werden nun 2 verschiedene R-Werte präsentiert. Der R-Wert liegt in allen BL außer MV unter 1. In MV ist der R-Wert aufgrund der kleinen Fallzahlen besonders anfällig.</w:t>
            </w:r>
          </w:p>
          <w:p>
            <w:pPr>
              <w:pStyle w:val="Listenabsatz"/>
              <w:numPr>
                <w:ilvl w:val="1"/>
                <w:numId w:val="31"/>
              </w:numPr>
              <w:ind w:left="924" w:hanging="357"/>
              <w:rPr>
                <w:sz w:val="22"/>
                <w:szCs w:val="22"/>
              </w:rPr>
            </w:pPr>
            <w:r>
              <w:rPr>
                <w:sz w:val="22"/>
                <w:szCs w:val="22"/>
              </w:rPr>
              <w:t>7-Tages-Inzidenz liegt nur in 2 LK/SK über Inzidenz-Schwellenwert &gt; 50 Fälle/100.000: LK Coesfeld und LK Coburg</w:t>
            </w:r>
          </w:p>
          <w:p>
            <w:pPr>
              <w:pStyle w:val="Listenabsatz"/>
              <w:numPr>
                <w:ilvl w:val="1"/>
                <w:numId w:val="31"/>
              </w:numPr>
              <w:ind w:left="924" w:hanging="357"/>
              <w:rPr>
                <w:sz w:val="22"/>
                <w:szCs w:val="22"/>
              </w:rPr>
            </w:pPr>
            <w:r>
              <w:rPr>
                <w:sz w:val="22"/>
                <w:szCs w:val="22"/>
              </w:rPr>
              <w:t>LK Coburg und LK Sonneberg</w:t>
            </w:r>
          </w:p>
          <w:p>
            <w:pPr>
              <w:pStyle w:val="Listenabsatz"/>
              <w:numPr>
                <w:ilvl w:val="2"/>
                <w:numId w:val="31"/>
              </w:numPr>
              <w:ind w:left="1491" w:hanging="357"/>
              <w:rPr>
                <w:sz w:val="22"/>
                <w:szCs w:val="22"/>
              </w:rPr>
            </w:pPr>
            <w:r>
              <w:rPr>
                <w:sz w:val="22"/>
                <w:szCs w:val="22"/>
              </w:rPr>
              <w:t xml:space="preserve">Pflegekräfte arbeiten zum Teil in einem und leben im anderen LK. Beide LK haben starke Maßnahmen ergriffen: Besuchsverbote für Pflegeheime, Reihentestungen. </w:t>
            </w:r>
          </w:p>
          <w:p>
            <w:pPr>
              <w:pStyle w:val="Listenabsatz"/>
              <w:numPr>
                <w:ilvl w:val="2"/>
                <w:numId w:val="31"/>
              </w:numPr>
              <w:ind w:left="1491" w:hanging="357"/>
              <w:rPr>
                <w:sz w:val="22"/>
                <w:szCs w:val="22"/>
              </w:rPr>
            </w:pPr>
            <w:r>
              <w:rPr>
                <w:sz w:val="22"/>
                <w:szCs w:val="22"/>
              </w:rPr>
              <w:t xml:space="preserve">In Coburg wurden Mitarbeiter im GA aufgestockt und keine Überlastungsanzeige gestellt. Sonneberg hat eine Überlastungsanzeige gestellt. Fr. Rexroth ist hierzu im Gespräch mit dem BL. </w:t>
            </w:r>
          </w:p>
          <w:p>
            <w:pPr>
              <w:pStyle w:val="Listenabsatz"/>
              <w:numPr>
                <w:ilvl w:val="2"/>
                <w:numId w:val="31"/>
              </w:numPr>
              <w:ind w:left="1491" w:hanging="357"/>
              <w:rPr>
                <w:sz w:val="22"/>
                <w:szCs w:val="22"/>
              </w:rPr>
            </w:pPr>
            <w:r>
              <w:rPr>
                <w:sz w:val="22"/>
                <w:szCs w:val="22"/>
              </w:rPr>
              <w:t xml:space="preserve">Es findet eine Kooperation auf LK Ebene über Ländergrenze hinweg statt. GA tauschen sich über Fälle aus. Maßnahmen werden nicht abgestimmt, sind aber ähnlich. </w:t>
            </w:r>
          </w:p>
          <w:p>
            <w:pPr>
              <w:pStyle w:val="Listenabsatz"/>
              <w:numPr>
                <w:ilvl w:val="1"/>
                <w:numId w:val="31"/>
              </w:numPr>
              <w:ind w:left="924" w:hanging="357"/>
              <w:rPr>
                <w:sz w:val="22"/>
                <w:szCs w:val="22"/>
              </w:rPr>
            </w:pPr>
            <w:r>
              <w:rPr>
                <w:sz w:val="22"/>
                <w:szCs w:val="22"/>
              </w:rPr>
              <w:t xml:space="preserve">Keine großen Änderungen beim geographischen Vergleich mit der Vorwoche. </w:t>
            </w:r>
          </w:p>
          <w:p>
            <w:pPr>
              <w:pStyle w:val="Listenabsatz"/>
              <w:numPr>
                <w:ilvl w:val="1"/>
                <w:numId w:val="31"/>
              </w:numPr>
              <w:ind w:left="924" w:hanging="357"/>
              <w:rPr>
                <w:sz w:val="22"/>
                <w:szCs w:val="22"/>
              </w:rPr>
            </w:pPr>
            <w:r>
              <w:rPr>
                <w:sz w:val="22"/>
                <w:szCs w:val="22"/>
              </w:rPr>
              <w:t xml:space="preserve">Alters- und Geschlechtsverteilung hat sich nicht wesentlich verändert. Der Anteil der Hochaltrigen geht etwas zurück. </w:t>
            </w:r>
          </w:p>
          <w:p>
            <w:pPr>
              <w:pStyle w:val="Listenabsatz"/>
              <w:numPr>
                <w:ilvl w:val="1"/>
                <w:numId w:val="31"/>
              </w:numPr>
              <w:ind w:left="924" w:hanging="357"/>
              <w:rPr>
                <w:sz w:val="22"/>
                <w:szCs w:val="22"/>
              </w:rPr>
            </w:pPr>
            <w:r>
              <w:rPr>
                <w:sz w:val="22"/>
                <w:szCs w:val="22"/>
              </w:rPr>
              <w:t>Todesfälle: seit gestern ist im Lagebericht ein extra Satz zu Todesfällen bei unter 20-Jährigen enthalten.</w:t>
            </w:r>
          </w:p>
          <w:p>
            <w:pPr>
              <w:pStyle w:val="Listenabsatz"/>
              <w:numPr>
                <w:ilvl w:val="1"/>
                <w:numId w:val="31"/>
              </w:numPr>
              <w:ind w:left="924" w:hanging="357"/>
              <w:rPr>
                <w:sz w:val="22"/>
                <w:szCs w:val="22"/>
              </w:rPr>
            </w:pPr>
            <w:r>
              <w:rPr>
                <w:sz w:val="22"/>
                <w:szCs w:val="22"/>
              </w:rPr>
              <w:t xml:space="preserve">Fälle nach Tätigkeit oder Betreuung in Einrichtungen: ähnlich wie bisher. Anteil an Fällen mit Tätigkeit in Lebensmittelbetrieben (Ausbrüche in Schlachthöfen) nimmt zu (Peak in KW 19). </w:t>
            </w:r>
          </w:p>
          <w:p>
            <w:pPr>
              <w:pStyle w:val="Listenabsatz"/>
              <w:numPr>
                <w:ilvl w:val="1"/>
                <w:numId w:val="31"/>
              </w:numPr>
              <w:ind w:left="924" w:hanging="357"/>
              <w:rPr>
                <w:sz w:val="22"/>
                <w:szCs w:val="22"/>
              </w:rPr>
            </w:pPr>
            <w:r>
              <w:rPr>
                <w:sz w:val="22"/>
                <w:szCs w:val="22"/>
              </w:rPr>
              <w:t xml:space="preserve">DIVI Intensivregister: </w:t>
            </w:r>
          </w:p>
          <w:p>
            <w:pPr>
              <w:pStyle w:val="Listenabsatz"/>
              <w:numPr>
                <w:ilvl w:val="2"/>
                <w:numId w:val="31"/>
              </w:numPr>
              <w:ind w:left="1491" w:hanging="357"/>
              <w:rPr>
                <w:sz w:val="22"/>
                <w:szCs w:val="22"/>
              </w:rPr>
            </w:pPr>
            <w:r>
              <w:rPr>
                <w:sz w:val="22"/>
                <w:szCs w:val="22"/>
              </w:rPr>
              <w:t xml:space="preserve">Mehr Patienten mit abgeschlossener Behandlung. Anzahl von Patienten in intensivmedizinischer Behandlung und beatmeter Patienten nimmt weiter ab. </w:t>
            </w:r>
          </w:p>
          <w:p>
            <w:pPr>
              <w:pStyle w:val="Listenabsatz"/>
              <w:numPr>
                <w:ilvl w:val="2"/>
                <w:numId w:val="31"/>
              </w:numPr>
              <w:ind w:left="1491" w:hanging="357"/>
              <w:rPr>
                <w:sz w:val="22"/>
                <w:szCs w:val="22"/>
              </w:rPr>
            </w:pPr>
            <w:r>
              <w:rPr>
                <w:sz w:val="22"/>
                <w:szCs w:val="22"/>
              </w:rPr>
              <w:t xml:space="preserve">Die Kapazität an freien Betten nimmt ab. Frage: sind wieder mehr Patienten aus der Normalversorgung in intensivmedizinischer Behandlung? </w:t>
            </w:r>
          </w:p>
          <w:p>
            <w:pPr>
              <w:pStyle w:val="Listenabsatz"/>
              <w:numPr>
                <w:ilvl w:val="0"/>
                <w:numId w:val="31"/>
              </w:numPr>
              <w:ind w:left="450" w:hanging="232"/>
              <w:rPr>
                <w:sz w:val="22"/>
                <w:szCs w:val="22"/>
              </w:rPr>
            </w:pPr>
            <w:r>
              <w:rPr>
                <w:sz w:val="22"/>
                <w:szCs w:val="22"/>
              </w:rPr>
              <w:t xml:space="preserve">ICOSARI </w:t>
            </w:r>
          </w:p>
          <w:p>
            <w:pPr>
              <w:pStyle w:val="Listenabsatz"/>
              <w:numPr>
                <w:ilvl w:val="1"/>
                <w:numId w:val="31"/>
              </w:numPr>
              <w:ind w:left="924" w:hanging="357"/>
              <w:rPr>
                <w:sz w:val="22"/>
                <w:szCs w:val="22"/>
              </w:rPr>
            </w:pPr>
            <w:r>
              <w:rPr>
                <w:sz w:val="22"/>
                <w:szCs w:val="22"/>
              </w:rPr>
              <w:t>Vergleich der SARI-Fälle der letzten 5 Grippewellen (Wochen 3-11) mit SARI-Fällen mit COVID-19 aus 2020 (Wochen 10-18). 88% der Fälle im Datensatz haben eine SARI-Diagnose.</w:t>
            </w:r>
          </w:p>
          <w:p>
            <w:pPr>
              <w:pStyle w:val="Listenabsatz"/>
              <w:numPr>
                <w:ilvl w:val="1"/>
                <w:numId w:val="31"/>
              </w:numPr>
              <w:ind w:left="924" w:hanging="357"/>
              <w:rPr>
                <w:sz w:val="22"/>
                <w:szCs w:val="22"/>
              </w:rPr>
            </w:pPr>
            <w:r>
              <w:rPr>
                <w:sz w:val="22"/>
                <w:szCs w:val="22"/>
              </w:rPr>
              <w:t>Verteilung Altersgruppen: Auffällig ist, dass bei den SARI-Fällen der Grippewellen ein hoher Anteil an Kindern betroffen war, nicht jedoch bei den COVID-19 Fällen. Deshalb wurden unter 15-Jährige vom Vergleich ausgeschlossen.</w:t>
            </w:r>
          </w:p>
          <w:p>
            <w:pPr>
              <w:pStyle w:val="Listenabsatz"/>
              <w:numPr>
                <w:ilvl w:val="1"/>
                <w:numId w:val="31"/>
              </w:numPr>
              <w:ind w:left="924" w:hanging="357"/>
              <w:rPr>
                <w:sz w:val="22"/>
                <w:szCs w:val="22"/>
              </w:rPr>
            </w:pPr>
            <w:r>
              <w:rPr>
                <w:sz w:val="22"/>
                <w:szCs w:val="22"/>
              </w:rPr>
              <w:t xml:space="preserve">Anteil schwerer Verläufe: Bei beiden Gruppen war ca. 1/3 in Intensivbehandlung. Der Anteil von beatmeten und verstorbenen Patienten ist bei COVID-19 Fällen dagegen </w:t>
            </w:r>
            <w:r>
              <w:rPr>
                <w:sz w:val="22"/>
                <w:szCs w:val="22"/>
              </w:rPr>
              <w:lastRenderedPageBreak/>
              <w:t>höher.</w:t>
            </w:r>
          </w:p>
          <w:p>
            <w:pPr>
              <w:pStyle w:val="Listenabsatz"/>
              <w:numPr>
                <w:ilvl w:val="1"/>
                <w:numId w:val="31"/>
              </w:numPr>
              <w:ind w:left="924" w:hanging="357"/>
              <w:rPr>
                <w:sz w:val="22"/>
                <w:szCs w:val="22"/>
              </w:rPr>
            </w:pPr>
            <w:r>
              <w:rPr>
                <w:sz w:val="22"/>
                <w:szCs w:val="22"/>
              </w:rPr>
              <w:t>Dauer Hospitalisierung: Median der Verweildauer ist bei COVID-19-Fällen nicht sehr viel höher, die Spannweite ist aber größer.</w:t>
            </w:r>
          </w:p>
          <w:p>
            <w:pPr>
              <w:pStyle w:val="Listenabsatz"/>
              <w:numPr>
                <w:ilvl w:val="1"/>
                <w:numId w:val="31"/>
              </w:numPr>
              <w:ind w:left="924" w:hanging="357"/>
              <w:rPr>
                <w:sz w:val="22"/>
                <w:szCs w:val="22"/>
              </w:rPr>
            </w:pPr>
            <w:r>
              <w:rPr>
                <w:sz w:val="22"/>
                <w:szCs w:val="22"/>
              </w:rPr>
              <w:t>Dauer Intensivbehandlung: Altersgruppe zwischen 60-79 fällt bei COVID-Fällen auf (Median deutlich höher).</w:t>
            </w:r>
          </w:p>
          <w:p>
            <w:pPr>
              <w:pStyle w:val="Listenabsatz"/>
              <w:numPr>
                <w:ilvl w:val="1"/>
                <w:numId w:val="31"/>
              </w:numPr>
              <w:ind w:left="924" w:hanging="357"/>
              <w:rPr>
                <w:sz w:val="22"/>
                <w:szCs w:val="22"/>
              </w:rPr>
            </w:pPr>
            <w:r>
              <w:rPr>
                <w:sz w:val="22"/>
                <w:szCs w:val="22"/>
              </w:rPr>
              <w:t>Dauer Beatmung: COVID-19 Fälle wurden deutlich länger beatmet, betrifft alle Altersgruppen.</w:t>
            </w:r>
          </w:p>
          <w:p>
            <w:pPr>
              <w:pStyle w:val="Listenabsatz"/>
              <w:numPr>
                <w:ilvl w:val="1"/>
                <w:numId w:val="31"/>
              </w:numPr>
              <w:ind w:left="924" w:hanging="357"/>
              <w:rPr>
                <w:sz w:val="22"/>
                <w:szCs w:val="22"/>
              </w:rPr>
            </w:pPr>
            <w:r>
              <w:rPr>
                <w:sz w:val="22"/>
                <w:szCs w:val="22"/>
              </w:rPr>
              <w:t>Anteil Verstorbener: Mit steigendem Alter ist der Anteil Verstorbener höher. Im Vergleich zu den SARI-Fällen aus den Grippesaisonen versterben doppelt so viele Fälle.</w:t>
            </w:r>
          </w:p>
          <w:p>
            <w:pPr>
              <w:pStyle w:val="Listenabsatz"/>
              <w:numPr>
                <w:ilvl w:val="1"/>
                <w:numId w:val="31"/>
              </w:numPr>
              <w:ind w:left="924" w:hanging="357"/>
              <w:rPr>
                <w:sz w:val="22"/>
                <w:szCs w:val="22"/>
              </w:rPr>
            </w:pPr>
            <w:r>
              <w:rPr>
                <w:sz w:val="22"/>
                <w:szCs w:val="22"/>
              </w:rPr>
              <w:t>Anteil Verstorbene an Fällen mit Risikofaktor: Fälle mit und ohne chronische Vorerkrankung. Adipositas und Nierenerkrankungen fallen auf. Was unter Nierenerkrankungen subsumiert wurde, muss noch genauer betrachtet werden.</w:t>
            </w:r>
          </w:p>
          <w:p>
            <w:pPr>
              <w:pStyle w:val="Listenabsatz"/>
              <w:numPr>
                <w:ilvl w:val="1"/>
                <w:numId w:val="31"/>
              </w:numPr>
              <w:ind w:left="924" w:hanging="357"/>
              <w:rPr>
                <w:sz w:val="22"/>
                <w:szCs w:val="22"/>
              </w:rPr>
            </w:pPr>
            <w:r>
              <w:rPr>
                <w:sz w:val="22"/>
                <w:szCs w:val="22"/>
              </w:rPr>
              <w:t xml:space="preserve">Anteil Intensivbehandlung an Fällen mit Risikofaktor: Anteil von Patienten mit COVID-19 ist deutlich höher bei Patienten mit Nierenerkrankung, aber auch ohne chronische Vorerkrankungen. </w:t>
            </w:r>
          </w:p>
          <w:p>
            <w:pPr>
              <w:pStyle w:val="Listenabsatz"/>
              <w:numPr>
                <w:ilvl w:val="1"/>
                <w:numId w:val="31"/>
              </w:numPr>
              <w:ind w:left="924" w:hanging="357"/>
              <w:rPr>
                <w:sz w:val="22"/>
                <w:szCs w:val="22"/>
              </w:rPr>
            </w:pPr>
            <w:r>
              <w:rPr>
                <w:sz w:val="22"/>
                <w:szCs w:val="22"/>
              </w:rPr>
              <w:t>Anteil Beatmungsfälle an Fällen mit Risikofaktor: ein deutlich höherer Anteil von jungen Menschen mit Nierenerkrankung wird beatmet.</w:t>
            </w:r>
          </w:p>
          <w:p>
            <w:pPr>
              <w:pStyle w:val="Listenabsatz"/>
              <w:numPr>
                <w:ilvl w:val="1"/>
                <w:numId w:val="31"/>
              </w:numPr>
              <w:ind w:left="924" w:hanging="357"/>
              <w:rPr>
                <w:sz w:val="22"/>
                <w:szCs w:val="22"/>
              </w:rPr>
            </w:pPr>
            <w:r>
              <w:rPr>
                <w:sz w:val="22"/>
                <w:szCs w:val="22"/>
              </w:rPr>
              <w:t>Es handelt sich um einen Zwischenstand, weitere Auswertungen werden stattfinden. Was sind Risikofaktoren? Bei Nierenerkrankungen muss differenziert werden, Subgruppen sollen dargestellt werden.</w:t>
            </w:r>
          </w:p>
          <w:p>
            <w:pPr>
              <w:pStyle w:val="Listenabsatz"/>
              <w:numPr>
                <w:ilvl w:val="1"/>
                <w:numId w:val="31"/>
              </w:numPr>
              <w:ind w:left="924" w:hanging="357"/>
              <w:rPr>
                <w:i/>
                <w:sz w:val="22"/>
                <w:szCs w:val="22"/>
              </w:rPr>
            </w:pPr>
            <w:r>
              <w:rPr>
                <w:sz w:val="22"/>
                <w:szCs w:val="22"/>
              </w:rPr>
              <w:t>Es handelt sich um fachliche Grundlagen zur Orientierung. Es ist nicht möglich aufgrund dessen Einzelfälle individuell zu beurteilen.</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Austausch mit Usbekistan und China, Hilfeersuchen Tadschikistan</w:t>
            </w:r>
          </w:p>
          <w:p>
            <w:pPr>
              <w:pStyle w:val="Listenabsatz"/>
              <w:numPr>
                <w:ilvl w:val="0"/>
                <w:numId w:val="31"/>
              </w:numPr>
              <w:ind w:left="450" w:hanging="232"/>
              <w:rPr>
                <w:sz w:val="22"/>
                <w:szCs w:val="22"/>
              </w:rPr>
            </w:pPr>
            <w:r>
              <w:rPr>
                <w:sz w:val="22"/>
                <w:szCs w:val="22"/>
              </w:rPr>
              <w:t xml:space="preserve">Heute Morgen Meeting zu </w:t>
            </w:r>
            <w:proofErr w:type="spellStart"/>
            <w:r>
              <w:rPr>
                <w:sz w:val="22"/>
                <w:szCs w:val="22"/>
              </w:rPr>
              <w:t>Seroprävalenzstudien</w:t>
            </w:r>
            <w:proofErr w:type="spellEnd"/>
            <w:r>
              <w:rPr>
                <w:sz w:val="22"/>
                <w:szCs w:val="22"/>
              </w:rPr>
              <w:t>: aktive Bemühungen um Partner in Malawi und Iran, existierende Partnerschaften mit Südafrika; Fokus ist Prävalenz</w:t>
            </w:r>
          </w:p>
          <w:p>
            <w:pPr>
              <w:pStyle w:val="Listenabsatz"/>
              <w:numPr>
                <w:ilvl w:val="0"/>
                <w:numId w:val="31"/>
              </w:numPr>
              <w:ind w:left="450" w:hanging="232"/>
              <w:rPr>
                <w:sz w:val="22"/>
                <w:szCs w:val="22"/>
              </w:rPr>
            </w:pPr>
            <w:r>
              <w:rPr>
                <w:sz w:val="22"/>
                <w:szCs w:val="22"/>
              </w:rPr>
              <w:t xml:space="preserve">Längerfristig vergleichende Studie in Subsahara-Afrika: HCW-Kohorte mit lokalen Partnern </w:t>
            </w:r>
          </w:p>
          <w:p>
            <w:pPr>
              <w:pStyle w:val="Listenabsatz"/>
              <w:numPr>
                <w:ilvl w:val="0"/>
                <w:numId w:val="31"/>
              </w:numPr>
              <w:ind w:left="450" w:hanging="232"/>
              <w:rPr>
                <w:sz w:val="22"/>
                <w:szCs w:val="22"/>
              </w:rPr>
            </w:pPr>
            <w:r>
              <w:rPr>
                <w:sz w:val="22"/>
                <w:szCs w:val="22"/>
              </w:rPr>
              <w:t xml:space="preserve">Erste Besprechung mit BMG heute zu Corona-global Programm aus GHPP-Mitteln </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ZIG</w:t>
            </w: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31"/>
              </w:numPr>
              <w:ind w:left="450" w:hanging="232"/>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rPr>
            </w:pPr>
            <w:r>
              <w:rPr>
                <w:b/>
                <w:sz w:val="28"/>
              </w:rPr>
              <w:t>Neues aus der Wissenschaft</w:t>
            </w:r>
          </w:p>
          <w:p>
            <w:pPr>
              <w:pStyle w:val="Listenabsatz"/>
              <w:numPr>
                <w:ilvl w:val="0"/>
                <w:numId w:val="31"/>
              </w:numPr>
              <w:ind w:left="450" w:hanging="232"/>
              <w:rPr>
                <w:i/>
                <w:sz w:val="22"/>
                <w:szCs w:val="22"/>
              </w:rPr>
            </w:pPr>
            <w:r>
              <w:rPr>
                <w:sz w:val="22"/>
                <w:szCs w:val="22"/>
              </w:rPr>
              <w:t xml:space="preserve">Nicht besprochen </w:t>
            </w: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Aktuelle Risikobewertung</w:t>
            </w:r>
          </w:p>
          <w:p>
            <w:pPr>
              <w:pStyle w:val="Listenabsatz"/>
              <w:numPr>
                <w:ilvl w:val="0"/>
                <w:numId w:val="31"/>
              </w:numPr>
              <w:ind w:left="450" w:hanging="232"/>
              <w:rPr>
                <w:i/>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lastRenderedPageBreak/>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BZgA ist über Phase der reinen Informationsvermittlung hinaus, entwickelt nun Strategie für Empowerment, Umsetzung so rasch wie möglich.</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2 Demonstrationen vor RKI am Nordufer angekündigt (Tierschutz und Corona).</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43"/>
              </w:numPr>
              <w:spacing w:line="276" w:lineRule="auto"/>
              <w:rPr>
                <w:b/>
                <w:sz w:val="22"/>
              </w:rPr>
            </w:pPr>
            <w:r>
              <w:rPr>
                <w:b/>
                <w:sz w:val="22"/>
              </w:rPr>
              <w:t>Allgemein</w:t>
            </w:r>
          </w:p>
          <w:p>
            <w:pPr>
              <w:pStyle w:val="Listenabsatz"/>
              <w:numPr>
                <w:ilvl w:val="0"/>
                <w:numId w:val="31"/>
              </w:numPr>
              <w:ind w:left="450" w:hanging="232"/>
              <w:rPr>
                <w:sz w:val="22"/>
                <w:szCs w:val="22"/>
              </w:rPr>
            </w:pPr>
            <w:r>
              <w:rPr>
                <w:sz w:val="22"/>
                <w:szCs w:val="22"/>
              </w:rPr>
              <w:t>Nicht besprochen</w:t>
            </w:r>
          </w:p>
          <w:p>
            <w:pPr>
              <w:rPr>
                <w:sz w:val="22"/>
                <w:szCs w:val="22"/>
              </w:rPr>
            </w:pPr>
          </w:p>
          <w:p>
            <w:pPr>
              <w:pStyle w:val="Listenabsatz"/>
              <w:numPr>
                <w:ilvl w:val="0"/>
                <w:numId w:val="43"/>
              </w:numPr>
              <w:spacing w:line="276" w:lineRule="auto"/>
              <w:rPr>
                <w:b/>
                <w:sz w:val="22"/>
              </w:rPr>
            </w:pPr>
            <w:r>
              <w:rPr>
                <w:b/>
                <w:sz w:val="22"/>
              </w:rPr>
              <w:t>RKI-intern</w:t>
            </w:r>
          </w:p>
          <w:p>
            <w:pPr>
              <w:spacing w:line="276" w:lineRule="auto"/>
              <w:rPr>
                <w:b/>
                <w:sz w:val="22"/>
                <w:szCs w:val="22"/>
              </w:rPr>
            </w:pPr>
            <w:r>
              <w:rPr>
                <w:b/>
                <w:sz w:val="22"/>
                <w:szCs w:val="22"/>
              </w:rPr>
              <w:t xml:space="preserve">Beraterstab </w:t>
            </w:r>
            <w:r>
              <w:rPr>
                <w:sz w:val="22"/>
                <w:szCs w:val="22"/>
              </w:rPr>
              <w:t xml:space="preserve">(Vorschlag </w:t>
            </w:r>
            <w:hyperlink r:id="rId10" w:history="1">
              <w:r>
                <w:rPr>
                  <w:rStyle w:val="Hyperlink"/>
                  <w:sz w:val="22"/>
                  <w:szCs w:val="22"/>
                </w:rPr>
                <w:t>hier</w:t>
              </w:r>
            </w:hyperlink>
            <w:r>
              <w:rPr>
                <w:sz w:val="22"/>
                <w:szCs w:val="22"/>
              </w:rPr>
              <w:t>)</w:t>
            </w:r>
          </w:p>
          <w:p>
            <w:pPr>
              <w:rPr>
                <w:sz w:val="22"/>
                <w:szCs w:val="22"/>
              </w:rPr>
            </w:pPr>
            <w:r>
              <w:rPr>
                <w:sz w:val="22"/>
                <w:szCs w:val="22"/>
              </w:rPr>
              <w:t>Funktion: Vernetzung der Gremien. Vor allem Berater, die bereits in anderen Gremien aktiv sind, sollten im Beraterstab vertreten sein (auch andere relevante Gremien nicht nur RKI-Gremien).</w:t>
            </w:r>
          </w:p>
          <w:p>
            <w:pPr>
              <w:pStyle w:val="Listenabsatz"/>
              <w:numPr>
                <w:ilvl w:val="0"/>
                <w:numId w:val="31"/>
              </w:numPr>
              <w:ind w:left="450" w:hanging="232"/>
              <w:rPr>
                <w:sz w:val="22"/>
                <w:szCs w:val="22"/>
              </w:rPr>
            </w:pPr>
            <w:r>
              <w:rPr>
                <w:sz w:val="22"/>
                <w:szCs w:val="22"/>
              </w:rPr>
              <w:t xml:space="preserve">Virologie: Hr. </w:t>
            </w:r>
            <w:proofErr w:type="spellStart"/>
            <w:r>
              <w:rPr>
                <w:sz w:val="22"/>
                <w:szCs w:val="22"/>
              </w:rPr>
              <w:t>Drosten</w:t>
            </w:r>
            <w:proofErr w:type="spellEnd"/>
            <w:r>
              <w:rPr>
                <w:sz w:val="22"/>
                <w:szCs w:val="22"/>
              </w:rPr>
              <w:t xml:space="preserve"> </w:t>
            </w:r>
          </w:p>
          <w:p>
            <w:pPr>
              <w:pStyle w:val="Listenabsatz"/>
              <w:numPr>
                <w:ilvl w:val="0"/>
                <w:numId w:val="31"/>
              </w:numPr>
              <w:ind w:left="450" w:hanging="232"/>
              <w:rPr>
                <w:sz w:val="22"/>
                <w:szCs w:val="22"/>
              </w:rPr>
            </w:pPr>
            <w:r>
              <w:rPr>
                <w:sz w:val="22"/>
                <w:szCs w:val="22"/>
              </w:rPr>
              <w:t xml:space="preserve">Theoretische </w:t>
            </w:r>
            <w:proofErr w:type="spellStart"/>
            <w:r>
              <w:rPr>
                <w:sz w:val="22"/>
                <w:szCs w:val="22"/>
              </w:rPr>
              <w:t>Epi</w:t>
            </w:r>
            <w:proofErr w:type="spellEnd"/>
            <w:r>
              <w:rPr>
                <w:sz w:val="22"/>
                <w:szCs w:val="22"/>
              </w:rPr>
              <w:t xml:space="preserve">/Modellierung: Hr. Meyer-Hermann </w:t>
            </w:r>
          </w:p>
          <w:p>
            <w:pPr>
              <w:pStyle w:val="Listenabsatz"/>
              <w:numPr>
                <w:ilvl w:val="0"/>
                <w:numId w:val="31"/>
              </w:numPr>
              <w:ind w:left="450" w:hanging="232"/>
              <w:rPr>
                <w:sz w:val="22"/>
                <w:szCs w:val="22"/>
              </w:rPr>
            </w:pPr>
            <w:r>
              <w:rPr>
                <w:sz w:val="22"/>
                <w:szCs w:val="22"/>
              </w:rPr>
              <w:t xml:space="preserve">ÖGD: Hr. </w:t>
            </w:r>
            <w:proofErr w:type="spellStart"/>
            <w:r>
              <w:rPr>
                <w:sz w:val="22"/>
                <w:szCs w:val="22"/>
              </w:rPr>
              <w:t>Pulz</w:t>
            </w:r>
            <w:proofErr w:type="spellEnd"/>
            <w:r>
              <w:rPr>
                <w:sz w:val="22"/>
                <w:szCs w:val="22"/>
              </w:rPr>
              <w:t xml:space="preserve"> </w:t>
            </w:r>
          </w:p>
          <w:p>
            <w:pPr>
              <w:pStyle w:val="Listenabsatz"/>
              <w:numPr>
                <w:ilvl w:val="0"/>
                <w:numId w:val="31"/>
              </w:numPr>
              <w:ind w:left="450" w:hanging="232"/>
              <w:rPr>
                <w:sz w:val="22"/>
                <w:szCs w:val="22"/>
              </w:rPr>
            </w:pPr>
            <w:r>
              <w:rPr>
                <w:sz w:val="22"/>
                <w:szCs w:val="22"/>
              </w:rPr>
              <w:t xml:space="preserve">Sozialepidemiologie: Fr. Müller-Nordhorn (nach Rücksprache mit Hr. Lampert) </w:t>
            </w:r>
          </w:p>
          <w:p>
            <w:pPr>
              <w:pStyle w:val="Listenabsatz"/>
              <w:numPr>
                <w:ilvl w:val="0"/>
                <w:numId w:val="31"/>
              </w:numPr>
              <w:ind w:left="450" w:hanging="232"/>
              <w:rPr>
                <w:sz w:val="22"/>
                <w:szCs w:val="22"/>
              </w:rPr>
            </w:pPr>
            <w:r>
              <w:rPr>
                <w:sz w:val="22"/>
                <w:szCs w:val="22"/>
              </w:rPr>
              <w:t xml:space="preserve">Ethik: Hr. </w:t>
            </w:r>
            <w:proofErr w:type="spellStart"/>
            <w:r>
              <w:rPr>
                <w:sz w:val="22"/>
                <w:szCs w:val="22"/>
              </w:rPr>
              <w:t>Marckmann</w:t>
            </w:r>
            <w:proofErr w:type="spellEnd"/>
            <w:r>
              <w:rPr>
                <w:sz w:val="22"/>
                <w:szCs w:val="22"/>
              </w:rPr>
              <w:t xml:space="preserve"> oder Hr. </w:t>
            </w:r>
            <w:proofErr w:type="spellStart"/>
            <w:r>
              <w:rPr>
                <w:sz w:val="22"/>
                <w:szCs w:val="22"/>
              </w:rPr>
              <w:t>Strech</w:t>
            </w:r>
            <w:proofErr w:type="spellEnd"/>
            <w:r>
              <w:rPr>
                <w:sz w:val="22"/>
                <w:szCs w:val="22"/>
              </w:rPr>
              <w:t xml:space="preserve">, muss noch geklärt werden </w:t>
            </w:r>
          </w:p>
          <w:p>
            <w:pPr>
              <w:pStyle w:val="Listenabsatz"/>
              <w:numPr>
                <w:ilvl w:val="0"/>
                <w:numId w:val="31"/>
              </w:numPr>
              <w:ind w:left="450" w:hanging="232"/>
              <w:rPr>
                <w:sz w:val="22"/>
                <w:szCs w:val="22"/>
              </w:rPr>
            </w:pPr>
            <w:r>
              <w:rPr>
                <w:sz w:val="22"/>
                <w:szCs w:val="22"/>
              </w:rPr>
              <w:t xml:space="preserve">Krankenhaushygiene: Fr. Gastmeier; falls sie keine Zeit hat: Fr. Wendt </w:t>
            </w:r>
          </w:p>
          <w:p>
            <w:pPr>
              <w:pStyle w:val="Listenabsatz"/>
              <w:numPr>
                <w:ilvl w:val="0"/>
                <w:numId w:val="31"/>
              </w:numPr>
              <w:ind w:left="450" w:hanging="232"/>
              <w:rPr>
                <w:sz w:val="22"/>
                <w:szCs w:val="22"/>
              </w:rPr>
            </w:pPr>
            <w:r>
              <w:rPr>
                <w:sz w:val="22"/>
                <w:szCs w:val="22"/>
              </w:rPr>
              <w:t xml:space="preserve">Innere Medizin: Hr. </w:t>
            </w:r>
            <w:proofErr w:type="spellStart"/>
            <w:r>
              <w:rPr>
                <w:sz w:val="22"/>
                <w:szCs w:val="22"/>
              </w:rPr>
              <w:t>Hallek</w:t>
            </w:r>
            <w:proofErr w:type="spellEnd"/>
            <w:r>
              <w:rPr>
                <w:sz w:val="22"/>
                <w:szCs w:val="22"/>
              </w:rPr>
              <w:t xml:space="preserve"> </w:t>
            </w:r>
          </w:p>
          <w:p>
            <w:pPr>
              <w:pStyle w:val="Listenabsatz"/>
              <w:numPr>
                <w:ilvl w:val="0"/>
                <w:numId w:val="31"/>
              </w:numPr>
              <w:ind w:left="450" w:hanging="232"/>
              <w:rPr>
                <w:sz w:val="22"/>
                <w:szCs w:val="22"/>
              </w:rPr>
            </w:pPr>
            <w:r>
              <w:rPr>
                <w:sz w:val="22"/>
                <w:szCs w:val="22"/>
              </w:rPr>
              <w:t xml:space="preserve">Intensivmedizin: Hr. </w:t>
            </w:r>
            <w:proofErr w:type="spellStart"/>
            <w:r>
              <w:rPr>
                <w:sz w:val="22"/>
                <w:szCs w:val="22"/>
              </w:rPr>
              <w:t>Karagiannidis</w:t>
            </w:r>
            <w:proofErr w:type="spellEnd"/>
            <w:r>
              <w:rPr>
                <w:sz w:val="22"/>
                <w:szCs w:val="22"/>
              </w:rPr>
              <w:t xml:space="preserve"> </w:t>
            </w:r>
          </w:p>
          <w:p>
            <w:pPr>
              <w:pStyle w:val="Listenabsatz"/>
              <w:numPr>
                <w:ilvl w:val="0"/>
                <w:numId w:val="31"/>
              </w:numPr>
              <w:ind w:left="450" w:hanging="232"/>
              <w:rPr>
                <w:sz w:val="22"/>
                <w:szCs w:val="22"/>
              </w:rPr>
            </w:pPr>
            <w:r>
              <w:rPr>
                <w:sz w:val="22"/>
                <w:szCs w:val="22"/>
              </w:rPr>
              <w:t xml:space="preserve">Pädiatrie: Hr. Schroten </w:t>
            </w:r>
          </w:p>
          <w:p>
            <w:pPr>
              <w:pStyle w:val="Listenabsatz"/>
              <w:numPr>
                <w:ilvl w:val="0"/>
                <w:numId w:val="31"/>
              </w:numPr>
              <w:ind w:left="450" w:hanging="232"/>
              <w:rPr>
                <w:sz w:val="22"/>
                <w:szCs w:val="22"/>
              </w:rPr>
            </w:pPr>
            <w:r>
              <w:rPr>
                <w:sz w:val="22"/>
                <w:szCs w:val="22"/>
              </w:rPr>
              <w:t xml:space="preserve">Infektiologie: Fr. Addo </w:t>
            </w:r>
          </w:p>
          <w:p>
            <w:pPr>
              <w:pStyle w:val="Listenabsatz"/>
              <w:numPr>
                <w:ilvl w:val="0"/>
                <w:numId w:val="31"/>
              </w:numPr>
              <w:ind w:left="450" w:hanging="232"/>
              <w:rPr>
                <w:sz w:val="22"/>
                <w:szCs w:val="22"/>
              </w:rPr>
            </w:pPr>
            <w:r>
              <w:rPr>
                <w:sz w:val="22"/>
                <w:szCs w:val="22"/>
              </w:rPr>
              <w:t xml:space="preserve">Internationaler Bereich: Fr. Kampmann </w:t>
            </w:r>
          </w:p>
          <w:p>
            <w:pPr>
              <w:pStyle w:val="Listenabsatz"/>
              <w:numPr>
                <w:ilvl w:val="0"/>
                <w:numId w:val="31"/>
              </w:numPr>
              <w:ind w:left="450" w:hanging="232"/>
              <w:rPr>
                <w:sz w:val="22"/>
                <w:szCs w:val="22"/>
              </w:rPr>
            </w:pPr>
            <w:r>
              <w:rPr>
                <w:sz w:val="22"/>
                <w:szCs w:val="22"/>
              </w:rPr>
              <w:t xml:space="preserve">Internationale Institutionen: Fr. Ammon oder Fr. Stein, je nach zeitlichen Kapazitäten </w:t>
            </w:r>
          </w:p>
          <w:p>
            <w:pPr>
              <w:pStyle w:val="Listenabsatz"/>
              <w:numPr>
                <w:ilvl w:val="0"/>
                <w:numId w:val="31"/>
              </w:numPr>
              <w:ind w:left="450" w:hanging="232"/>
              <w:rPr>
                <w:sz w:val="22"/>
                <w:szCs w:val="22"/>
              </w:rPr>
            </w:pPr>
            <w:r>
              <w:rPr>
                <w:sz w:val="22"/>
                <w:szCs w:val="22"/>
              </w:rPr>
              <w:t xml:space="preserve">Veterinärbereich: Hr. Mettenleiter </w:t>
            </w:r>
          </w:p>
          <w:p>
            <w:pPr>
              <w:pStyle w:val="Listenabsatz"/>
              <w:numPr>
                <w:ilvl w:val="0"/>
                <w:numId w:val="31"/>
              </w:numPr>
              <w:ind w:left="450" w:hanging="232"/>
              <w:rPr>
                <w:sz w:val="22"/>
                <w:szCs w:val="22"/>
              </w:rPr>
            </w:pPr>
            <w:r>
              <w:rPr>
                <w:sz w:val="22"/>
                <w:szCs w:val="22"/>
              </w:rPr>
              <w:t xml:space="preserve">Impfen: Hr. </w:t>
            </w:r>
            <w:proofErr w:type="spellStart"/>
            <w:r>
              <w:rPr>
                <w:sz w:val="22"/>
                <w:szCs w:val="22"/>
              </w:rPr>
              <w:t>Meerpohl</w:t>
            </w:r>
            <w:proofErr w:type="spellEnd"/>
            <w:r>
              <w:rPr>
                <w:sz w:val="22"/>
                <w:szCs w:val="22"/>
              </w:rPr>
              <w:t xml:space="preserve"> </w:t>
            </w:r>
          </w:p>
          <w:p>
            <w:pPr>
              <w:pStyle w:val="Listenabsatz"/>
              <w:numPr>
                <w:ilvl w:val="0"/>
                <w:numId w:val="31"/>
              </w:numPr>
              <w:ind w:left="450" w:hanging="232"/>
              <w:rPr>
                <w:sz w:val="22"/>
                <w:szCs w:val="22"/>
              </w:rPr>
            </w:pPr>
            <w:r>
              <w:rPr>
                <w:sz w:val="22"/>
                <w:szCs w:val="22"/>
              </w:rPr>
              <w:t xml:space="preserve">Patienten/Pflege: Fr. François-Kettner </w:t>
            </w:r>
          </w:p>
          <w:p>
            <w:pPr>
              <w:pStyle w:val="Listenabsatz"/>
              <w:numPr>
                <w:ilvl w:val="0"/>
                <w:numId w:val="31"/>
              </w:numPr>
              <w:ind w:left="450" w:hanging="232"/>
              <w:rPr>
                <w:sz w:val="22"/>
                <w:szCs w:val="22"/>
              </w:rPr>
            </w:pPr>
            <w:r>
              <w:rPr>
                <w:sz w:val="22"/>
                <w:szCs w:val="22"/>
              </w:rPr>
              <w:t xml:space="preserve">Kommunikation: Hr. </w:t>
            </w:r>
            <w:proofErr w:type="spellStart"/>
            <w:r>
              <w:rPr>
                <w:sz w:val="22"/>
                <w:szCs w:val="22"/>
              </w:rPr>
              <w:t>Stollorz</w:t>
            </w:r>
            <w:proofErr w:type="spellEnd"/>
            <w:r>
              <w:rPr>
                <w:sz w:val="22"/>
                <w:szCs w:val="22"/>
              </w:rPr>
              <w:t xml:space="preserve"> </w:t>
            </w:r>
          </w:p>
          <w:p>
            <w:pPr>
              <w:pStyle w:val="Listenabsatz"/>
              <w:numPr>
                <w:ilvl w:val="0"/>
                <w:numId w:val="31"/>
              </w:numPr>
              <w:ind w:left="450" w:hanging="232"/>
              <w:rPr>
                <w:sz w:val="22"/>
                <w:szCs w:val="22"/>
              </w:rPr>
            </w:pPr>
            <w:r>
              <w:rPr>
                <w:sz w:val="22"/>
                <w:szCs w:val="22"/>
              </w:rPr>
              <w:t xml:space="preserve">Public Health: Fr. </w:t>
            </w:r>
            <w:proofErr w:type="spellStart"/>
            <w:r>
              <w:rPr>
                <w:sz w:val="22"/>
                <w:szCs w:val="22"/>
              </w:rPr>
              <w:t>Rehfuess</w:t>
            </w:r>
            <w:proofErr w:type="spellEnd"/>
            <w:r>
              <w:rPr>
                <w:sz w:val="22"/>
                <w:szCs w:val="22"/>
              </w:rPr>
              <w:t xml:space="preserve"> </w:t>
            </w:r>
          </w:p>
          <w:p>
            <w:pPr>
              <w:pStyle w:val="Listenabsatz"/>
              <w:numPr>
                <w:ilvl w:val="0"/>
                <w:numId w:val="31"/>
              </w:numPr>
              <w:ind w:left="450" w:hanging="232"/>
              <w:rPr>
                <w:sz w:val="22"/>
                <w:szCs w:val="22"/>
              </w:rPr>
            </w:pPr>
            <w:r>
              <w:rPr>
                <w:sz w:val="22"/>
                <w:szCs w:val="22"/>
              </w:rPr>
              <w:t>Medizininformatik: Fr. Thun</w:t>
            </w:r>
          </w:p>
          <w:p>
            <w:pPr>
              <w:pStyle w:val="Listenabsatz"/>
              <w:numPr>
                <w:ilvl w:val="0"/>
                <w:numId w:val="31"/>
              </w:numPr>
              <w:ind w:left="450" w:hanging="232"/>
              <w:rPr>
                <w:sz w:val="22"/>
                <w:szCs w:val="22"/>
              </w:rPr>
            </w:pPr>
            <w:r>
              <w:rPr>
                <w:sz w:val="22"/>
                <w:szCs w:val="22"/>
              </w:rPr>
              <w:t xml:space="preserve">auf Neurologie wird verzichtet </w:t>
            </w:r>
          </w:p>
          <w:p>
            <w:pPr>
              <w:rPr>
                <w:i/>
                <w:sz w:val="22"/>
                <w:szCs w:val="22"/>
              </w:rPr>
            </w:pPr>
            <w:proofErr w:type="spellStart"/>
            <w:r>
              <w:rPr>
                <w:i/>
                <w:sz w:val="22"/>
                <w:szCs w:val="22"/>
              </w:rPr>
              <w:t>ToDo</w:t>
            </w:r>
            <w:proofErr w:type="spellEnd"/>
            <w:r>
              <w:rPr>
                <w:i/>
                <w:sz w:val="22"/>
                <w:szCs w:val="22"/>
              </w:rPr>
              <w:t>: Weiterleiten des Vorschlags an Hr. Wieler</w:t>
            </w:r>
          </w:p>
          <w:p>
            <w:pPr>
              <w:rPr>
                <w:sz w:val="22"/>
                <w:szCs w:val="22"/>
              </w:rPr>
            </w:pPr>
          </w:p>
          <w:p>
            <w:pPr>
              <w:spacing w:line="276" w:lineRule="auto"/>
              <w:rPr>
                <w:b/>
                <w:sz w:val="22"/>
                <w:szCs w:val="22"/>
              </w:rPr>
            </w:pPr>
            <w:r>
              <w:rPr>
                <w:b/>
                <w:sz w:val="22"/>
                <w:szCs w:val="22"/>
              </w:rPr>
              <w:t>Zeit Artikel über RKI</w:t>
            </w:r>
          </w:p>
          <w:p>
            <w:pPr>
              <w:pStyle w:val="Listenabsatz"/>
              <w:numPr>
                <w:ilvl w:val="0"/>
                <w:numId w:val="31"/>
              </w:numPr>
              <w:ind w:left="450" w:hanging="232"/>
              <w:rPr>
                <w:sz w:val="22"/>
                <w:szCs w:val="22"/>
              </w:rPr>
            </w:pPr>
            <w:r>
              <w:rPr>
                <w:sz w:val="22"/>
                <w:szCs w:val="22"/>
              </w:rPr>
              <w:t>nicht besprochen</w:t>
            </w:r>
          </w:p>
          <w:p>
            <w:pPr>
              <w:pStyle w:val="Listenabsatz"/>
              <w:ind w:left="450"/>
              <w:rPr>
                <w:sz w:val="22"/>
                <w:szCs w:val="22"/>
              </w:rPr>
            </w:pPr>
          </w:p>
          <w:p>
            <w:pPr>
              <w:spacing w:line="276" w:lineRule="auto"/>
              <w:rPr>
                <w:b/>
                <w:sz w:val="22"/>
                <w:szCs w:val="22"/>
              </w:rPr>
            </w:pPr>
            <w:r>
              <w:rPr>
                <w:b/>
                <w:sz w:val="22"/>
                <w:szCs w:val="22"/>
              </w:rPr>
              <w:t>AG IGV-Flughäfen äußert Bedarf einer bundeseinheitlichen Handreichung bei Wiederaufnahme des Flugverkehrs</w:t>
            </w:r>
          </w:p>
          <w:p>
            <w:pPr>
              <w:pStyle w:val="Listenabsatz"/>
              <w:numPr>
                <w:ilvl w:val="0"/>
                <w:numId w:val="31"/>
              </w:numPr>
              <w:ind w:left="450" w:hanging="232"/>
              <w:rPr>
                <w:sz w:val="22"/>
                <w:szCs w:val="22"/>
              </w:rPr>
            </w:pPr>
            <w:r>
              <w:rPr>
                <w:sz w:val="22"/>
                <w:szCs w:val="22"/>
              </w:rPr>
              <w:lastRenderedPageBreak/>
              <w:t>TK mit informeller AG gestern: es besteht erhöhter Klärungsbedarf und der Wunsch nach einem deutschsprachigen Papier. RKI hat eigentlich keinen öffentlichen Auftrag, Einheitlichkeit wäre aber sinnvoll.</w:t>
            </w:r>
          </w:p>
          <w:p>
            <w:pPr>
              <w:pStyle w:val="Listenabsatz"/>
              <w:numPr>
                <w:ilvl w:val="0"/>
                <w:numId w:val="31"/>
              </w:numPr>
              <w:ind w:left="450" w:hanging="232"/>
              <w:rPr>
                <w:sz w:val="22"/>
                <w:szCs w:val="22"/>
              </w:rPr>
            </w:pPr>
            <w:r>
              <w:rPr>
                <w:sz w:val="22"/>
                <w:szCs w:val="22"/>
              </w:rPr>
              <w:t xml:space="preserve">Soll von Vertretern der AGI, die Teil der Arbeitsgruppe sind, bei der nächsten AGI-TK vorgeschlagen werden. </w:t>
            </w:r>
          </w:p>
          <w:p>
            <w:pPr>
              <w:rPr>
                <w:sz w:val="22"/>
                <w:szCs w:val="22"/>
              </w:rPr>
            </w:pPr>
          </w:p>
          <w:p>
            <w:pPr>
              <w:spacing w:line="276" w:lineRule="auto"/>
              <w:rPr>
                <w:b/>
                <w:sz w:val="22"/>
                <w:szCs w:val="22"/>
              </w:rPr>
            </w:pPr>
            <w:r>
              <w:rPr>
                <w:b/>
                <w:sz w:val="22"/>
                <w:szCs w:val="22"/>
              </w:rPr>
              <w:t>Abstimmung Auftrag gemeinsamer Krisenstab BMI/BMG zu Entscheidungshilfen zum Vorgehen bzgl.  Entscheidungsparameter zum Umgang mit internationalem (EU-weitem) Umgang mit Covid-19, zu Ein- /Ausreise und Grenzregimes</w:t>
            </w:r>
          </w:p>
          <w:p>
            <w:pPr>
              <w:pStyle w:val="Listenabsatz"/>
              <w:numPr>
                <w:ilvl w:val="0"/>
                <w:numId w:val="31"/>
              </w:numPr>
              <w:ind w:left="450" w:hanging="232"/>
              <w:rPr>
                <w:sz w:val="22"/>
                <w:szCs w:val="22"/>
              </w:rPr>
            </w:pPr>
            <w:r>
              <w:rPr>
                <w:sz w:val="22"/>
                <w:szCs w:val="22"/>
              </w:rPr>
              <w:t xml:space="preserve">Auftrag aus interministeriellen Krisenstab: Die Einteilung in Risikogebiete hatte epidemiologische Gründe für die Fallfindung. Grenzschließungen und -öffnungen sind eine politische Entscheidungen. Wenn Parameter herangezogen würden, wären dies die Entwicklung der Fallzahlen, </w:t>
            </w:r>
            <w:proofErr w:type="spellStart"/>
            <w:r>
              <w:rPr>
                <w:sz w:val="22"/>
                <w:szCs w:val="22"/>
              </w:rPr>
              <w:t>vsd</w:t>
            </w:r>
            <w:proofErr w:type="spellEnd"/>
            <w:r>
              <w:rPr>
                <w:sz w:val="22"/>
                <w:szCs w:val="22"/>
              </w:rPr>
              <w:t>. Kapazitäten (Labor, Gesundheitsbereich) und Maßnahmen sowie Mobilität</w:t>
            </w:r>
          </w:p>
          <w:p>
            <w:pPr>
              <w:pStyle w:val="Listenabsatz"/>
              <w:numPr>
                <w:ilvl w:val="0"/>
                <w:numId w:val="31"/>
              </w:numPr>
              <w:ind w:left="450" w:hanging="232"/>
              <w:rPr>
                <w:sz w:val="22"/>
                <w:szCs w:val="22"/>
              </w:rPr>
            </w:pPr>
            <w:r>
              <w:rPr>
                <w:sz w:val="22"/>
                <w:szCs w:val="22"/>
              </w:rPr>
              <w:t>Dem RKI liegen gar nicht alle hierfür notwendigen Daten vor. 50 Fälle/100.000 in 1 Woche wäre das einzige verfügbare Kriterium. Die entsprechende Karte ist noch in Arbeit.</w:t>
            </w:r>
          </w:p>
          <w:p>
            <w:pPr>
              <w:pStyle w:val="Listenabsatz"/>
              <w:numPr>
                <w:ilvl w:val="0"/>
                <w:numId w:val="31"/>
              </w:numPr>
              <w:ind w:left="450" w:hanging="232"/>
              <w:rPr>
                <w:sz w:val="22"/>
                <w:szCs w:val="22"/>
              </w:rPr>
            </w:pPr>
            <w:r>
              <w:rPr>
                <w:sz w:val="22"/>
                <w:szCs w:val="22"/>
              </w:rPr>
              <w:t xml:space="preserve">RKI würde Arbeitsauftrag gerne an ECDC oder WHO weitergeben. ECDC hat die Entwicklung von Kriterien jedoch schon abgelehnt. </w:t>
            </w:r>
          </w:p>
          <w:p>
            <w:pPr>
              <w:pStyle w:val="Listenabsatz"/>
              <w:numPr>
                <w:ilvl w:val="0"/>
                <w:numId w:val="31"/>
              </w:numPr>
              <w:ind w:left="450" w:hanging="232"/>
              <w:rPr>
                <w:sz w:val="22"/>
                <w:szCs w:val="22"/>
              </w:rPr>
            </w:pPr>
            <w:r>
              <w:rPr>
                <w:sz w:val="22"/>
                <w:szCs w:val="22"/>
              </w:rPr>
              <w:t>Mustereinreiseverordnung für BL und Beförderer wird vom BMG erstellt.</w:t>
            </w:r>
          </w:p>
          <w:p>
            <w:pPr>
              <w:pStyle w:val="Listenabsatz"/>
              <w:numPr>
                <w:ilvl w:val="0"/>
                <w:numId w:val="31"/>
              </w:numPr>
              <w:ind w:left="450" w:hanging="232"/>
              <w:rPr>
                <w:sz w:val="22"/>
                <w:szCs w:val="22"/>
              </w:rPr>
            </w:pPr>
            <w:r>
              <w:rPr>
                <w:sz w:val="22"/>
                <w:szCs w:val="22"/>
              </w:rPr>
              <w:t xml:space="preserve">Formulierungsvorschlag: Aufgrund der Beschlüsse der Staatssekretäre geht das RKI davon aus, dass sich der Auftrag erledigt hat. </w:t>
            </w:r>
            <w:r>
              <w:rPr>
                <w:sz w:val="22"/>
                <w:szCs w:val="22"/>
                <w:u w:val="single"/>
              </w:rPr>
              <w:t>Nachtrag:</w:t>
            </w:r>
            <w:r>
              <w:rPr>
                <w:sz w:val="22"/>
                <w:szCs w:val="22"/>
              </w:rPr>
              <w:t xml:space="preserve"> BMG-Anfrage hat ergeben, das Arbeitsauftrag aufgrund </w:t>
            </w:r>
            <w:proofErr w:type="spellStart"/>
            <w:r>
              <w:rPr>
                <w:sz w:val="22"/>
                <w:szCs w:val="22"/>
              </w:rPr>
              <w:t>CdS</w:t>
            </w:r>
            <w:proofErr w:type="spellEnd"/>
            <w:r>
              <w:rPr>
                <w:sz w:val="22"/>
                <w:szCs w:val="22"/>
              </w:rPr>
              <w:t xml:space="preserve"> Beschluss nicht mehr besteht</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 / FG32</w:t>
            </w: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Dokumente</w:t>
            </w:r>
          </w:p>
          <w:p>
            <w:pPr>
              <w:pStyle w:val="Listenabsatz"/>
              <w:numPr>
                <w:ilvl w:val="0"/>
                <w:numId w:val="31"/>
              </w:numPr>
              <w:ind w:left="572" w:hanging="357"/>
              <w:rPr>
                <w:sz w:val="22"/>
                <w:szCs w:val="22"/>
              </w:rPr>
            </w:pPr>
            <w:r>
              <w:rPr>
                <w:sz w:val="22"/>
                <w:szCs w:val="22"/>
              </w:rPr>
              <w:t>Nicht besprochen</w:t>
            </w:r>
          </w:p>
          <w:p>
            <w:pPr>
              <w:rPr>
                <w:i/>
                <w:sz w:val="22"/>
              </w:rPr>
            </w:pP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31"/>
              </w:numPr>
              <w:ind w:left="572" w:hanging="357"/>
              <w:rPr>
                <w:sz w:val="22"/>
                <w:szCs w:val="22"/>
              </w:rPr>
            </w:pPr>
            <w:r>
              <w:rPr>
                <w:sz w:val="22"/>
                <w:szCs w:val="22"/>
              </w:rPr>
              <w:t>Stand AG Diagnostik: sind kurz davor den Bericht zur Testung von symptomlosen Kontaktpersonen Kat. 1 zu finalisieren mit einer Übersichtstabelle für die Bewertung von Konstellationen.</w:t>
            </w:r>
          </w:p>
          <w:p>
            <w:pPr>
              <w:pStyle w:val="Listenabsatz"/>
              <w:numPr>
                <w:ilvl w:val="0"/>
                <w:numId w:val="31"/>
              </w:numPr>
              <w:ind w:left="572" w:hanging="357"/>
              <w:rPr>
                <w:sz w:val="22"/>
                <w:szCs w:val="22"/>
              </w:rPr>
            </w:pPr>
            <w:r>
              <w:rPr>
                <w:sz w:val="22"/>
                <w:szCs w:val="22"/>
              </w:rPr>
              <w:t>Testung von Kontaktpersonen Kat. 1 soll anlassbezogen bei einem Ausbruch oder vermuteten Ausbruch stattfinden. Es geht nicht um Freitestung, sondern um Erkennen asymptomatischer Fälle.</w:t>
            </w:r>
          </w:p>
          <w:p>
            <w:pPr>
              <w:pStyle w:val="Listenabsatz"/>
              <w:numPr>
                <w:ilvl w:val="0"/>
                <w:numId w:val="31"/>
              </w:numPr>
              <w:ind w:left="572" w:hanging="357"/>
              <w:rPr>
                <w:sz w:val="22"/>
                <w:szCs w:val="22"/>
              </w:rPr>
            </w:pPr>
            <w:r>
              <w:rPr>
                <w:sz w:val="22"/>
                <w:szCs w:val="22"/>
              </w:rPr>
              <w:t>Günstigstes Intervall bei Testung ist eine frühe Testung (Tag 0/1) und eine 2. Testung an Tag 7 oder 10.</w:t>
            </w:r>
          </w:p>
          <w:p>
            <w:pPr>
              <w:pStyle w:val="Listenabsatz"/>
              <w:numPr>
                <w:ilvl w:val="0"/>
                <w:numId w:val="31"/>
              </w:numPr>
              <w:ind w:left="572" w:hanging="357"/>
              <w:rPr>
                <w:sz w:val="22"/>
                <w:szCs w:val="22"/>
              </w:rPr>
            </w:pPr>
            <w:r>
              <w:rPr>
                <w:sz w:val="22"/>
                <w:szCs w:val="22"/>
              </w:rPr>
              <w:t>Eine möglichst frühe Testung ist sinnvoll, um weitere Ansteckungen zu verhindern. ÖGD benötigt einfache Regelung.</w:t>
            </w:r>
          </w:p>
          <w:p>
            <w:pPr>
              <w:rPr>
                <w:i/>
                <w:sz w:val="22"/>
                <w:szCs w:val="22"/>
              </w:rPr>
            </w:pPr>
            <w:proofErr w:type="spellStart"/>
            <w:r>
              <w:rPr>
                <w:i/>
                <w:sz w:val="22"/>
                <w:szCs w:val="22"/>
              </w:rPr>
              <w:t>ToDo</w:t>
            </w:r>
            <w:proofErr w:type="spellEnd"/>
            <w:r>
              <w:rPr>
                <w:i/>
                <w:sz w:val="22"/>
                <w:szCs w:val="22"/>
              </w:rPr>
              <w:t>: Verteilung der konsolidierten Version am Wochenende, Finalisierung am Montag</w:t>
            </w:r>
          </w:p>
          <w:p>
            <w:pPr>
              <w:rPr>
                <w:i/>
                <w:sz w:val="22"/>
                <w:szCs w:val="22"/>
              </w:rPr>
            </w:pPr>
          </w:p>
          <w:p>
            <w:pPr>
              <w:pStyle w:val="Listenabsatz"/>
              <w:numPr>
                <w:ilvl w:val="0"/>
                <w:numId w:val="31"/>
              </w:numPr>
              <w:ind w:left="572" w:hanging="357"/>
              <w:rPr>
                <w:sz w:val="22"/>
                <w:szCs w:val="22"/>
              </w:rPr>
            </w:pPr>
            <w:r>
              <w:rPr>
                <w:sz w:val="22"/>
                <w:szCs w:val="22"/>
              </w:rPr>
              <w:lastRenderedPageBreak/>
              <w:t>ZBS1: Knapp 500 Proben, davon knapp 5% positiv, nächste Woche mehr Proben durch Beginn HCW-Studie erwartet.</w:t>
            </w:r>
          </w:p>
          <w:p>
            <w:pPr>
              <w:pStyle w:val="Listenabsatz"/>
              <w:numPr>
                <w:ilvl w:val="0"/>
                <w:numId w:val="31"/>
              </w:numPr>
              <w:ind w:left="572" w:hanging="357"/>
              <w:rPr>
                <w:sz w:val="22"/>
                <w:szCs w:val="22"/>
              </w:rPr>
            </w:pPr>
            <w:r>
              <w:rPr>
                <w:sz w:val="22"/>
                <w:szCs w:val="22"/>
              </w:rPr>
              <w:t xml:space="preserve">In Marzahn Montag und Dienstag Beginn der Testung von HCW mittels PCR und serologisch. </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AL1</w:t>
            </w:r>
          </w:p>
          <w:p>
            <w:pPr>
              <w:rPr>
                <w:sz w:val="22"/>
                <w:szCs w:val="22"/>
              </w:rPr>
            </w:pPr>
            <w:r>
              <w:rPr>
                <w:sz w:val="22"/>
                <w:szCs w:val="22"/>
              </w:rPr>
              <w:t>FG17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lastRenderedPageBreak/>
              <w:t>10</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572" w:hanging="357"/>
              <w:rPr>
                <w:sz w:val="22"/>
                <w:szCs w:val="22"/>
              </w:rPr>
            </w:pPr>
            <w:r>
              <w:rPr>
                <w:sz w:val="22"/>
                <w:szCs w:val="22"/>
              </w:rPr>
              <w:t>Papier zur strategischen Patientenverlegung wird zurzeit erstellt. Mehr dazu nächste Woche.</w:t>
            </w:r>
          </w:p>
          <w:p>
            <w:pPr>
              <w:rPr>
                <w:i/>
              </w:rPr>
            </w:pPr>
          </w:p>
        </w:tc>
        <w:tc>
          <w:tcPr>
            <w:tcW w:w="1492" w:type="dxa"/>
          </w:tcPr>
          <w:p>
            <w:pPr>
              <w:rPr>
                <w:sz w:val="22"/>
                <w:szCs w:val="22"/>
              </w:rPr>
            </w:pPr>
          </w:p>
          <w:p>
            <w:pPr>
              <w:rPr>
                <w:sz w:val="22"/>
                <w:szCs w:val="22"/>
              </w:rPr>
            </w:pPr>
          </w:p>
          <w:p>
            <w:pPr>
              <w:rPr>
                <w:sz w:val="22"/>
                <w:szCs w:val="22"/>
              </w:rPr>
            </w:pPr>
            <w:r>
              <w:rPr>
                <w:sz w:val="22"/>
                <w:szCs w:val="22"/>
              </w:rPr>
              <w:t>IBBS</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31"/>
              </w:numPr>
              <w:ind w:left="572" w:hanging="357"/>
              <w:rPr>
                <w:sz w:val="22"/>
                <w:szCs w:val="22"/>
              </w:rPr>
            </w:pPr>
            <w:r>
              <w:rPr>
                <w:sz w:val="22"/>
                <w:szCs w:val="22"/>
              </w:rPr>
              <w:t>Kontaktpersonennachverfolgung bei respiratorischen Erkrankungen durch das Coronavirus SARS-CoV-2: unter Labordiagnostik besprochen</w:t>
            </w:r>
          </w:p>
          <w:p>
            <w:pPr>
              <w:rPr>
                <w:sz w:val="22"/>
              </w:rPr>
            </w:pPr>
          </w:p>
        </w:tc>
        <w:tc>
          <w:tcPr>
            <w:tcW w:w="1492" w:type="dxa"/>
          </w:tcPr>
          <w:p>
            <w:pPr>
              <w:rPr>
                <w:sz w:val="22"/>
                <w:szCs w:val="22"/>
              </w:rPr>
            </w:pPr>
          </w:p>
          <w:p>
            <w:pPr>
              <w:rPr>
                <w:sz w:val="22"/>
                <w:szCs w:val="22"/>
              </w:rPr>
            </w:pPr>
          </w:p>
          <w:p>
            <w:pPr>
              <w:rPr>
                <w:sz w:val="22"/>
                <w:szCs w:val="22"/>
              </w:rPr>
            </w:pPr>
            <w:r>
              <w:rPr>
                <w:sz w:val="22"/>
                <w:szCs w:val="22"/>
              </w:rPr>
              <w:t>FG36</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31"/>
              </w:numPr>
              <w:ind w:left="572" w:hanging="357"/>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Transport und Grenzübergangsstellen</w:t>
            </w:r>
          </w:p>
          <w:p>
            <w:pPr>
              <w:pStyle w:val="Listenabsatz"/>
              <w:numPr>
                <w:ilvl w:val="0"/>
                <w:numId w:val="31"/>
              </w:numPr>
              <w:ind w:left="572" w:hanging="357"/>
              <w:rPr>
                <w:sz w:val="22"/>
                <w:szCs w:val="22"/>
              </w:rPr>
            </w:pPr>
            <w:r>
              <w:rPr>
                <w:sz w:val="22"/>
                <w:szCs w:val="22"/>
              </w:rPr>
              <w:t>Unter RKI-Strategie besprochen</w:t>
            </w:r>
          </w:p>
          <w:p>
            <w:pPr>
              <w:rPr>
                <w:sz w:val="22"/>
              </w:rPr>
            </w:pP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Information aus dem Lagezentrum</w:t>
            </w:r>
          </w:p>
          <w:p>
            <w:pPr>
              <w:pStyle w:val="Listenabsatz"/>
              <w:numPr>
                <w:ilvl w:val="0"/>
                <w:numId w:val="31"/>
              </w:numPr>
              <w:ind w:left="572" w:hanging="357"/>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572" w:hanging="357"/>
              <w:rPr>
                <w:b/>
                <w:sz w:val="28"/>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572" w:hanging="357"/>
              <w:rPr>
                <w:sz w:val="22"/>
                <w:szCs w:val="22"/>
              </w:rPr>
            </w:pPr>
            <w:r>
              <w:rPr>
                <w:sz w:val="22"/>
                <w:szCs w:val="22"/>
              </w:rPr>
              <w:t>Fachaufsichtsbeschwerde über Herrn Wieler bzgl. Unterlassung der Anpassung von Empfehlungen für pflegende Angehörige: wird von L1 beantwortet</w:t>
            </w:r>
          </w:p>
          <w:p>
            <w:pPr>
              <w:pStyle w:val="Listenabsatz"/>
              <w:numPr>
                <w:ilvl w:val="0"/>
                <w:numId w:val="31"/>
              </w:numPr>
              <w:ind w:left="572" w:hanging="357"/>
              <w:rPr>
                <w:sz w:val="22"/>
                <w:szCs w:val="22"/>
              </w:rPr>
            </w:pPr>
            <w:r>
              <w:rPr>
                <w:sz w:val="22"/>
                <w:szCs w:val="22"/>
              </w:rPr>
              <w:t>Nächste Sitzung: Montag, 18.05.2020, 13:00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01EC0A66"/>
    <w:lvl w:ilvl="0" w:tplc="55200818">
      <w:start w:val="1"/>
      <w:numFmt w:val="bullet"/>
      <w:lvlText w:val=""/>
      <w:lvlJc w:val="left"/>
      <w:pPr>
        <w:ind w:left="1080" w:hanging="360"/>
      </w:pPr>
      <w:rPr>
        <w:rFonts w:ascii="Symbol" w:hAnsi="Symbol" w:hint="default"/>
        <w:color w:val="auto"/>
        <w:sz w:val="22"/>
        <w:szCs w:val="22"/>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2D5316E"/>
    <w:multiLevelType w:val="hybridMultilevel"/>
    <w:tmpl w:val="9404C012"/>
    <w:lvl w:ilvl="0" w:tplc="59AC9876">
      <w:start w:val="2"/>
      <w:numFmt w:val="decimal"/>
      <w:lvlText w:val="%1"/>
      <w:lvlJc w:val="left"/>
      <w:pPr>
        <w:ind w:left="578" w:hanging="360"/>
      </w:pPr>
      <w:rPr>
        <w:rFonts w:hint="default"/>
      </w:rPr>
    </w:lvl>
    <w:lvl w:ilvl="1" w:tplc="04070019" w:tentative="1">
      <w:start w:val="1"/>
      <w:numFmt w:val="lowerLetter"/>
      <w:lvlText w:val="%2."/>
      <w:lvlJc w:val="left"/>
      <w:pPr>
        <w:ind w:left="1298" w:hanging="360"/>
      </w:pPr>
    </w:lvl>
    <w:lvl w:ilvl="2" w:tplc="0407001B" w:tentative="1">
      <w:start w:val="1"/>
      <w:numFmt w:val="lowerRoman"/>
      <w:lvlText w:val="%3."/>
      <w:lvlJc w:val="right"/>
      <w:pPr>
        <w:ind w:left="2018" w:hanging="180"/>
      </w:pPr>
    </w:lvl>
    <w:lvl w:ilvl="3" w:tplc="0407000F" w:tentative="1">
      <w:start w:val="1"/>
      <w:numFmt w:val="decimal"/>
      <w:lvlText w:val="%4."/>
      <w:lvlJc w:val="left"/>
      <w:pPr>
        <w:ind w:left="2738" w:hanging="360"/>
      </w:pPr>
    </w:lvl>
    <w:lvl w:ilvl="4" w:tplc="04070019" w:tentative="1">
      <w:start w:val="1"/>
      <w:numFmt w:val="lowerLetter"/>
      <w:lvlText w:val="%5."/>
      <w:lvlJc w:val="left"/>
      <w:pPr>
        <w:ind w:left="3458" w:hanging="360"/>
      </w:pPr>
    </w:lvl>
    <w:lvl w:ilvl="5" w:tplc="0407001B" w:tentative="1">
      <w:start w:val="1"/>
      <w:numFmt w:val="lowerRoman"/>
      <w:lvlText w:val="%6."/>
      <w:lvlJc w:val="right"/>
      <w:pPr>
        <w:ind w:left="4178" w:hanging="180"/>
      </w:pPr>
    </w:lvl>
    <w:lvl w:ilvl="6" w:tplc="0407000F" w:tentative="1">
      <w:start w:val="1"/>
      <w:numFmt w:val="decimal"/>
      <w:lvlText w:val="%7."/>
      <w:lvlJc w:val="left"/>
      <w:pPr>
        <w:ind w:left="4898" w:hanging="360"/>
      </w:pPr>
    </w:lvl>
    <w:lvl w:ilvl="7" w:tplc="04070019" w:tentative="1">
      <w:start w:val="1"/>
      <w:numFmt w:val="lowerLetter"/>
      <w:lvlText w:val="%8."/>
      <w:lvlJc w:val="left"/>
      <w:pPr>
        <w:ind w:left="5618" w:hanging="360"/>
      </w:pPr>
    </w:lvl>
    <w:lvl w:ilvl="8" w:tplc="0407001B" w:tentative="1">
      <w:start w:val="1"/>
      <w:numFmt w:val="lowerRoman"/>
      <w:lvlText w:val="%9."/>
      <w:lvlJc w:val="right"/>
      <w:pPr>
        <w:ind w:left="6338" w:hanging="180"/>
      </w:pPr>
    </w:lvl>
  </w:abstractNum>
  <w:abstractNum w:abstractNumId="41"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1"/>
  </w:num>
  <w:num w:numId="12">
    <w:abstractNumId w:val="3"/>
  </w:num>
  <w:num w:numId="13">
    <w:abstractNumId w:val="42"/>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3"/>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 w:numId="44">
    <w:abstractNumId w:val="4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44505D7-F4B8-4F69-9520-EE7DE2AE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Lage_2020-05-15.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COVID_Beratergruppe-RKI-2020-05-15_V2.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Lage-National_2020-05-15.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rsid/>
    <w:rsid/>
    <w:rsid/>
    <w:rsid/>
    <w:rsid/>
    <w:rsid/>
    <w:rsid/>
    <w:rsid/>
    <w:rsid/>
    <w:rsid/>
    <w:rsid/>
    <w:rsid/>
    <w:rsid/>
    <w:rsid/>
    <w:rsid/>
    <w:rsid/>
    <w:rsid/>
    <w:rsid/>
    <w:rsid/>
    <w:rsid/>
    <w:rsid/>
    <w:rsid/>
    <w:rsid/>
    <w:rsid/>
    <w:rsid/>
    <w:rsid/>
    <w:rsid/>
    <w:rsid/>
    <w:rsid/>
    <w:rsid/>
    <w:rsid/>
    <w:rsid/>
    <w:rsid/>
    <w:rsid/>
    <w:rsid/>
    <w:rsid/>
    <w:rsid/>
    <w:rsid/>
    <w:rsid/>
    <w:rsid/>
    <w:rsi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C99CB-C52D-4461-BF34-C6832673F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1887</Words>
  <Characters>11891</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28</cp:revision>
  <dcterms:created xsi:type="dcterms:W3CDTF">2020-05-15T13:16:00Z</dcterms:created>
  <dcterms:modified xsi:type="dcterms:W3CDTF">2021-04-12T14:52:00Z</dcterms:modified>
</cp:coreProperties>
</file>