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rPr>
          <w:i/>
        </w:rPr>
      </w:pPr>
      <w:r>
        <w:rPr>
          <w:b/>
          <w:i/>
        </w:rPr>
        <w:t>Anlass: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sdt>
        <w:sdtPr>
          <w:rPr>
            <w:i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rPr>
          <w:i/>
        </w:rPr>
      </w:pPr>
      <w:r>
        <w:rPr>
          <w:b/>
          <w:i/>
        </w:rPr>
        <w:t>Datum: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sdt>
        <w:sdtPr>
          <w:rPr>
            <w:i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</w:rPr>
            <w:t>08.07.2020,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</w:pPr>
      <w:r>
        <w:rPr>
          <w:b/>
          <w:i/>
        </w:rPr>
        <w:t>Sitzungsort:</w:t>
      </w:r>
      <w:r>
        <w:rPr>
          <w:b/>
          <w:i/>
        </w:rPr>
        <w:tab/>
      </w:r>
      <w:r>
        <w:rPr>
          <w:b/>
          <w:i/>
        </w:rPr>
        <w:tab/>
      </w:r>
      <w:sdt>
        <w:sdtPr>
          <w:id w:val="1344203332"/>
          <w:placeholder>
            <w:docPart w:val="0F773A1FCB61483A80E8B309D8E6A01A"/>
          </w:placeholder>
        </w:sdtPr>
        <w:sdtContent>
          <w:proofErr w:type="spellStart"/>
          <w:r>
            <w:t>Viterokonferenz</w:t>
          </w:r>
          <w:proofErr w:type="spellEnd"/>
        </w:sdtContent>
      </w:sdt>
    </w:p>
    <w:p>
      <w:pPr>
        <w:rPr>
          <w:b/>
        </w:rPr>
      </w:pPr>
      <w:r>
        <w:rPr>
          <w:b/>
        </w:rPr>
        <w:t>Moderation: Osamah Hamouda</w:t>
      </w:r>
    </w:p>
    <w:p>
      <w:pPr>
        <w:spacing w:after="0"/>
        <w:rPr>
          <w:b/>
        </w:rPr>
      </w:pPr>
      <w:r>
        <w:rPr>
          <w:b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Osamah Hamouda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ind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Johanna Hanefeld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Basel Karo</w:t>
      </w:r>
    </w:p>
    <w:p>
      <w:pPr>
        <w:pStyle w:val="Listenabsatz"/>
        <w:numPr>
          <w:ilvl w:val="0"/>
          <w:numId w:val="2"/>
        </w:numPr>
        <w:spacing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FG12</w:t>
      </w:r>
    </w:p>
    <w:p>
      <w:pPr>
        <w:pStyle w:val="Listenabsatz"/>
        <w:numPr>
          <w:ilvl w:val="1"/>
          <w:numId w:val="2"/>
        </w:numPr>
        <w:spacing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Annette Mankertz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Marjan Arvand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Ralf Dürrwald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Ute Rexroth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Claudia Houareau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Tim Eckmanns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Christian Herzog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ZBS1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Bettina Rühe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ind w:left="714" w:hanging="357"/>
        <w:rPr>
          <w:sz w:val="20"/>
          <w:szCs w:val="20"/>
        </w:rPr>
      </w:pPr>
      <w:r>
        <w:rPr>
          <w:sz w:val="20"/>
          <w:szCs w:val="20"/>
        </w:rPr>
        <w:t>BMG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Irina </w:t>
      </w:r>
      <w:proofErr w:type="spellStart"/>
      <w:r>
        <w:rPr>
          <w:sz w:val="20"/>
          <w:szCs w:val="20"/>
        </w:rPr>
        <w:t>Czogiel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Bundeswehr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Katalyn</w:t>
      </w:r>
      <w:proofErr w:type="spellEnd"/>
      <w:r>
        <w:rPr>
          <w:sz w:val="20"/>
          <w:szCs w:val="20"/>
        </w:rPr>
        <w:t xml:space="preserve"> Roßmann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BZgA</w:t>
      </w:r>
    </w:p>
    <w:p>
      <w:pPr>
        <w:pStyle w:val="Listenabsatz"/>
        <w:numPr>
          <w:ilvl w:val="1"/>
          <w:numId w:val="3"/>
        </w:numPr>
        <w:spacing w:after="0"/>
        <w:contextualSpacing w:val="0"/>
      </w:pPr>
      <w:r>
        <w:rPr>
          <w:sz w:val="20"/>
          <w:szCs w:val="20"/>
        </w:rPr>
        <w:t xml:space="preserve">Heidrun </w:t>
      </w:r>
      <w:proofErr w:type="spellStart"/>
      <w:r>
        <w:rPr>
          <w:sz w:val="20"/>
          <w:szCs w:val="20"/>
        </w:rPr>
        <w:t>Thaiss</w:t>
      </w:r>
      <w:proofErr w:type="spellEnd"/>
      <w:r>
        <w:br w:type="page"/>
      </w:r>
    </w:p>
    <w:p>
      <w:pPr>
        <w:spacing w:after="0"/>
      </w:pPr>
    </w:p>
    <w:p>
      <w:pPr>
        <w:pStyle w:val="Listenabsatz"/>
        <w:spacing w:after="0"/>
        <w:ind w:left="1440"/>
        <w:contextualSpacing w:val="0"/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</w:rPr>
            </w:pPr>
            <w:r>
              <w:rPr>
                <w:b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rPr>
                <w:b/>
              </w:rPr>
            </w:pPr>
            <w:r>
              <w:rPr>
                <w:b/>
              </w:rPr>
              <w:t>International INIG</w:t>
            </w:r>
          </w:p>
          <w:p>
            <w:pPr>
              <w:pStyle w:val="KStab1"/>
            </w:pPr>
            <w:r>
              <w:t xml:space="preserve">Trendanalyse international, Maßnahmen (Folien </w:t>
            </w:r>
            <w:hyperlink r:id="rId8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KStab1"/>
            </w:pPr>
            <w:r>
              <w:t xml:space="preserve">Top 10 Länder nach Anzahl neuer Fälle in den letzten 7 Tagen: </w:t>
            </w:r>
          </w:p>
          <w:p>
            <w:pPr>
              <w:pStyle w:val="KStab2"/>
            </w:pPr>
            <w:r>
              <w:t>Neu dabei sind: Kasachstan und Pakistan (in rot)</w:t>
            </w:r>
          </w:p>
          <w:p>
            <w:pPr>
              <w:pStyle w:val="KStab2"/>
            </w:pPr>
            <w:r>
              <w:t>Nahm am stärksten in USA Indien Pakistan zu</w:t>
            </w:r>
          </w:p>
          <w:p>
            <w:pPr>
              <w:pStyle w:val="KStab1"/>
            </w:pPr>
            <w:r>
              <w:t>7-Tages-Inzidenz pro 100.000 Einwohner</w:t>
            </w:r>
          </w:p>
          <w:p>
            <w:pPr>
              <w:pStyle w:val="KStab2"/>
            </w:pPr>
            <w:r>
              <w:t>Immer mehr Länder &gt;50 Fälle/100 000 Einwohner</w:t>
            </w:r>
          </w:p>
          <w:p>
            <w:pPr>
              <w:pStyle w:val="KStab2"/>
            </w:pPr>
            <w:r>
              <w:t>Aktuell sind hier 24 Staaten gelistet</w:t>
            </w:r>
          </w:p>
          <w:p>
            <w:pPr>
              <w:pStyle w:val="KStab1"/>
            </w:pPr>
            <w:r>
              <w:t>Länder mit &gt; 70.000 neuen Fällen/letzte 7 Tage</w:t>
            </w:r>
          </w:p>
          <w:p>
            <w:pPr>
              <w:pStyle w:val="KStab2"/>
            </w:pPr>
            <w:r>
              <w:t>Die meisten Fälle in Nord- und Südamerika</w:t>
            </w:r>
          </w:p>
          <w:p>
            <w:pPr>
              <w:pStyle w:val="KStab2"/>
            </w:pPr>
            <w:r>
              <w:t>In den USA, v.a. Südstaaten und dort Ausbrüche in Gefängnissen und fleischverarbeitenden Betrieben.</w:t>
            </w:r>
          </w:p>
          <w:p>
            <w:pPr>
              <w:pStyle w:val="KStab2"/>
            </w:pPr>
            <w:r>
              <w:t>Indien v.a. Neu-Delhi und zwei weitere Regionen; trotzdem Öffnungen aus wirtschaftlichen Gründen.</w:t>
            </w:r>
          </w:p>
          <w:p>
            <w:pPr>
              <w:pStyle w:val="KStab1"/>
            </w:pPr>
            <w:r>
              <w:t>Europa - Aktuelle Lage</w:t>
            </w:r>
          </w:p>
          <w:p>
            <w:pPr>
              <w:pStyle w:val="KStab2"/>
            </w:pPr>
            <w:r>
              <w:t xml:space="preserve"> besonders im Westbalkan und Osteuropa gestiegen, der zuletzt berichtet Anstieg in Luxemburg war durch erhöhtes Testen verursacht.</w:t>
            </w:r>
          </w:p>
          <w:p>
            <w:pPr>
              <w:pStyle w:val="KStab1"/>
            </w:pPr>
            <w:r>
              <w:t>Asien Aktuelle Lage</w:t>
            </w:r>
          </w:p>
          <w:p>
            <w:pPr>
              <w:pStyle w:val="KStab2"/>
            </w:pPr>
            <w:r>
              <w:t>In vielen Lockerungen der Maßnahmen</w:t>
            </w:r>
          </w:p>
          <w:p>
            <w:pPr>
              <w:pStyle w:val="KStab1"/>
            </w:pPr>
            <w:r>
              <w:t>Afrika Aktuell Lage</w:t>
            </w:r>
          </w:p>
          <w:p>
            <w:pPr>
              <w:pStyle w:val="KStab2"/>
            </w:pPr>
            <w:r>
              <w:t xml:space="preserve">Südafrika ist besonders betroffen. Gründe: schwache Surveillance, geringe Testkapazität. </w:t>
            </w:r>
          </w:p>
          <w:p>
            <w:pPr>
              <w:pStyle w:val="KStab2"/>
            </w:pPr>
            <w:r>
              <w:t>Dies trifft auf viele afrikanische Staaten zu. Es wird eine hohe Dunkelziffer vermutet.</w:t>
            </w:r>
          </w:p>
          <w:p>
            <w:pPr>
              <w:pStyle w:val="KStab1"/>
            </w:pPr>
            <w:r>
              <w:t>Australien Aktuelle Lage</w:t>
            </w:r>
          </w:p>
          <w:p>
            <w:pPr>
              <w:pStyle w:val="KStab2"/>
            </w:pPr>
            <w:r>
              <w:t>In Melbourne viele Fälle, Ausbruch in einem Quarantäne Hotel</w:t>
            </w:r>
          </w:p>
          <w:p>
            <w:pPr>
              <w:pStyle w:val="KStab1"/>
            </w:pPr>
            <w:r>
              <w:t>Nachfrage wie die vergleichsweise geringen Todeszahlen zu den hohen Fall erklärt werden.</w:t>
            </w:r>
          </w:p>
          <w:p>
            <w:pPr>
              <w:pStyle w:val="KStab2"/>
            </w:pPr>
            <w:r>
              <w:t>Dazu wird am Freitag berichtet werden.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National </w:t>
            </w:r>
          </w:p>
          <w:p>
            <w:pPr>
              <w:pStyle w:val="KStab1"/>
            </w:pPr>
            <w:r>
              <w:t xml:space="preserve">Fallzahlen, Todesfälle, Trend (Folien </w:t>
            </w:r>
            <w:hyperlink r:id="rId9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</w:p>
          <w:p>
            <w:pPr>
              <w:pStyle w:val="KStab1"/>
            </w:pPr>
            <w:r>
              <w:t>Lage National, 08.07.2020</w:t>
            </w:r>
          </w:p>
          <w:p>
            <w:pPr>
              <w:pStyle w:val="KStab2"/>
            </w:pPr>
            <w:r>
              <w:t>Insgesamt sehr ruhig; wenig Veränderung bei ITS</w:t>
            </w:r>
          </w:p>
          <w:p>
            <w:pPr>
              <w:pStyle w:val="KStab1"/>
            </w:pPr>
            <w:r>
              <w:t>Fälle und Todesfälle pro BL</w:t>
            </w:r>
          </w:p>
          <w:p>
            <w:pPr>
              <w:pStyle w:val="KStab2"/>
            </w:pPr>
            <w:r>
              <w:t>man sieht immer weniger Fälle aus den BL; mehrere kleine Ausbruchsgeschehen</w:t>
            </w:r>
          </w:p>
          <w:p>
            <w:pPr>
              <w:pStyle w:val="KStab2"/>
            </w:pPr>
            <w:r>
              <w:lastRenderedPageBreak/>
              <w:t>Fälle in Bayern angestiegen</w:t>
            </w:r>
          </w:p>
          <w:p>
            <w:pPr>
              <w:pStyle w:val="KStab1"/>
            </w:pPr>
            <w:r>
              <w:t>Vergleich KW26/KW25 pro BL</w:t>
            </w:r>
          </w:p>
          <w:p>
            <w:pPr>
              <w:pStyle w:val="KStab2"/>
            </w:pPr>
            <w:r>
              <w:t>Im Wochenvergleich: Auffällig sind Ausbruch in Oldenburg (Niedersachsen) und Reste des Ausbruchs in Gütersloh</w:t>
            </w:r>
          </w:p>
          <w:p>
            <w:pPr>
              <w:pStyle w:val="KStab2"/>
            </w:pPr>
            <w:r>
              <w:t>In NRW stärkster Rückgang der Fälle</w:t>
            </w:r>
          </w:p>
          <w:p>
            <w:pPr>
              <w:pStyle w:val="KStab2"/>
            </w:pPr>
            <w:r>
              <w:t xml:space="preserve">In </w:t>
            </w:r>
            <w:proofErr w:type="spellStart"/>
            <w:r>
              <w:t>Bavern</w:t>
            </w:r>
            <w:proofErr w:type="spellEnd"/>
            <w:r>
              <w:t xml:space="preserve"> Zunahme</w:t>
            </w:r>
          </w:p>
          <w:p>
            <w:pPr>
              <w:pStyle w:val="KStab1"/>
            </w:pPr>
            <w:proofErr w:type="spellStart"/>
            <w:r>
              <w:t>Nowcasting</w:t>
            </w:r>
            <w:proofErr w:type="spellEnd"/>
            <w:r>
              <w:t xml:space="preserve"> – Schätzung des R</w:t>
            </w:r>
          </w:p>
          <w:p>
            <w:pPr>
              <w:pStyle w:val="KStab2"/>
            </w:pPr>
            <w:r>
              <w:t>R unter 1</w:t>
            </w:r>
          </w:p>
          <w:p>
            <w:pPr>
              <w:pStyle w:val="KStab1"/>
            </w:pPr>
            <w:r>
              <w:t>7-Tages-Inzidenz nach Meldedatum BL</w:t>
            </w:r>
          </w:p>
          <w:p>
            <w:pPr>
              <w:pStyle w:val="KStab2"/>
            </w:pPr>
            <w:r>
              <w:t>Fälle gehen kontinuierlich zurück, aber Bayern steigt</w:t>
            </w:r>
          </w:p>
          <w:p>
            <w:pPr>
              <w:pStyle w:val="KStab1"/>
            </w:pPr>
            <w:r>
              <w:t xml:space="preserve">Geografische Verteilung in </w:t>
            </w:r>
            <w:proofErr w:type="spellStart"/>
            <w:r>
              <w:t>Dtl</w:t>
            </w:r>
            <w:proofErr w:type="spellEnd"/>
            <w:r>
              <w:t>.: 7-Tage-Inzidenz</w:t>
            </w:r>
          </w:p>
          <w:p>
            <w:pPr>
              <w:pStyle w:val="KStab2"/>
            </w:pPr>
            <w:r>
              <w:t>123 LK keine Fälle; kein LK war über der 35 Inzidenz; sehen hohe Aktivität Düsseldorf, Duisburg, Bayern; dies wird beobachtet.</w:t>
            </w:r>
          </w:p>
          <w:p>
            <w:pPr>
              <w:pStyle w:val="KStab1"/>
            </w:pPr>
            <w:r>
              <w:t>Wochenvergleich Aktuelle/Vorwoche</w:t>
            </w:r>
          </w:p>
          <w:p>
            <w:pPr>
              <w:pStyle w:val="KStab2"/>
            </w:pPr>
            <w:r>
              <w:t>Vgl. aktuelle mit Vorwoche: Um Oldenburg geht die Aktivität nach unten</w:t>
            </w:r>
          </w:p>
          <w:p>
            <w:pPr>
              <w:pStyle w:val="KStab2"/>
            </w:pPr>
            <w:r>
              <w:t>Aber im südlichen Brandenburg etwas mehr: Einige Fälle in einem Schlachtbetrieb.</w:t>
            </w:r>
          </w:p>
          <w:p>
            <w:pPr>
              <w:pStyle w:val="KStab1"/>
            </w:pPr>
            <w:r>
              <w:t>Altersverteilung nach Meldewoche: Ges.-Fälle</w:t>
            </w:r>
          </w:p>
          <w:p>
            <w:pPr>
              <w:pStyle w:val="KStab2"/>
            </w:pPr>
            <w:r>
              <w:t>Anteil Fälle bei Jüngeren mittlerweile stabil; Grund: relativen Fallzahl waren zunächst angestiegen.</w:t>
            </w:r>
          </w:p>
          <w:p>
            <w:pPr>
              <w:pStyle w:val="KStab2"/>
            </w:pPr>
            <w:r>
              <w:t>Frage zu Sterberate nach Altersgruppe: Risikogruppe hohes Alter nicht mehr im Fokus, Immunität? Eher nicht Immunität, sondern verbesserte Hygieneprotokolle in Heimen.</w:t>
            </w:r>
          </w:p>
          <w:p>
            <w:pPr>
              <w:pStyle w:val="KStab1"/>
            </w:pPr>
            <w:r>
              <w:t>Übermittelte Fälle nach Tätigkeit od. Betreuung in Einrichtungen</w:t>
            </w:r>
          </w:p>
          <w:p>
            <w:pPr>
              <w:pStyle w:val="KStab2"/>
            </w:pPr>
            <w:r>
              <w:t>Fälle bei Einrichtungen nach §36 deutlich zurückgegangen, während in Woche 17/18 größere Anteile hatten.</w:t>
            </w:r>
          </w:p>
          <w:p>
            <w:pPr>
              <w:pStyle w:val="KStab1"/>
            </w:pPr>
            <w:r>
              <w:t>Übermittelte Fälle nach Expositionsort</w:t>
            </w:r>
          </w:p>
          <w:p>
            <w:pPr>
              <w:pStyle w:val="KStab2"/>
            </w:pPr>
            <w:r>
              <w:t>Exposition im Ausland wieder vermehrt angegeben: Nach fast Null, jetzt fast 10% der Fälle; muss beobachtet werden</w:t>
            </w:r>
          </w:p>
          <w:p>
            <w:pPr>
              <w:pStyle w:val="KStab1"/>
            </w:pPr>
            <w:r>
              <w:t>Häufigste Expositionsländer im Ausland</w:t>
            </w:r>
          </w:p>
          <w:p>
            <w:pPr>
              <w:pStyle w:val="KStab2"/>
            </w:pPr>
            <w:r>
              <w:t>Serbien mit Abstand am häufigsten genannt</w:t>
            </w:r>
          </w:p>
          <w:p>
            <w:pPr>
              <w:pStyle w:val="KStab2"/>
            </w:pPr>
            <w:r>
              <w:t xml:space="preserve">Ob die tatsächlich in den genannten Länder bzw. Serbien angesteckt, kann aus den Meldedaten nicht abgelesen werden. Dennoch gibt es aus der </w:t>
            </w:r>
            <w:proofErr w:type="spellStart"/>
            <w:r>
              <w:t>Epi</w:t>
            </w:r>
            <w:proofErr w:type="spellEnd"/>
            <w:r>
              <w:t>-Lag berichte der GÄ, dass viele Fälle eine Serbien angeben, z.B. in BW</w:t>
            </w:r>
          </w:p>
          <w:p>
            <w:pPr>
              <w:pStyle w:val="KStab1"/>
            </w:pPr>
            <w:r>
              <w:t>Aktuelle Ausbrüche</w:t>
            </w:r>
          </w:p>
          <w:p>
            <w:pPr>
              <w:pStyle w:val="KStab2"/>
            </w:pPr>
            <w:r>
              <w:t xml:space="preserve">Gütersloh: Aktivität der Infektionen relativ niedrig; gerade zweite Testung bei vorher Positiven; zunehmend </w:t>
            </w:r>
            <w:r>
              <w:lastRenderedPageBreak/>
              <w:t>Entlassungen aus Quarantäne.</w:t>
            </w:r>
          </w:p>
          <w:p>
            <w:pPr>
              <w:pStyle w:val="KStab1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Laborbasierte</w:t>
            </w:r>
            <w:proofErr w:type="spellEnd"/>
            <w:r>
              <w:rPr>
                <w:lang w:val="en-US"/>
              </w:rPr>
              <w:t xml:space="preserve"> Surveillance SARS-CoV-2 in ARS (</w:t>
            </w:r>
            <w:proofErr w:type="spellStart"/>
            <w:r>
              <w:rPr>
                <w:lang w:val="en-US"/>
              </w:rPr>
              <w:t>Folien</w:t>
            </w:r>
            <w:proofErr w:type="spellEnd"/>
            <w:r>
              <w:rPr>
                <w:lang w:val="en-US"/>
              </w:rPr>
              <w:t xml:space="preserve"> </w:t>
            </w:r>
            <w:hyperlink r:id="rId10" w:history="1">
              <w:proofErr w:type="spellStart"/>
              <w:r>
                <w:rPr>
                  <w:rStyle w:val="Hyperlink"/>
                  <w:lang w:val="en-US"/>
                </w:rPr>
                <w:t>hier</w:t>
              </w:r>
              <w:proofErr w:type="spellEnd"/>
            </w:hyperlink>
            <w:r>
              <w:rPr>
                <w:lang w:val="en-US"/>
              </w:rPr>
              <w:t>)</w:t>
            </w:r>
          </w:p>
          <w:p>
            <w:pPr>
              <w:pStyle w:val="KStab1"/>
            </w:pPr>
            <w:r>
              <w:t xml:space="preserve">Anzahl der positiven und negative Testungen pro Tag - bundesweit </w:t>
            </w:r>
          </w:p>
          <w:p>
            <w:pPr>
              <w:pStyle w:val="KStab2"/>
            </w:pPr>
            <w:r>
              <w:t>68 Labore haben ihre Daten ans RKI geben</w:t>
            </w:r>
          </w:p>
          <w:p>
            <w:pPr>
              <w:pStyle w:val="KStab2"/>
            </w:pPr>
            <w:r>
              <w:t>Stabil geringe Anzahl der positiven bei zunehmender Testanzahl</w:t>
            </w:r>
          </w:p>
          <w:p>
            <w:pPr>
              <w:pStyle w:val="KStab1"/>
            </w:pPr>
            <w:r>
              <w:t>Anzahl der positiven und negative Testungen pro Woche - bundesweit</w:t>
            </w:r>
          </w:p>
          <w:p>
            <w:pPr>
              <w:pStyle w:val="KStab2"/>
            </w:pPr>
            <w:r>
              <w:t>Stabil geringe Anzahl der positiven bei zunehmender Testanzahl</w:t>
            </w:r>
          </w:p>
          <w:p>
            <w:pPr>
              <w:pStyle w:val="KStab1"/>
            </w:pPr>
            <w:r>
              <w:t>Anteil der positiven Testungen an allen Testungen über die Zeit pro Tag</w:t>
            </w:r>
          </w:p>
          <w:p>
            <w:pPr>
              <w:pStyle w:val="KStab2"/>
            </w:pPr>
            <w:r>
              <w:t>Entsprechend Anteil der pos. Testungen stabil gering seit Ende Mai</w:t>
            </w:r>
          </w:p>
          <w:p>
            <w:pPr>
              <w:pStyle w:val="KStab1"/>
            </w:pPr>
            <w:r>
              <w:t>Verzögerung von Entnahmedatum zu Testdatum in ARS</w:t>
            </w:r>
          </w:p>
          <w:p>
            <w:pPr>
              <w:pStyle w:val="KStab2"/>
            </w:pPr>
            <w:r>
              <w:t>Verzögerung Entnahme bis Testung im Labor zeigt einen Anstieg; Erklärung dafür wird noch gesucht</w:t>
            </w:r>
          </w:p>
          <w:p>
            <w:pPr>
              <w:pStyle w:val="KStab1"/>
            </w:pPr>
            <w:r>
              <w:t xml:space="preserve">Zeitverzug </w:t>
            </w:r>
            <w:proofErr w:type="spellStart"/>
            <w:r>
              <w:t>DateExplant</w:t>
            </w:r>
            <w:proofErr w:type="spellEnd"/>
            <w:r>
              <w:t xml:space="preserve"> - </w:t>
            </w:r>
            <w:proofErr w:type="spellStart"/>
            <w:r>
              <w:t>TestDate</w:t>
            </w:r>
            <w:proofErr w:type="spellEnd"/>
          </w:p>
          <w:p>
            <w:pPr>
              <w:pStyle w:val="KStab2"/>
            </w:pPr>
            <w:r>
              <w:t>Vergleich der Verzögerungen in KW24-25 mit KW26-27</w:t>
            </w:r>
          </w:p>
          <w:p>
            <w:pPr>
              <w:pStyle w:val="KStab2"/>
            </w:pPr>
            <w:r>
              <w:t>Zeigt sehr unterschiedliche Testauslastung der Labore</w:t>
            </w:r>
          </w:p>
          <w:p>
            <w:pPr>
              <w:pStyle w:val="KStab1"/>
            </w:pPr>
            <w:r>
              <w:t>Anzahl Testungen pro 100.000 Einwohner nach Altersgruppe und KW</w:t>
            </w:r>
          </w:p>
          <w:p>
            <w:pPr>
              <w:pStyle w:val="KStab2"/>
            </w:pPr>
            <w:r>
              <w:t>Im Vergleich viel mehr Testungen bei über 80-jährigen</w:t>
            </w:r>
          </w:p>
          <w:p>
            <w:pPr>
              <w:pStyle w:val="KStab2"/>
            </w:pPr>
            <w:r>
              <w:t>Testung haben seit KW23 im Kita- und Schulalter deutlich zugenommen</w:t>
            </w:r>
          </w:p>
          <w:p>
            <w:pPr>
              <w:pStyle w:val="KStab1"/>
            </w:pPr>
            <w:r>
              <w:t>Anteil positiv getesteter Personen nach Altersgruppe und KW</w:t>
            </w:r>
          </w:p>
          <w:p>
            <w:pPr>
              <w:pStyle w:val="KStab2"/>
            </w:pPr>
            <w:r>
              <w:t>Anteil Positive seit KW24 Altersgruppen auf vergleichsweise niedrigem Niveau</w:t>
            </w:r>
          </w:p>
          <w:p>
            <w:pPr>
              <w:pStyle w:val="KStab2"/>
            </w:pPr>
            <w:r>
              <w:t>Zusammenfassend: Testen so viel wie nie und finden sehr wenige Fälle</w:t>
            </w:r>
          </w:p>
          <w:p>
            <w:pPr>
              <w:pStyle w:val="KStab2"/>
              <w:numPr>
                <w:ilvl w:val="0"/>
                <w:numId w:val="0"/>
              </w:numPr>
            </w:pPr>
          </w:p>
          <w:p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>: Keine festgelegt</w:t>
            </w:r>
          </w:p>
        </w:tc>
        <w:tc>
          <w:tcPr>
            <w:tcW w:w="1492" w:type="dxa"/>
          </w:tcPr>
          <w:p/>
          <w:p>
            <w:r>
              <w:t>ZIG/INIG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FG37</w:t>
            </w:r>
          </w:p>
          <w:p/>
          <w:p/>
          <w:p/>
          <w:p/>
          <w:p>
            <w:r>
              <w:t>FG32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BZgA</w:t>
            </w:r>
          </w:p>
          <w:p/>
          <w:p/>
          <w:p/>
          <w:p/>
          <w:p/>
          <w:p/>
          <w:p/>
          <w:p/>
          <w:p/>
          <w:p/>
          <w:p/>
          <w:p/>
          <w:p/>
          <w:p>
            <w:r>
              <w:t>BW/FG32</w:t>
            </w:r>
          </w:p>
          <w:p/>
          <w:p/>
          <w:p/>
          <w:p/>
          <w:p/>
          <w:p/>
          <w:p/>
          <w:p/>
          <w:p>
            <w:r>
              <w:t>FG37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KStab1"/>
              <w:rPr>
                <w:b/>
              </w:rPr>
            </w:pPr>
            <w:r>
              <w:t>Nicht besprochen</w:t>
            </w:r>
          </w:p>
        </w:tc>
        <w:tc>
          <w:tcPr>
            <w:tcW w:w="1492" w:type="dxa"/>
          </w:tcPr>
          <w:p/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KStab1"/>
            </w:pPr>
            <w:r>
              <w:t>Nicht besprochen</w:t>
            </w:r>
          </w:p>
        </w:tc>
        <w:tc>
          <w:tcPr>
            <w:tcW w:w="1492" w:type="dxa"/>
          </w:tcPr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KStab1"/>
            </w:pPr>
            <w:r>
              <w:t>Hr. Wieler hat am Montag mit BM Spahn die letzte Pressekonferenz vor der Sommerpause. Hier könnte eine Anpassung der Risikobewertung kommuniziert werden.</w:t>
            </w:r>
          </w:p>
          <w:p>
            <w:pPr>
              <w:pStyle w:val="KStab2"/>
            </w:pPr>
            <w:r>
              <w:lastRenderedPageBreak/>
              <w:t>Dabei ist zu bedenken: 1. Weltweit viel Infektionsgeschehen; 2. Anpassung sehr gut erklären wie wir zur neuen Risikoeinschätzung kommen; belegen was eine Höherstufung auslösen kann. Chance in der letzten PK vor Sommerpause, daher gesondert überlegen was in PK hinein soll.</w:t>
            </w:r>
          </w:p>
          <w:p>
            <w:pPr>
              <w:pStyle w:val="KStab2"/>
            </w:pPr>
            <w:r>
              <w:t>Eine Runterstufung wird aus der Runde unterstützt, aber mit Beibehalten der Maßnahmen</w:t>
            </w:r>
          </w:p>
          <w:p>
            <w:pPr>
              <w:pStyle w:val="KStab2"/>
            </w:pPr>
            <w:r>
              <w:t xml:space="preserve">Vorschläge für eine jetzige Runterstufung: </w:t>
            </w:r>
          </w:p>
          <w:p>
            <w:pPr>
              <w:pStyle w:val="KStab2"/>
              <w:numPr>
                <w:ilvl w:val="0"/>
                <w:numId w:val="0"/>
              </w:numPr>
              <w:ind w:left="1080"/>
            </w:pPr>
            <w:r>
              <w:t>Wollten erst Effekt der ersten Lockerungen abwarten. Jetzt kann Herabgestuft werden.</w:t>
            </w:r>
          </w:p>
          <w:p>
            <w:pPr>
              <w:pStyle w:val="KStab2"/>
              <w:numPr>
                <w:ilvl w:val="0"/>
                <w:numId w:val="0"/>
              </w:numPr>
              <w:ind w:left="1080"/>
            </w:pPr>
            <w:r>
              <w:t>Tönnies zeigte wie volatil die Situation ist, daher wurde vorher nicht zurückgestuft.</w:t>
            </w:r>
          </w:p>
          <w:p>
            <w:pPr>
              <w:pStyle w:val="KStab2"/>
              <w:numPr>
                <w:ilvl w:val="0"/>
                <w:numId w:val="0"/>
              </w:numPr>
              <w:ind w:left="1080"/>
            </w:pPr>
          </w:p>
          <w:p>
            <w:pPr>
              <w:ind w:left="113"/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 xml:space="preserve">: Abt.3 und Presse bereiten inhaltlichen Entwurf vor, der von der neuen Gruppe Risikokommunikation ggf. im </w:t>
            </w:r>
            <w:proofErr w:type="spellStart"/>
            <w:r>
              <w:rPr>
                <w:i/>
              </w:rPr>
              <w:t>wording</w:t>
            </w:r>
            <w:proofErr w:type="spellEnd"/>
            <w:r>
              <w:rPr>
                <w:i/>
              </w:rPr>
              <w:t xml:space="preserve"> angepasst wird.</w:t>
            </w:r>
          </w:p>
          <w:p>
            <w:pPr>
              <w:ind w:left="113"/>
            </w:pPr>
            <w:r>
              <w:rPr>
                <w:i/>
              </w:rPr>
              <w:t>Am Freitag wird Entwurf zur Risikobewertung diskutiert.</w:t>
            </w:r>
          </w:p>
        </w:tc>
        <w:tc>
          <w:tcPr>
            <w:tcW w:w="1492" w:type="dxa"/>
          </w:tcPr>
          <w:p/>
          <w:p/>
          <w:p>
            <w:proofErr w:type="spellStart"/>
            <w:r>
              <w:t>Inst</w:t>
            </w:r>
            <w:proofErr w:type="spellEnd"/>
            <w:r>
              <w:t>.-leitung/ FG32/Abt.3/FG37/FG14</w:t>
            </w:r>
          </w:p>
          <w:p/>
          <w:p/>
          <w:p/>
          <w:p/>
          <w:p/>
          <w:p/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rPr>
                <w:b/>
              </w:rPr>
            </w:pPr>
            <w:r>
              <w:rPr>
                <w:b/>
              </w:rPr>
              <w:t>Presse</w:t>
            </w:r>
          </w:p>
          <w:p>
            <w:pPr>
              <w:pStyle w:val="KStab1"/>
            </w:pPr>
            <w:r>
              <w:t>Top-Themen der BZgA-Hotline: Psychische Problematik; Unsicherheit bei Reisen durch wechselnde Bestimmungen, dazu Anfragen aus Bevölkerung und Presse.</w:t>
            </w:r>
          </w:p>
          <w:p>
            <w:pPr>
              <w:pStyle w:val="KStab1"/>
            </w:pPr>
            <w:r>
              <w:t>BW bedankt sich abschließend für Aktion in Sonneberg. Dortigen Behörden waren auch sehr dankbar für Unterstützung.</w:t>
            </w:r>
          </w:p>
          <w:p>
            <w:pPr>
              <w:pStyle w:val="KStab1"/>
            </w:pPr>
            <w:r>
              <w:t>Wieler: wünscht sich eine externe Kommunikation der Zus.-Arbeit mit RKI und BW</w:t>
            </w:r>
          </w:p>
          <w:p>
            <w:pPr>
              <w:pStyle w:val="KStab1"/>
            </w:pPr>
            <w:r>
              <w:t>Leitung regt bei BZgA zur erneuten Kommunikation für das korrekte Tragen des MNS an (v.a. im ÖPNV); Beim BZgA sind Solidarität der Bürger miteinander sowie das Schutzverhalten wichtige Themen.</w:t>
            </w:r>
          </w:p>
          <w:p>
            <w:pPr>
              <w:pStyle w:val="KStab1"/>
            </w:pPr>
            <w:r>
              <w:t>Presse hat viele Fragen zu Reisen, v.a. Schweden; Bitte des Internet-Teams: Veränderte Dokumente bitte im Änderungsmodus, damit gezielter ausgetauscht werden kann und die Änderungen nachvollzogen werden können.</w:t>
            </w:r>
          </w:p>
          <w:p>
            <w:pPr>
              <w:pStyle w:val="KStab1"/>
              <w:numPr>
                <w:ilvl w:val="0"/>
                <w:numId w:val="0"/>
              </w:numPr>
              <w:ind w:left="473"/>
            </w:pPr>
          </w:p>
          <w:p>
            <w:pPr>
              <w:pStyle w:val="KStab1"/>
              <w:numPr>
                <w:ilvl w:val="0"/>
                <w:numId w:val="0"/>
              </w:numPr>
              <w:ind w:left="113"/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>: An alle: Veränderte Dokumente bitte im Änderungsmodus an webmaster</w:t>
            </w:r>
          </w:p>
          <w:p>
            <w:pPr>
              <w:pStyle w:val="KStab1"/>
              <w:numPr>
                <w:ilvl w:val="0"/>
                <w:numId w:val="0"/>
              </w:numPr>
              <w:ind w:left="113"/>
            </w:pPr>
          </w:p>
        </w:tc>
        <w:tc>
          <w:tcPr>
            <w:tcW w:w="1492" w:type="dxa"/>
          </w:tcPr>
          <w:p/>
          <w:p/>
          <w:p>
            <w:r>
              <w:t>BZgA</w:t>
            </w:r>
          </w:p>
          <w:p/>
          <w:p/>
          <w:p/>
          <w:p>
            <w:r>
              <w:t>BW</w:t>
            </w:r>
          </w:p>
          <w:p/>
          <w:p>
            <w:proofErr w:type="spellStart"/>
            <w:r>
              <w:t>Inst</w:t>
            </w:r>
            <w:proofErr w:type="spellEnd"/>
            <w:r>
              <w:t>.-leitung/Abt.3</w:t>
            </w:r>
          </w:p>
          <w:p/>
          <w:p/>
          <w:p/>
          <w:p/>
          <w:p>
            <w:r>
              <w:t>Presse</w:t>
            </w:r>
          </w:p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KStab1"/>
            </w:pPr>
            <w:r>
              <w:t xml:space="preserve">Wenig Neues: </w:t>
            </w:r>
          </w:p>
          <w:p>
            <w:pPr>
              <w:pStyle w:val="KStab2"/>
            </w:pPr>
            <w:r>
              <w:t xml:space="preserve">Update zu Raum-Technischen Anlagen BMG wurden mit BMS, BAUA wird dies organisieren unter Teilnahme des RKI, PEI, BfArM; wahrscheinlich in letzter Juliwoche; Im </w:t>
            </w:r>
            <w:r>
              <w:lastRenderedPageBreak/>
              <w:t xml:space="preserve">BMG viele Fragen zu Klimaanlagen und Ventilatoren, </w:t>
            </w:r>
          </w:p>
          <w:p>
            <w:pPr>
              <w:pStyle w:val="KStab2"/>
            </w:pPr>
            <w:r>
              <w:t>Vorschlag dazu Link auf RKI Website zu den FAQ der BAUA</w:t>
            </w:r>
          </w:p>
          <w:p>
            <w:pPr>
              <w:pStyle w:val="KStab1"/>
            </w:pPr>
            <w:r>
              <w:t>Am Freitag nimmt wg. Urlaub das BMG nicht teil</w:t>
            </w:r>
          </w:p>
          <w:p>
            <w:pPr>
              <w:ind w:left="113"/>
            </w:pPr>
            <w:r>
              <w:rPr>
                <w:i/>
              </w:rPr>
              <w:t xml:space="preserve"> </w:t>
            </w:r>
          </w:p>
        </w:tc>
        <w:tc>
          <w:tcPr>
            <w:tcW w:w="1492" w:type="dxa"/>
          </w:tcPr>
          <w:p/>
          <w:p/>
          <w:p>
            <w:r>
              <w:t>BMG/Presse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ind w:left="340" w:hanging="340"/>
              <w:rPr>
                <w:b/>
              </w:rPr>
            </w:pPr>
            <w:r>
              <w:rPr>
                <w:b/>
              </w:rPr>
              <w:t>Allgemein</w:t>
            </w:r>
          </w:p>
          <w:p>
            <w:r>
              <w:t>Nicht mehr ausdrücklich auf Juni Geschehen hinweisen</w:t>
            </w:r>
          </w:p>
          <w:p>
            <w:pPr>
              <w:pStyle w:val="Listenabsatz"/>
              <w:ind w:left="340"/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/>
              <w:ind w:left="340" w:hanging="340"/>
              <w:rPr>
                <w:i/>
              </w:rPr>
            </w:pPr>
            <w:r>
              <w:rPr>
                <w:b/>
              </w:rPr>
              <w:t>RKI-intern</w:t>
            </w:r>
          </w:p>
          <w:p>
            <w:r>
              <w:t>Nicht besprochen</w:t>
            </w:r>
          </w:p>
          <w:p/>
        </w:tc>
        <w:tc>
          <w:tcPr>
            <w:tcW w:w="1492" w:type="dxa"/>
          </w:tcPr>
          <w:p/>
          <w:p>
            <w:r>
              <w:t>Abt.3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KStab2"/>
              <w:rPr>
                <w:i/>
              </w:rPr>
            </w:pPr>
          </w:p>
        </w:tc>
        <w:tc>
          <w:tcPr>
            <w:tcW w:w="1492" w:type="dxa"/>
          </w:tcPr>
          <w:p/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KStab1"/>
            </w:pPr>
            <w:r>
              <w:t xml:space="preserve">Die Einsendungen sind weiterhin auf niedrigem Niveau (10 Proben/Tag) </w:t>
            </w:r>
          </w:p>
          <w:p>
            <w:pPr>
              <w:pStyle w:val="KStab2"/>
            </w:pPr>
            <w:r>
              <w:t>keine Corona Nachweise</w:t>
            </w:r>
          </w:p>
          <w:p>
            <w:pPr>
              <w:pStyle w:val="KStab1"/>
            </w:pPr>
            <w:r>
              <w:t xml:space="preserve">Einsendungen und Nachfragen zu </w:t>
            </w:r>
            <w:proofErr w:type="spellStart"/>
            <w:r>
              <w:t>Abstrichmaterial</w:t>
            </w:r>
            <w:proofErr w:type="spellEnd"/>
            <w:r>
              <w:t xml:space="preserve"> höher als in den Vorjahren, aber niedriger als im letzten Quartal</w:t>
            </w:r>
          </w:p>
        </w:tc>
        <w:tc>
          <w:tcPr>
            <w:tcW w:w="1492" w:type="dxa"/>
          </w:tcPr>
          <w:p/>
          <w:p/>
          <w:p>
            <w:r>
              <w:t>FG17</w:t>
            </w:r>
          </w:p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KStab1"/>
            </w:pPr>
            <w:r>
              <w:t xml:space="preserve">Aktualisierte Entlassungskriterien sind online: Achtet darauf alle Dokumente daraufhin anzupassen. V.a. dem Ct-Wert (FG36 Erregersteckbrief; widerspricht sich mit </w:t>
            </w:r>
            <w:proofErr w:type="spellStart"/>
            <w:r>
              <w:t>Entlasskriterien</w:t>
            </w:r>
            <w:proofErr w:type="spellEnd"/>
            <w:r>
              <w:t>; F37 zum Kontaktmanagement bei Medizinischem Personal nur aktuelle verwenden)</w:t>
            </w:r>
          </w:p>
          <w:p>
            <w:pPr>
              <w:pStyle w:val="KStab2"/>
            </w:pPr>
            <w:r>
              <w:t>Stefan gibt dies an das Steckbrief Team weiter</w:t>
            </w:r>
          </w:p>
          <w:p>
            <w:pPr>
              <w:pStyle w:val="KStab2"/>
            </w:pPr>
            <w:r>
              <w:t>Die Verschärfung in den Entlassungskriterien sind bewusst vorgenommen, da die ruhigere Lage dafür Raum gebe.</w:t>
            </w:r>
          </w:p>
          <w:p>
            <w:pPr>
              <w:pStyle w:val="KStab2"/>
              <w:numPr>
                <w:ilvl w:val="0"/>
                <w:numId w:val="0"/>
              </w:numPr>
            </w:pPr>
          </w:p>
          <w:p>
            <w:pPr>
              <w:pStyle w:val="KStab2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>: An alle: Anpassung aller Dokumente, die sich auf aktualisierte Entlassungskriterien beziehen.</w:t>
            </w:r>
          </w:p>
        </w:tc>
        <w:tc>
          <w:tcPr>
            <w:tcW w:w="1492" w:type="dxa"/>
          </w:tcPr>
          <w:p/>
          <w:p/>
          <w:p>
            <w:r>
              <w:t>ZBS1 (Fr. Ruehe)/</w:t>
            </w:r>
          </w:p>
          <w:p>
            <w:r>
              <w:t>FG36/Abt.3/</w:t>
            </w:r>
          </w:p>
          <w:p>
            <w:proofErr w:type="spellStart"/>
            <w:r>
              <w:t>Inst</w:t>
            </w:r>
            <w:proofErr w:type="spellEnd"/>
            <w:r>
              <w:t>.-leitung</w:t>
            </w:r>
          </w:p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KStab1"/>
            </w:pPr>
            <w:r>
              <w:t>Nicht besprochen</w:t>
            </w:r>
          </w:p>
        </w:tc>
        <w:tc>
          <w:tcPr>
            <w:tcW w:w="1492" w:type="dxa"/>
          </w:tcPr>
          <w:p/>
          <w:p/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KStab1"/>
            </w:pPr>
            <w:r>
              <w:t xml:space="preserve">Update DEMIS Roll-out: </w:t>
            </w:r>
          </w:p>
          <w:p>
            <w:pPr>
              <w:pStyle w:val="KStab2"/>
            </w:pPr>
            <w:r>
              <w:t xml:space="preserve">2 Schritte des Roll-out bei GÄ: </w:t>
            </w:r>
          </w:p>
          <w:p>
            <w:pPr>
              <w:pStyle w:val="KStab2"/>
              <w:numPr>
                <w:ilvl w:val="0"/>
                <w:numId w:val="37"/>
              </w:numPr>
            </w:pPr>
            <w:r>
              <w:t xml:space="preserve">Zunächst ein Software-Update durchführen (148 GÄ ein Drittel der GÄ könnte auf DEMIS zugreifen), </w:t>
            </w:r>
          </w:p>
          <w:p>
            <w:pPr>
              <w:pStyle w:val="KStab2"/>
              <w:numPr>
                <w:ilvl w:val="0"/>
                <w:numId w:val="37"/>
              </w:numPr>
            </w:pPr>
            <w:r>
              <w:t>GÄ benötigen ein Zertifikat (108 GÄ)</w:t>
            </w:r>
          </w:p>
          <w:p>
            <w:pPr>
              <w:pStyle w:val="KStab2"/>
              <w:numPr>
                <w:ilvl w:val="0"/>
                <w:numId w:val="0"/>
              </w:numPr>
              <w:ind w:left="1080"/>
            </w:pPr>
            <w:r>
              <w:lastRenderedPageBreak/>
              <w:t>57 GÄ haben alles</w:t>
            </w:r>
          </w:p>
          <w:p>
            <w:pPr>
              <w:pStyle w:val="KStab2"/>
            </w:pPr>
            <w:r>
              <w:t>Labore in SH, Bremen sind DEMIS Nutzer, bundesweit fragen weitere Labore an</w:t>
            </w:r>
          </w:p>
          <w:p>
            <w:pPr>
              <w:pStyle w:val="KStab2"/>
            </w:pPr>
            <w:r>
              <w:t>AGI gab es viele Nachfragen aus den BL zum Stand: vieles geklärt und Seuchenreferenten eingebunden</w:t>
            </w:r>
          </w:p>
          <w:p>
            <w:pPr>
              <w:pStyle w:val="KStab2"/>
            </w:pPr>
            <w:r>
              <w:t>Geht gut voran</w:t>
            </w:r>
          </w:p>
        </w:tc>
        <w:tc>
          <w:tcPr>
            <w:tcW w:w="1492" w:type="dxa"/>
          </w:tcPr>
          <w:p/>
          <w:p>
            <w:r>
              <w:t>FG32 (Fr. Diercke)</w:t>
            </w:r>
          </w:p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KStab1"/>
            </w:pPr>
            <w:r>
              <w:t>Nicht besprochen</w:t>
            </w:r>
          </w:p>
        </w:tc>
        <w:tc>
          <w:tcPr>
            <w:tcW w:w="1492" w:type="dxa"/>
          </w:tcPr>
          <w:p/>
          <w:p/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KStab1"/>
            </w:pPr>
            <w:r>
              <w:t xml:space="preserve">Im LZ nach wie vor viel zu tun. Schwierigkeiten die Schichtleitung zu besetzen. Hoffen, dass durch </w:t>
            </w:r>
            <w:proofErr w:type="spellStart"/>
            <w:r>
              <w:t>ParlamentsSommerpause</w:t>
            </w:r>
            <w:proofErr w:type="spellEnd"/>
            <w:r>
              <w:t xml:space="preserve"> weniger wird. </w:t>
            </w:r>
          </w:p>
          <w:p>
            <w:pPr>
              <w:pStyle w:val="KStab1"/>
            </w:pPr>
            <w:r>
              <w:t xml:space="preserve">Wieler hat mit Hr. </w:t>
            </w:r>
            <w:proofErr w:type="spellStart"/>
            <w:r>
              <w:t>Holtherm</w:t>
            </w:r>
            <w:proofErr w:type="spellEnd"/>
            <w:r>
              <w:t xml:space="preserve"> gesprochen; BMG auch viel zu tun</w:t>
            </w:r>
          </w:p>
          <w:p>
            <w:pPr>
              <w:pStyle w:val="KStab1"/>
            </w:pPr>
            <w:r>
              <w:t>Erlasse werden nun wieder über die Leitung nicht direkt LZ</w:t>
            </w:r>
          </w:p>
          <w:p>
            <w:pPr>
              <w:pStyle w:val="KStab1"/>
            </w:pPr>
            <w:r>
              <w:t>Hr. Wieler fragt in seiner Abt. nach Bereitschaft zur personellen Unterstützung des LZ</w:t>
            </w:r>
          </w:p>
          <w:p>
            <w:pPr>
              <w:pStyle w:val="KStab1"/>
            </w:pPr>
            <w:r>
              <w:t>Es fehlt Schichtleitung und Int. Komm. Beide Position benötigen Erfahrung; Aufgabe und Lageprotokoll kann ohne Erfahrung ausgeführt werden; Presseliaison Unterstützung mit med. Hintergrund kann dies auch durchführen; Lageprotokoll viel Arbeit auch dafür Unterstützung wichtig;</w:t>
            </w:r>
          </w:p>
          <w:p>
            <w:pPr>
              <w:pStyle w:val="KStab1"/>
            </w:pPr>
            <w:r>
              <w:t>Hr. Wieler teilt mit, dass die 40 Stellen für ÖGD-Kontaktstellen besetzt werden können.</w:t>
            </w:r>
          </w:p>
          <w:p>
            <w:pPr>
              <w:pStyle w:val="KStab1"/>
            </w:pPr>
            <w:r>
              <w:t>LZ wird durch BMG am Wochenende noch gewünscht. Aber Lagebericht Sa und So kürzer.</w:t>
            </w:r>
          </w:p>
          <w:p>
            <w:pPr>
              <w:pStyle w:val="KStab1"/>
            </w:pPr>
            <w:r>
              <w:t>Klärung durch Herrn Wieler mit BMG, ob am Wochenende keine Lageberichte mehr nötig ist.</w:t>
            </w:r>
          </w:p>
        </w:tc>
        <w:tc>
          <w:tcPr>
            <w:tcW w:w="1492" w:type="dxa"/>
          </w:tcPr>
          <w:p/>
          <w:p>
            <w:r>
              <w:t>Abt.3/</w:t>
            </w:r>
            <w:proofErr w:type="spellStart"/>
            <w:r>
              <w:t>Inst</w:t>
            </w:r>
            <w:proofErr w:type="spellEnd"/>
            <w:r>
              <w:t>.-leitung/FG32</w:t>
            </w:r>
          </w:p>
          <w:p/>
        </w:tc>
      </w:tr>
      <w:tr>
        <w:trPr>
          <w:trHeight w:val="2225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KStab1"/>
              <w:rPr>
                <w:b/>
                <w:sz w:val="28"/>
              </w:rPr>
            </w:pPr>
            <w:r>
              <w:t>Videokonferenz des Deutschen Pathologen-Verbands; Wer möchte teilnehmen? (E-Mail 6.7.20, 16:08)</w:t>
            </w:r>
          </w:p>
          <w:p>
            <w:pPr>
              <w:pStyle w:val="KStab1"/>
            </w:pPr>
            <w:r>
              <w:t>Wöchentlicher Bericht zum Arbeitsschutz, wird vertagt, weil Frau Sasse nicht anwesend ist. Bleibt auf TO!</w:t>
            </w:r>
          </w:p>
        </w:tc>
        <w:tc>
          <w:tcPr>
            <w:tcW w:w="1492" w:type="dxa"/>
          </w:tcPr>
          <w:p/>
          <w:p/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KStab1"/>
            </w:pPr>
            <w:r>
              <w:t xml:space="preserve">Nächste Sitzung: Freitag, 10.07.2020, 11:00 Uhr, via </w:t>
            </w:r>
            <w:proofErr w:type="spellStart"/>
            <w:r>
              <w:t>Vitero</w:t>
            </w:r>
            <w:proofErr w:type="spellEnd"/>
          </w:p>
        </w:tc>
        <w:tc>
          <w:tcPr>
            <w:tcW w:w="1492" w:type="dxa"/>
          </w:tcPr>
          <w:p/>
          <w:p/>
          <w:p/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CB9"/>
    <w:multiLevelType w:val="hybridMultilevel"/>
    <w:tmpl w:val="6C742D7C"/>
    <w:lvl w:ilvl="0" w:tplc="0407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475B"/>
    <w:multiLevelType w:val="hybridMultilevel"/>
    <w:tmpl w:val="A880BD1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AFACF4DC"/>
    <w:lvl w:ilvl="0" w:tplc="45460CDE">
      <w:start w:val="1"/>
      <w:numFmt w:val="bullet"/>
      <w:pStyle w:val="KStab2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5F2888"/>
    <w:multiLevelType w:val="hybridMultilevel"/>
    <w:tmpl w:val="3198EF94"/>
    <w:lvl w:ilvl="0" w:tplc="D95071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A4C46"/>
    <w:multiLevelType w:val="hybridMultilevel"/>
    <w:tmpl w:val="03D8CDFA"/>
    <w:lvl w:ilvl="0" w:tplc="AE3E1782">
      <w:start w:val="1"/>
      <w:numFmt w:val="bullet"/>
      <w:pStyle w:val="KStab1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423605"/>
    <w:multiLevelType w:val="hybridMultilevel"/>
    <w:tmpl w:val="130E637A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9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14D5C"/>
    <w:multiLevelType w:val="hybridMultilevel"/>
    <w:tmpl w:val="F170F18E"/>
    <w:lvl w:ilvl="0" w:tplc="04070003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1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E4912"/>
    <w:multiLevelType w:val="hybridMultilevel"/>
    <w:tmpl w:val="00B0B7D8"/>
    <w:lvl w:ilvl="0" w:tplc="04070003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3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C70B5C"/>
    <w:multiLevelType w:val="hybridMultilevel"/>
    <w:tmpl w:val="E8F6A43C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6A4695"/>
    <w:multiLevelType w:val="hybridMultilevel"/>
    <w:tmpl w:val="0D525B02"/>
    <w:lvl w:ilvl="0" w:tplc="04070003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8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36314"/>
    <w:multiLevelType w:val="hybridMultilevel"/>
    <w:tmpl w:val="A11AC9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5"/>
  </w:num>
  <w:num w:numId="5">
    <w:abstractNumId w:val="9"/>
  </w:num>
  <w:num w:numId="6">
    <w:abstractNumId w:val="26"/>
  </w:num>
  <w:num w:numId="7">
    <w:abstractNumId w:val="32"/>
  </w:num>
  <w:num w:numId="8">
    <w:abstractNumId w:val="17"/>
  </w:num>
  <w:num w:numId="9">
    <w:abstractNumId w:val="6"/>
  </w:num>
  <w:num w:numId="10">
    <w:abstractNumId w:val="36"/>
  </w:num>
  <w:num w:numId="11">
    <w:abstractNumId w:val="31"/>
  </w:num>
  <w:num w:numId="12">
    <w:abstractNumId w:val="21"/>
  </w:num>
  <w:num w:numId="13">
    <w:abstractNumId w:val="16"/>
  </w:num>
  <w:num w:numId="14">
    <w:abstractNumId w:val="28"/>
  </w:num>
  <w:num w:numId="15">
    <w:abstractNumId w:val="23"/>
  </w:num>
  <w:num w:numId="16">
    <w:abstractNumId w:val="1"/>
  </w:num>
  <w:num w:numId="17">
    <w:abstractNumId w:val="14"/>
  </w:num>
  <w:num w:numId="18">
    <w:abstractNumId w:val="35"/>
  </w:num>
  <w:num w:numId="19">
    <w:abstractNumId w:val="11"/>
  </w:num>
  <w:num w:numId="20">
    <w:abstractNumId w:val="33"/>
  </w:num>
  <w:num w:numId="21">
    <w:abstractNumId w:val="7"/>
  </w:num>
  <w:num w:numId="22">
    <w:abstractNumId w:val="10"/>
  </w:num>
  <w:num w:numId="23">
    <w:abstractNumId w:val="3"/>
  </w:num>
  <w:num w:numId="24">
    <w:abstractNumId w:val="29"/>
  </w:num>
  <w:num w:numId="25">
    <w:abstractNumId w:val="19"/>
  </w:num>
  <w:num w:numId="26">
    <w:abstractNumId w:val="2"/>
  </w:num>
  <w:num w:numId="27">
    <w:abstractNumId w:val="30"/>
  </w:num>
  <w:num w:numId="28">
    <w:abstractNumId w:val="20"/>
  </w:num>
  <w:num w:numId="29">
    <w:abstractNumId w:val="27"/>
  </w:num>
  <w:num w:numId="30">
    <w:abstractNumId w:val="22"/>
  </w:num>
  <w:num w:numId="31">
    <w:abstractNumId w:val="24"/>
  </w:num>
  <w:num w:numId="32">
    <w:abstractNumId w:val="34"/>
  </w:num>
  <w:num w:numId="33">
    <w:abstractNumId w:val="8"/>
  </w:num>
  <w:num w:numId="34">
    <w:abstractNumId w:val="18"/>
  </w:num>
  <w:num w:numId="35">
    <w:abstractNumId w:val="15"/>
  </w:num>
  <w:num w:numId="36">
    <w:abstractNumId w:val="0"/>
  </w:num>
  <w:num w:numId="3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DA35F65B-2BD8-4062-915E-992D3250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paragraph" w:customStyle="1" w:styleId="KStab1">
    <w:name w:val="KStab_1"/>
    <w:basedOn w:val="Listenabsatz"/>
    <w:link w:val="KStab1Zchn"/>
    <w:qFormat/>
    <w:pPr>
      <w:numPr>
        <w:numId w:val="35"/>
      </w:numPr>
      <w:spacing w:after="0"/>
      <w:ind w:left="473"/>
    </w:pPr>
  </w:style>
  <w:style w:type="paragraph" w:customStyle="1" w:styleId="KStab2">
    <w:name w:val="KStab_2"/>
    <w:basedOn w:val="Listenabsatz"/>
    <w:link w:val="KStab2Zchn"/>
    <w:qFormat/>
    <w:pPr>
      <w:numPr>
        <w:numId w:val="5"/>
      </w:numPr>
      <w:spacing w:after="0"/>
    </w:pPr>
  </w:style>
  <w:style w:type="character" w:customStyle="1" w:styleId="KStab1Zchn">
    <w:name w:val="KStab_1 Zchn"/>
    <w:basedOn w:val="ListenabsatzZchn"/>
    <w:link w:val="KStab1"/>
  </w:style>
  <w:style w:type="character" w:customStyle="1" w:styleId="KStab2Zchn">
    <w:name w:val="KStab_2 Zchn"/>
    <w:basedOn w:val="ListenabsatzZchn"/>
    <w:link w:val="KSt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Wissdaten\RKI_nCoV-Lage\1.Lagemanagement\1.3.Besprechungen_TKs\1.Lage_AG\2020-07-08_Lage-AG\COVID-19_International_Lage_2020-07-08.pptx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S:\Wissdaten\RKI_nCoV-Lage\1.Lagemanagement\1.3.Besprechungen_TKs\1.Lage_AG\2020-07-08_Lage-AG\SARS-CoV-2%20in%20ARS_2020708_Krisenstabssitzung.ppt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S:\Wissdaten\RKI_nCoV-Lage\1.Lagemanagement\1.3.Besprechungen_TKs\1.Lage_AG\2020-07-08_Lage-AG\Lage-National_2020-07-08.ppt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EBF8F-5959-4F2E-B865-E61CF97C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230</cp:revision>
  <cp:lastPrinted>2020-05-06T16:43:00Z</cp:lastPrinted>
  <dcterms:created xsi:type="dcterms:W3CDTF">2020-07-08T08:37:00Z</dcterms:created>
  <dcterms:modified xsi:type="dcterms:W3CDTF">2021-05-10T13:50:00Z</dcterms:modified>
</cp:coreProperties>
</file>