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spacing w:after="0"/>
      </w:pPr>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Anlass:</w:t>
      </w:r>
      <w:r>
        <w:rPr>
          <w:i/>
        </w:rPr>
        <w:t xml:space="preserve"> </w:t>
      </w:r>
      <w:r>
        <w:rPr>
          <w:i/>
        </w:rPr>
        <w:tab/>
      </w:r>
      <w:r>
        <w:rPr>
          <w:i/>
        </w:rPr>
        <w:tab/>
      </w:r>
      <w:sdt>
        <w:sdtPr>
          <w:rPr>
            <w:i/>
          </w:rPr>
          <w:id w:val="-1069258484"/>
          <w:placeholder>
            <w:docPart w:val="DefaultPlaceholder_1082065158"/>
          </w:placeholder>
        </w:sdtPr>
        <w:sdtContent>
          <w:sdt>
            <w:sdtPr>
              <w:rPr>
                <w:i/>
              </w:rPr>
              <w:id w:val="334350100"/>
              <w:placeholder>
                <w:docPart w:val="0A67EC378ADB4363968F76466F3994ED"/>
              </w:placeholder>
            </w:sdtPr>
            <w:sdtContent>
              <w: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rPr>
          <w:i/>
        </w:rPr>
      </w:pPr>
      <w:r>
        <w:rPr>
          <w:b/>
          <w:i/>
        </w:rPr>
        <w:t>Datum:</w:t>
      </w:r>
      <w:r>
        <w:rPr>
          <w:i/>
        </w:rPr>
        <w:t xml:space="preserve"> </w:t>
      </w:r>
      <w:r>
        <w:rPr>
          <w:i/>
        </w:rPr>
        <w:tab/>
      </w:r>
      <w:r>
        <w:rPr>
          <w:i/>
        </w:rPr>
        <w:tab/>
      </w:r>
      <w:sdt>
        <w:sdtPr>
          <w:rPr>
            <w:i/>
          </w:rPr>
          <w:id w:val="1092433924"/>
          <w:placeholder>
            <w:docPart w:val="DefaultPlaceholder_1082065158"/>
          </w:placeholder>
        </w:sdtPr>
        <w:sdtContent>
          <w:r>
            <w:rPr>
              <w:i/>
            </w:rPr>
            <w:t>20.07.2020,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pPr>
      <w:r>
        <w:rPr>
          <w:b/>
          <w:i/>
        </w:rPr>
        <w:t>Sitzungsort:</w:t>
      </w:r>
      <w:r>
        <w:rPr>
          <w:b/>
          <w:i/>
        </w:rPr>
        <w:tab/>
      </w:r>
      <w:r>
        <w:rPr>
          <w:b/>
          <w:i/>
        </w:rPr>
        <w:tab/>
      </w:r>
      <w:sdt>
        <w:sdtPr>
          <w:id w:val="1344203332"/>
          <w:placeholder>
            <w:docPart w:val="0F773A1FCB61483A80E8B309D8E6A01A"/>
          </w:placeholder>
        </w:sdtPr>
        <w:sdtContent>
          <w:proofErr w:type="spellStart"/>
          <w:r>
            <w:t>Viterokonferenz</w:t>
          </w:r>
          <w:proofErr w:type="spellEnd"/>
        </w:sdtContent>
      </w:sdt>
    </w:p>
    <w:p>
      <w:pPr>
        <w:spacing w:after="0"/>
        <w:rPr>
          <w:b/>
        </w:rPr>
      </w:pPr>
      <w:r>
        <w:rPr>
          <w:b/>
        </w:rPr>
        <w:t>Moderation: Osamah Hamouda</w:t>
      </w:r>
    </w:p>
    <w:p>
      <w:pPr>
        <w:spacing w:after="0"/>
        <w:rPr>
          <w:b/>
        </w:rPr>
      </w:pPr>
      <w:r>
        <w:rPr>
          <w:b/>
        </w:rPr>
        <w:t xml:space="preserve">Teilnehmende: </w:t>
      </w: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2"/>
        </w:numPr>
        <w:spacing w:after="0"/>
        <w:contextualSpacing w:val="0"/>
        <w:rPr>
          <w:sz w:val="20"/>
          <w:szCs w:val="20"/>
        </w:rPr>
      </w:pPr>
      <w:r>
        <w:rPr>
          <w:sz w:val="20"/>
          <w:szCs w:val="20"/>
        </w:rPr>
        <w:t>Lothar Wieler</w:t>
      </w:r>
    </w:p>
    <w:p>
      <w:pPr>
        <w:pStyle w:val="Listenabsatz"/>
        <w:numPr>
          <w:ilvl w:val="0"/>
          <w:numId w:val="3"/>
        </w:numPr>
        <w:spacing w:after="0"/>
        <w:contextualSpacing w:val="0"/>
        <w:rPr>
          <w:sz w:val="20"/>
          <w:szCs w:val="20"/>
        </w:rPr>
      </w:pPr>
      <w:r>
        <w:rPr>
          <w:sz w:val="20"/>
          <w:szCs w:val="20"/>
        </w:rPr>
        <w:t>Abt.3</w:t>
      </w:r>
    </w:p>
    <w:p>
      <w:pPr>
        <w:pStyle w:val="Listenabsatz"/>
        <w:numPr>
          <w:ilvl w:val="1"/>
          <w:numId w:val="2"/>
        </w:numPr>
        <w:spacing w:after="0"/>
        <w:contextualSpacing w:val="0"/>
        <w:rPr>
          <w:sz w:val="20"/>
          <w:szCs w:val="20"/>
        </w:rPr>
      </w:pPr>
      <w:r>
        <w:rPr>
          <w:sz w:val="20"/>
          <w:szCs w:val="20"/>
        </w:rPr>
        <w:t>Osamah Hamouda</w:t>
      </w:r>
    </w:p>
    <w:p>
      <w:pPr>
        <w:pStyle w:val="Listenabsatz"/>
        <w:numPr>
          <w:ilvl w:val="1"/>
          <w:numId w:val="2"/>
        </w:numPr>
        <w:spacing w:after="0"/>
        <w:contextualSpacing w:val="0"/>
        <w:rPr>
          <w:sz w:val="20"/>
          <w:szCs w:val="20"/>
        </w:rPr>
      </w:pPr>
      <w:r>
        <w:rPr>
          <w:sz w:val="20"/>
          <w:szCs w:val="20"/>
        </w:rPr>
        <w:t>Sandra Beermann</w:t>
      </w:r>
    </w:p>
    <w:p>
      <w:pPr>
        <w:pStyle w:val="Listenabsatz"/>
        <w:numPr>
          <w:ilvl w:val="0"/>
          <w:numId w:val="2"/>
        </w:numPr>
        <w:spacing w:after="0" w:line="240" w:lineRule="auto"/>
        <w:contextualSpacing w:val="0"/>
        <w:rPr>
          <w:sz w:val="20"/>
          <w:szCs w:val="20"/>
        </w:rPr>
      </w:pPr>
      <w:r>
        <w:rPr>
          <w:sz w:val="20"/>
          <w:szCs w:val="20"/>
        </w:rPr>
        <w:t>ZIG1/INIG</w:t>
      </w:r>
    </w:p>
    <w:p>
      <w:pPr>
        <w:pStyle w:val="Listenabsatz"/>
        <w:numPr>
          <w:ilvl w:val="1"/>
          <w:numId w:val="2"/>
        </w:numPr>
        <w:spacing w:after="0" w:line="240" w:lineRule="auto"/>
        <w:contextualSpacing w:val="0"/>
        <w:rPr>
          <w:sz w:val="20"/>
          <w:szCs w:val="20"/>
        </w:rPr>
      </w:pPr>
      <w:r>
        <w:rPr>
          <w:sz w:val="20"/>
          <w:szCs w:val="20"/>
        </w:rPr>
        <w:t>Andreas Jansen</w:t>
      </w:r>
    </w:p>
    <w:p>
      <w:pPr>
        <w:pStyle w:val="Listenabsatz"/>
        <w:numPr>
          <w:ilvl w:val="1"/>
          <w:numId w:val="2"/>
        </w:numPr>
        <w:spacing w:after="0" w:line="240" w:lineRule="auto"/>
        <w:contextualSpacing w:val="0"/>
        <w:rPr>
          <w:sz w:val="20"/>
          <w:szCs w:val="20"/>
        </w:rPr>
      </w:pPr>
      <w:r>
        <w:rPr>
          <w:sz w:val="20"/>
          <w:szCs w:val="20"/>
        </w:rPr>
        <w:t>Sarah McFarland</w:t>
      </w:r>
    </w:p>
    <w:p>
      <w:pPr>
        <w:pStyle w:val="Listenabsatz"/>
        <w:numPr>
          <w:ilvl w:val="0"/>
          <w:numId w:val="2"/>
        </w:numPr>
        <w:spacing w:after="0" w:line="240" w:lineRule="auto"/>
        <w:contextualSpacing w:val="0"/>
        <w:rPr>
          <w:sz w:val="20"/>
          <w:szCs w:val="20"/>
        </w:rPr>
      </w:pPr>
      <w:r>
        <w:rPr>
          <w:sz w:val="20"/>
          <w:szCs w:val="20"/>
        </w:rPr>
        <w:t>FG12</w:t>
      </w:r>
    </w:p>
    <w:p>
      <w:pPr>
        <w:pStyle w:val="Listenabsatz"/>
        <w:numPr>
          <w:ilvl w:val="1"/>
          <w:numId w:val="2"/>
        </w:numPr>
        <w:spacing w:after="0" w:line="240" w:lineRule="auto"/>
        <w:contextualSpacing w:val="0"/>
        <w:rPr>
          <w:sz w:val="20"/>
          <w:szCs w:val="20"/>
        </w:rPr>
      </w:pPr>
      <w:r>
        <w:rPr>
          <w:sz w:val="20"/>
          <w:szCs w:val="20"/>
        </w:rPr>
        <w:t xml:space="preserve">Annette Mankertz </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Melanie Brunke</w:t>
      </w:r>
    </w:p>
    <w:p>
      <w:pPr>
        <w:pStyle w:val="Listenabsatz"/>
        <w:numPr>
          <w:ilvl w:val="0"/>
          <w:numId w:val="4"/>
        </w:numPr>
        <w:spacing w:after="0"/>
        <w:contextualSpacing w:val="0"/>
        <w:rPr>
          <w:sz w:val="20"/>
          <w:szCs w:val="20"/>
        </w:rPr>
      </w:pPr>
      <w:r>
        <w:rPr>
          <w:sz w:val="20"/>
          <w:szCs w:val="20"/>
        </w:rPr>
        <w:t>FG 32</w:t>
      </w:r>
    </w:p>
    <w:p>
      <w:pPr>
        <w:pStyle w:val="Listenabsatz"/>
        <w:numPr>
          <w:ilvl w:val="1"/>
          <w:numId w:val="2"/>
        </w:numPr>
        <w:spacing w:after="0"/>
        <w:contextualSpacing w:val="0"/>
        <w:rPr>
          <w:sz w:val="20"/>
          <w:szCs w:val="20"/>
        </w:rPr>
      </w:pPr>
      <w:r>
        <w:rPr>
          <w:sz w:val="20"/>
          <w:szCs w:val="20"/>
        </w:rPr>
        <w:t>Ute Rexroth</w:t>
      </w:r>
    </w:p>
    <w:p>
      <w:pPr>
        <w:pStyle w:val="Listenabsatz"/>
        <w:numPr>
          <w:ilvl w:val="0"/>
          <w:numId w:val="4"/>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Claudia Houareau (Protokoll)</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Walter Haas</w:t>
      </w:r>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Christian Herzog</w:t>
      </w:r>
    </w:p>
    <w:p>
      <w:pPr>
        <w:pStyle w:val="Listenabsatz"/>
        <w:numPr>
          <w:ilvl w:val="0"/>
          <w:numId w:val="3"/>
        </w:numPr>
        <w:spacing w:after="0"/>
        <w:contextualSpacing w:val="0"/>
        <w:rPr>
          <w:sz w:val="20"/>
          <w:szCs w:val="20"/>
        </w:rPr>
      </w:pPr>
      <w:r>
        <w:rPr>
          <w:sz w:val="20"/>
          <w:szCs w:val="20"/>
        </w:rPr>
        <w:t>ZBS1</w:t>
      </w:r>
    </w:p>
    <w:p>
      <w:pPr>
        <w:pStyle w:val="Listenabsatz"/>
        <w:numPr>
          <w:ilvl w:val="1"/>
          <w:numId w:val="3"/>
        </w:numPr>
        <w:spacing w:after="0"/>
        <w:contextualSpacing w:val="0"/>
        <w:rPr>
          <w:sz w:val="20"/>
          <w:szCs w:val="20"/>
        </w:rPr>
      </w:pPr>
      <w:r>
        <w:rPr>
          <w:sz w:val="20"/>
          <w:szCs w:val="20"/>
        </w:rPr>
        <w:t>Eva Krause</w:t>
      </w:r>
    </w:p>
    <w:p>
      <w:pPr>
        <w:pStyle w:val="Listenabsatz"/>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Susanne Glasmacher</w:t>
      </w:r>
    </w:p>
    <w:p>
      <w:pPr>
        <w:pStyle w:val="Listenabsatz"/>
        <w:numPr>
          <w:ilvl w:val="1"/>
          <w:numId w:val="3"/>
        </w:numPr>
        <w:spacing w:after="0"/>
        <w:contextualSpacing w:val="0"/>
        <w:rPr>
          <w:sz w:val="20"/>
          <w:szCs w:val="20"/>
        </w:rPr>
      </w:pPr>
      <w:r>
        <w:rPr>
          <w:sz w:val="20"/>
          <w:szCs w:val="20"/>
        </w:rPr>
        <w:t>Ronja Wenchel</w:t>
      </w:r>
    </w:p>
    <w:p>
      <w:pPr>
        <w:pStyle w:val="Listenabsatz"/>
        <w:numPr>
          <w:ilvl w:val="0"/>
          <w:numId w:val="3"/>
        </w:numPr>
        <w:spacing w:after="0"/>
        <w:contextualSpacing w:val="0"/>
        <w:rPr>
          <w:sz w:val="20"/>
          <w:szCs w:val="20"/>
        </w:rPr>
      </w:pPr>
      <w:r>
        <w:rPr>
          <w:sz w:val="20"/>
          <w:szCs w:val="20"/>
        </w:rPr>
        <w:t>P1</w:t>
      </w:r>
    </w:p>
    <w:p>
      <w:pPr>
        <w:pStyle w:val="Listenabsatz"/>
        <w:numPr>
          <w:ilvl w:val="1"/>
          <w:numId w:val="3"/>
        </w:numPr>
        <w:spacing w:after="0"/>
        <w:contextualSpacing w:val="0"/>
        <w:rPr>
          <w:sz w:val="20"/>
          <w:szCs w:val="20"/>
        </w:rPr>
      </w:pPr>
      <w:r>
        <w:rPr>
          <w:sz w:val="20"/>
          <w:szCs w:val="20"/>
        </w:rPr>
        <w:t>Ines Lein</w:t>
      </w:r>
    </w:p>
    <w:p>
      <w:pPr>
        <w:pStyle w:val="Listenabsatz"/>
        <w:numPr>
          <w:ilvl w:val="0"/>
          <w:numId w:val="3"/>
        </w:numPr>
        <w:spacing w:after="0"/>
        <w:contextualSpacing w:val="0"/>
        <w:rPr>
          <w:sz w:val="20"/>
          <w:szCs w:val="20"/>
        </w:rPr>
      </w:pPr>
      <w:r>
        <w:rPr>
          <w:sz w:val="20"/>
          <w:szCs w:val="20"/>
        </w:rPr>
        <w:t>BMG Liaison</w:t>
      </w:r>
    </w:p>
    <w:p>
      <w:pPr>
        <w:pStyle w:val="Listenabsatz"/>
        <w:numPr>
          <w:ilvl w:val="1"/>
          <w:numId w:val="3"/>
        </w:numPr>
        <w:spacing w:after="0"/>
        <w:contextualSpacing w:val="0"/>
        <w:rPr>
          <w:sz w:val="20"/>
          <w:szCs w:val="20"/>
        </w:rPr>
      </w:pPr>
      <w:r>
        <w:rPr>
          <w:sz w:val="20"/>
          <w:szCs w:val="20"/>
        </w:rPr>
        <w:t>Iris Andernach</w:t>
      </w:r>
    </w:p>
    <w:p>
      <w:pPr>
        <w:pStyle w:val="Listenabsatz"/>
        <w:numPr>
          <w:ilvl w:val="0"/>
          <w:numId w:val="3"/>
        </w:numPr>
        <w:spacing w:after="0"/>
        <w:contextualSpacing w:val="0"/>
        <w:rPr>
          <w:sz w:val="20"/>
          <w:szCs w:val="20"/>
        </w:rPr>
      </w:pPr>
      <w:r>
        <w:rPr>
          <w:sz w:val="20"/>
          <w:szCs w:val="20"/>
        </w:rPr>
        <w:t>Bundeswehr</w:t>
      </w:r>
    </w:p>
    <w:p>
      <w:pPr>
        <w:pStyle w:val="Listenabsatz"/>
        <w:numPr>
          <w:ilvl w:val="1"/>
          <w:numId w:val="3"/>
        </w:numPr>
        <w:spacing w:after="0"/>
        <w:contextualSpacing w:val="0"/>
        <w:rPr>
          <w:sz w:val="20"/>
          <w:szCs w:val="20"/>
        </w:rPr>
      </w:pPr>
      <w:proofErr w:type="spellStart"/>
      <w:r>
        <w:rPr>
          <w:sz w:val="20"/>
          <w:szCs w:val="20"/>
        </w:rPr>
        <w:t>Katalyn</w:t>
      </w:r>
      <w:proofErr w:type="spellEnd"/>
      <w:r>
        <w:rPr>
          <w:sz w:val="20"/>
          <w:szCs w:val="20"/>
        </w:rPr>
        <w:t xml:space="preserve"> Roßmann</w:t>
      </w:r>
    </w:p>
    <w:p>
      <w:pPr>
        <w:pStyle w:val="Listenabsatz"/>
        <w:numPr>
          <w:ilvl w:val="0"/>
          <w:numId w:val="3"/>
        </w:numPr>
        <w:spacing w:after="0"/>
        <w:contextualSpacing w:val="0"/>
        <w:rPr>
          <w:sz w:val="20"/>
          <w:szCs w:val="20"/>
        </w:rPr>
      </w:pPr>
      <w:r>
        <w:rPr>
          <w:sz w:val="20"/>
          <w:szCs w:val="20"/>
        </w:rPr>
        <w:t>BZgA</w:t>
      </w:r>
    </w:p>
    <w:p>
      <w:pPr>
        <w:pStyle w:val="Listenabsatz"/>
        <w:numPr>
          <w:ilvl w:val="1"/>
          <w:numId w:val="3"/>
        </w:numPr>
        <w:spacing w:after="0"/>
        <w:contextualSpacing w:val="0"/>
        <w:rPr>
          <w:sz w:val="20"/>
          <w:szCs w:val="20"/>
        </w:rPr>
      </w:pPr>
      <w:r>
        <w:rPr>
          <w:sz w:val="20"/>
          <w:szCs w:val="20"/>
        </w:rPr>
        <w:t xml:space="preserve">Heidrun </w:t>
      </w:r>
      <w:proofErr w:type="spellStart"/>
      <w:r>
        <w:rPr>
          <w:sz w:val="20"/>
          <w:szCs w:val="20"/>
        </w:rPr>
        <w:t>Thaiss</w:t>
      </w:r>
      <w:proofErr w:type="spellEnd"/>
    </w:p>
    <w:p>
      <w:pPr>
        <w:pStyle w:val="Listenabsatz"/>
        <w:spacing w:after="0"/>
        <w:ind w:left="1440"/>
        <w:contextualSpacing w:val="0"/>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rPr>
            </w:pPr>
            <w:r>
              <w:rPr>
                <w:b/>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rPr>
            </w:pPr>
            <w:r>
              <w:rPr>
                <w:b/>
              </w:rPr>
              <w:t>International INIG</w:t>
            </w:r>
          </w:p>
          <w:p>
            <w:pPr>
              <w:pStyle w:val="KStab1"/>
            </w:pPr>
            <w:r>
              <w:t xml:space="preserve">Trendanalyse international, Maßnahmen (Folien </w:t>
            </w:r>
            <w:hyperlink r:id="rId8" w:history="1">
              <w:r>
                <w:rPr>
                  <w:rStyle w:val="Hyperlink"/>
                </w:rPr>
                <w:t>hier</w:t>
              </w:r>
            </w:hyperlink>
            <w:r>
              <w:t>)</w:t>
            </w:r>
          </w:p>
          <w:p>
            <w:pPr>
              <w:pStyle w:val="KStab1"/>
            </w:pPr>
            <w:r>
              <w:t xml:space="preserve">Top 10 Länder nach Anzahl neuer Fälle in den letzten 7 Tagen: </w:t>
            </w:r>
          </w:p>
          <w:p>
            <w:pPr>
              <w:pStyle w:val="KStab1"/>
            </w:pPr>
            <w:r>
              <w:t>Seit gestern weltweit &gt;14 Mill. Fälle und von denen 4,2% Verstorbene, leicht absteigender Trend in Brasilien, Argentinien und Bangladesch</w:t>
            </w:r>
          </w:p>
          <w:p>
            <w:pPr>
              <w:pStyle w:val="KStab1"/>
            </w:pPr>
            <w:r>
              <w:t>7-Tages-Inzidenz pro 100.000 Einwohner</w:t>
            </w:r>
          </w:p>
          <w:p>
            <w:pPr>
              <w:pStyle w:val="KStab1"/>
            </w:pPr>
            <w:r>
              <w:t xml:space="preserve">30 Länder über 7-Tages-Inz. &gt; 50 Fälle/100T. </w:t>
            </w:r>
            <w:proofErr w:type="spellStart"/>
            <w:r>
              <w:t>Einw</w:t>
            </w:r>
            <w:proofErr w:type="spellEnd"/>
            <w:r>
              <w:t>.</w:t>
            </w:r>
          </w:p>
          <w:p>
            <w:pPr>
              <w:pStyle w:val="KStab1"/>
            </w:pPr>
            <w:r>
              <w:t xml:space="preserve">Neu sind Guatemala und Honduras </w:t>
            </w:r>
          </w:p>
          <w:p>
            <w:pPr>
              <w:pStyle w:val="KStab1"/>
            </w:pPr>
            <w:r>
              <w:t>Länder mit &gt; 70.000 neuen Fällen/letzte 7 Tage</w:t>
            </w:r>
          </w:p>
          <w:p>
            <w:pPr>
              <w:pStyle w:val="KStab1"/>
            </w:pPr>
            <w:proofErr w:type="gramStart"/>
            <w:r>
              <w:t>Selben Länder</w:t>
            </w:r>
            <w:proofErr w:type="gramEnd"/>
            <w:r>
              <w:t xml:space="preserve"> wie am Freitag</w:t>
            </w:r>
          </w:p>
          <w:p>
            <w:pPr>
              <w:pStyle w:val="KStab1"/>
            </w:pPr>
            <w:r>
              <w:t>Steiler Anstieg bei Indien, Südafrika und USA, außer in Brasilien</w:t>
            </w:r>
          </w:p>
          <w:p>
            <w:pPr>
              <w:pStyle w:val="KStab1"/>
            </w:pPr>
            <w:r>
              <w:t>Afrika – Aktuelle Lage, &gt; 700 Fälle (7T)</w:t>
            </w:r>
          </w:p>
          <w:p>
            <w:pPr>
              <w:pStyle w:val="KStab1"/>
            </w:pPr>
            <w:r>
              <w:t>Über 8% der Fälle weltweit</w:t>
            </w:r>
          </w:p>
          <w:p>
            <w:pPr>
              <w:pStyle w:val="KStab1"/>
            </w:pPr>
            <w:r>
              <w:t>Südafrika weiterhin den meisten Fällen</w:t>
            </w:r>
          </w:p>
          <w:p>
            <w:pPr>
              <w:pStyle w:val="KStab1"/>
            </w:pPr>
            <w:r>
              <w:t>Neu dabei Sambia</w:t>
            </w:r>
          </w:p>
          <w:p>
            <w:pPr>
              <w:pStyle w:val="KStab1"/>
            </w:pPr>
            <w:r>
              <w:t>Amerika – Aktuelle Lage, &gt; 700 Fälle (7T)</w:t>
            </w:r>
          </w:p>
          <w:p>
            <w:pPr>
              <w:pStyle w:val="KStab1"/>
            </w:pPr>
            <w:r>
              <w:t>Außer Kanada zeigen alle Länder ansteigende Fallzahlen</w:t>
            </w:r>
          </w:p>
          <w:p>
            <w:pPr>
              <w:pStyle w:val="KStab1"/>
            </w:pPr>
            <w:r>
              <w:t>US in allen Staaten ansteigend, Maßnahmen werden nicht eingehalten</w:t>
            </w:r>
          </w:p>
          <w:p>
            <w:pPr>
              <w:pStyle w:val="KStab1"/>
            </w:pPr>
            <w:r>
              <w:t>Asien – Aktuelle Lage, &gt; 700 Fälle (7T)</w:t>
            </w:r>
          </w:p>
          <w:p>
            <w:pPr>
              <w:pStyle w:val="KStab1"/>
            </w:pPr>
            <w:r>
              <w:t>Anstieg der Fälle, v.a. in Indien, Israel, Japan und Hongkong</w:t>
            </w:r>
          </w:p>
          <w:p>
            <w:pPr>
              <w:pStyle w:val="KStab1"/>
            </w:pPr>
            <w:r>
              <w:t>Update China: 149 Tage ohne Fälle. Aber im autonomem Xinjiang Gebiet ist seit 16.07. unter „</w:t>
            </w:r>
            <w:proofErr w:type="spellStart"/>
            <w:r>
              <w:t>lockdown</w:t>
            </w:r>
            <w:proofErr w:type="spellEnd"/>
            <w:r>
              <w:t>“; 30 Fälle gemeldet</w:t>
            </w:r>
          </w:p>
          <w:p>
            <w:pPr>
              <w:pStyle w:val="KStab1"/>
            </w:pPr>
            <w:r>
              <w:t>Iran: Schätzung der Regierung, dass 25 Mill. Menschen SARS-CoV-2 pos. sind, und in den nächsten Monaten weitere 30 Mill. pos. dazukommen. In Teheran: 30 Tage „</w:t>
            </w:r>
            <w:proofErr w:type="spellStart"/>
            <w:r>
              <w:t>lockdown</w:t>
            </w:r>
            <w:proofErr w:type="spellEnd"/>
            <w:r>
              <w:t>“.</w:t>
            </w:r>
          </w:p>
          <w:p>
            <w:pPr>
              <w:pStyle w:val="KStab1"/>
            </w:pPr>
            <w:r>
              <w:t>Europa – Aktuelle Lage, &gt; 700 Fälle (7T)</w:t>
            </w:r>
          </w:p>
          <w:p>
            <w:pPr>
              <w:pStyle w:val="KStab1"/>
            </w:pPr>
            <w:r>
              <w:t>Anstieg in Osteuropa</w:t>
            </w:r>
          </w:p>
          <w:p>
            <w:pPr>
              <w:pStyle w:val="KStab1"/>
            </w:pPr>
            <w:r>
              <w:t>UK: Angekündigt, dass Todesfallzählung verändert wird.</w:t>
            </w:r>
          </w:p>
          <w:p>
            <w:pPr>
              <w:pStyle w:val="KStab1"/>
            </w:pPr>
            <w:r>
              <w:t>Ozeanien: Australien – Aktuelle Lage, &gt; 700 Fälle (7T)</w:t>
            </w:r>
          </w:p>
          <w:p>
            <w:pPr>
              <w:pStyle w:val="KStab1"/>
            </w:pPr>
            <w:r>
              <w:t>Australien: Anstieg in Melbourne trotz „</w:t>
            </w:r>
            <w:proofErr w:type="spellStart"/>
            <w:r>
              <w:t>lockdown</w:t>
            </w:r>
            <w:proofErr w:type="spellEnd"/>
            <w:r>
              <w:t>“ Es wird an diesem Mittwoch die Maskenpflicht eingeführt.</w:t>
            </w:r>
          </w:p>
          <w:p>
            <w:pPr>
              <w:pStyle w:val="KStab1"/>
            </w:pPr>
            <w:r>
              <w:t>COVID-19/Hongkong:</w:t>
            </w:r>
          </w:p>
          <w:p>
            <w:pPr>
              <w:pStyle w:val="KStab1"/>
            </w:pPr>
            <w:r>
              <w:t>1.886 Fälle, 12 Todesfälle</w:t>
            </w:r>
          </w:p>
          <w:p>
            <w:pPr>
              <w:pStyle w:val="KStab1"/>
            </w:pPr>
            <w:r>
              <w:t xml:space="preserve">7T-Inzidenz: 5,5 Fälle/100T. </w:t>
            </w:r>
            <w:proofErr w:type="spellStart"/>
            <w:r>
              <w:t>Einw</w:t>
            </w:r>
            <w:proofErr w:type="spellEnd"/>
            <w:r>
              <w:t>.</w:t>
            </w:r>
          </w:p>
          <w:p>
            <w:pPr>
              <w:pStyle w:val="KStab1"/>
            </w:pPr>
            <w:r>
              <w:t xml:space="preserve">Tests: 0,9 pro 1T. </w:t>
            </w:r>
            <w:proofErr w:type="spellStart"/>
            <w:r>
              <w:t>Einw</w:t>
            </w:r>
            <w:proofErr w:type="spellEnd"/>
            <w:r>
              <w:t>.; 10T. Tests/ Tag in den letzten Tagen</w:t>
            </w:r>
          </w:p>
          <w:p>
            <w:pPr>
              <w:pStyle w:val="KStab1"/>
            </w:pPr>
            <w:r>
              <w:t>Anstieg in den letzten 2 Wochen</w:t>
            </w:r>
          </w:p>
          <w:p>
            <w:pPr>
              <w:pStyle w:val="KStab1"/>
            </w:pPr>
            <w:r>
              <w:t>Strengere Maßnahmen angekündigt</w:t>
            </w:r>
          </w:p>
          <w:p>
            <w:pPr>
              <w:pStyle w:val="KStab1"/>
            </w:pPr>
            <w:r>
              <w:lastRenderedPageBreak/>
              <w:t>COVID-19/Studie</w:t>
            </w:r>
          </w:p>
          <w:p>
            <w:pPr>
              <w:pStyle w:val="KStab1"/>
              <w:rPr>
                <w:lang w:val="en-US"/>
              </w:rPr>
            </w:pPr>
            <w:r>
              <w:rPr>
                <w:lang w:val="en-US"/>
              </w:rPr>
              <w:t>Impact of delays on effectiveness of contact tracing strategies for COVID-19: a modelling study. The lancet, 16.07.20</w:t>
            </w:r>
          </w:p>
          <w:p>
            <w:pPr>
              <w:pStyle w:val="KStab1"/>
            </w:pPr>
            <w:r>
              <w:t>Method</w:t>
            </w:r>
          </w:p>
          <w:p>
            <w:pPr>
              <w:pStyle w:val="KStab2"/>
              <w:numPr>
                <w:ilvl w:val="0"/>
                <w:numId w:val="0"/>
              </w:numPr>
              <w:ind w:left="876"/>
              <w:rPr>
                <w:lang w:val="en-US"/>
              </w:rPr>
            </w:pPr>
            <w:r>
              <w:rPr>
                <w:lang w:val="en-US"/>
              </w:rPr>
              <w:t xml:space="preserve">-Impact of timeliness and completeness of contact tracing strategies using a stochastic mathematical model was evaluated. </w:t>
            </w:r>
          </w:p>
          <w:p>
            <w:pPr>
              <w:pStyle w:val="KStab2"/>
              <w:numPr>
                <w:ilvl w:val="0"/>
                <w:numId w:val="0"/>
              </w:numPr>
              <w:ind w:left="876"/>
              <w:rPr>
                <w:lang w:val="en-US"/>
              </w:rPr>
            </w:pPr>
            <w:r>
              <w:rPr>
                <w:lang w:val="en-US"/>
              </w:rPr>
              <w:t>-</w:t>
            </w:r>
            <w:proofErr w:type="spellStart"/>
            <w:r>
              <w:rPr>
                <w:lang w:val="en-US"/>
              </w:rPr>
              <w:t>Reff</w:t>
            </w:r>
            <w:proofErr w:type="spellEnd"/>
            <w:r>
              <w:rPr>
                <w:lang w:val="en-US"/>
              </w:rPr>
              <w:t xml:space="preserve"> was computed for different contact tracing strategies.</w:t>
            </w:r>
          </w:p>
          <w:p>
            <w:pPr>
              <w:pStyle w:val="KStab1"/>
            </w:pPr>
            <w:proofErr w:type="spellStart"/>
            <w:r>
              <w:t>Conclusion</w:t>
            </w:r>
            <w:proofErr w:type="spellEnd"/>
          </w:p>
          <w:p>
            <w:pPr>
              <w:pStyle w:val="KStab2"/>
              <w:numPr>
                <w:ilvl w:val="0"/>
                <w:numId w:val="0"/>
              </w:numPr>
              <w:ind w:left="876"/>
              <w:rPr>
                <w:lang w:val="en-US"/>
              </w:rPr>
            </w:pPr>
            <w:r>
              <w:rPr>
                <w:lang w:val="en-US"/>
              </w:rPr>
              <w:t>-</w:t>
            </w:r>
            <w:proofErr w:type="spellStart"/>
            <w:r>
              <w:rPr>
                <w:lang w:val="en-US"/>
              </w:rPr>
              <w:t>Minimising</w:t>
            </w:r>
            <w:proofErr w:type="spellEnd"/>
            <w:r>
              <w:rPr>
                <w:lang w:val="en-US"/>
              </w:rPr>
              <w:t xml:space="preserve"> testing delay had largest impact on reducing transmissions. </w:t>
            </w:r>
          </w:p>
          <w:p>
            <w:pPr>
              <w:pStyle w:val="KStab2"/>
              <w:numPr>
                <w:ilvl w:val="0"/>
                <w:numId w:val="0"/>
              </w:numPr>
              <w:ind w:left="876"/>
              <w:rPr>
                <w:lang w:val="en-US"/>
              </w:rPr>
            </w:pPr>
            <w:r>
              <w:rPr>
                <w:lang w:val="en-US"/>
              </w:rPr>
              <w:t>-</w:t>
            </w:r>
            <w:proofErr w:type="spellStart"/>
            <w:r>
              <w:rPr>
                <w:lang w:val="en-US"/>
              </w:rPr>
              <w:t>Optimisation</w:t>
            </w:r>
            <w:proofErr w:type="spellEnd"/>
            <w:r>
              <w:rPr>
                <w:lang w:val="en-US"/>
              </w:rPr>
              <w:t xml:space="preserve"> of tracing and testing with e.g., app-based technology enhanced contact tracing effectiveness and has potential to prevent up to 80% of all transmissions.</w:t>
            </w:r>
          </w:p>
          <w:p>
            <w:pPr>
              <w:pStyle w:val="KStab2"/>
              <w:numPr>
                <w:ilvl w:val="0"/>
                <w:numId w:val="0"/>
              </w:numPr>
              <w:ind w:left="876"/>
              <w:rPr>
                <w:lang w:val="en-US"/>
              </w:rPr>
            </w:pPr>
            <w:r>
              <w:rPr>
                <w:lang w:val="en-US"/>
              </w:rPr>
              <w:t xml:space="preserve">Apps </w:t>
            </w:r>
            <w:proofErr w:type="spellStart"/>
            <w:r>
              <w:rPr>
                <w:lang w:val="en-US"/>
              </w:rPr>
              <w:t>arbeiten</w:t>
            </w:r>
            <w:proofErr w:type="spellEnd"/>
            <w:r>
              <w:rPr>
                <w:lang w:val="en-US"/>
              </w:rPr>
              <w:t xml:space="preserve"> </w:t>
            </w:r>
            <w:proofErr w:type="spellStart"/>
            <w:r>
              <w:rPr>
                <w:lang w:val="en-US"/>
              </w:rPr>
              <w:t>mit</w:t>
            </w:r>
            <w:proofErr w:type="spellEnd"/>
            <w:r>
              <w:rPr>
                <w:lang w:val="en-US"/>
              </w:rPr>
              <w:t xml:space="preserve"> contact tracing</w:t>
            </w:r>
          </w:p>
          <w:p>
            <w:pPr>
              <w:pStyle w:val="KStab1"/>
            </w:pPr>
            <w:r>
              <w:t>Zusammenfassung</w:t>
            </w:r>
          </w:p>
          <w:p>
            <w:pPr>
              <w:pStyle w:val="KStab1"/>
            </w:pPr>
            <w:r>
              <w:t>Vergleichbar wie die letzte Woche</w:t>
            </w:r>
          </w:p>
          <w:p>
            <w:pPr>
              <w:pStyle w:val="KStab1"/>
            </w:pPr>
            <w:r>
              <w:t>Asien: Anstieg in den vergangenen 7 Tagen vor allem in China (Xinjiang Gebiet), Hongkong, Indien, Israel, Oman aber auch in Zentralasien (Kasachstan, Kirgistan und Usbekistan)</w:t>
            </w:r>
          </w:p>
          <w:p>
            <w:pPr>
              <w:pStyle w:val="KStab2"/>
              <w:numPr>
                <w:ilvl w:val="0"/>
                <w:numId w:val="0"/>
              </w:numPr>
              <w:ind w:left="876"/>
            </w:pPr>
          </w:p>
          <w:p>
            <w:pPr>
              <w:spacing w:before="120"/>
              <w:rPr>
                <w:b/>
              </w:rPr>
            </w:pPr>
            <w:r>
              <w:rPr>
                <w:b/>
              </w:rPr>
              <w:t xml:space="preserve">National </w:t>
            </w:r>
          </w:p>
          <w:p>
            <w:pPr>
              <w:pStyle w:val="KStab1"/>
            </w:pPr>
            <w:r>
              <w:t xml:space="preserve">Fallzahlen, Todesfälle, Trend (Folien </w:t>
            </w:r>
            <w:hyperlink r:id="rId9" w:history="1">
              <w:r>
                <w:rPr>
                  <w:rStyle w:val="Hyperlink"/>
                </w:rPr>
                <w:t>hier</w:t>
              </w:r>
            </w:hyperlink>
            <w:r>
              <w:t xml:space="preserve">) </w:t>
            </w:r>
          </w:p>
          <w:p>
            <w:pPr>
              <w:pStyle w:val="KStab1"/>
            </w:pPr>
            <w:r>
              <w:t>Lage National, 20.07.20</w:t>
            </w:r>
          </w:p>
          <w:p>
            <w:pPr>
              <w:pStyle w:val="KStab1"/>
            </w:pPr>
            <w:r>
              <w:t>249 Fälle heute gemeldet. Für Montag ist dies nicht wenig</w:t>
            </w:r>
          </w:p>
          <w:p>
            <w:pPr>
              <w:pStyle w:val="KStab1"/>
            </w:pPr>
            <w:r>
              <w:t>R Wert deutlich über eins</w:t>
            </w:r>
          </w:p>
          <w:p>
            <w:pPr>
              <w:pStyle w:val="KStab1"/>
            </w:pPr>
            <w:r>
              <w:t>Fälle und Todesfälle pro Bundesland</w:t>
            </w:r>
          </w:p>
          <w:p>
            <w:pPr>
              <w:pStyle w:val="KStab1"/>
            </w:pPr>
            <w:r>
              <w:t xml:space="preserve">Gesamt: 7-T-Inzidenz 3,1 pro 100T. </w:t>
            </w:r>
            <w:proofErr w:type="spellStart"/>
            <w:r>
              <w:t>Einw</w:t>
            </w:r>
            <w:proofErr w:type="spellEnd"/>
            <w:r>
              <w:t>.</w:t>
            </w:r>
          </w:p>
          <w:p>
            <w:pPr>
              <w:pStyle w:val="KStab1"/>
            </w:pPr>
            <w:r>
              <w:t xml:space="preserve">Nur NRW liegt mit 7-T-Inzidenz &gt;5 pro 100T. </w:t>
            </w:r>
            <w:proofErr w:type="spellStart"/>
            <w:r>
              <w:t>Einw</w:t>
            </w:r>
            <w:proofErr w:type="spellEnd"/>
            <w:r>
              <w:t>.</w:t>
            </w:r>
          </w:p>
          <w:p>
            <w:pPr>
              <w:pStyle w:val="KStab1"/>
            </w:pPr>
            <w:proofErr w:type="spellStart"/>
            <w:r>
              <w:t>Nowcasting</w:t>
            </w:r>
            <w:proofErr w:type="spellEnd"/>
            <w:r>
              <w:t xml:space="preserve"> – Schätzung der Reproduktionszahl (R)</w:t>
            </w:r>
          </w:p>
          <w:p>
            <w:pPr>
              <w:pStyle w:val="KStab1"/>
            </w:pPr>
            <w:r>
              <w:t>R liegt über eins</w:t>
            </w:r>
          </w:p>
          <w:p>
            <w:pPr>
              <w:pStyle w:val="KStab1"/>
            </w:pPr>
            <w:r>
              <w:t>7-Tages-Inzidenz nach Meldedatum Bundesländer</w:t>
            </w:r>
          </w:p>
          <w:p>
            <w:pPr>
              <w:pStyle w:val="KStab1"/>
            </w:pPr>
            <w:r>
              <w:t>Über Bundesdurchschnitt liegt NRW am höchsten</w:t>
            </w:r>
          </w:p>
          <w:p>
            <w:pPr>
              <w:pStyle w:val="KStab1"/>
            </w:pPr>
            <w:r>
              <w:t xml:space="preserve">Gefolgt von Bremen, Hessen, Bayern und Berlin </w:t>
            </w:r>
          </w:p>
          <w:p>
            <w:pPr>
              <w:pStyle w:val="KStab1"/>
            </w:pPr>
            <w:r>
              <w:t xml:space="preserve">Geographische Verteilung in </w:t>
            </w:r>
            <w:proofErr w:type="spellStart"/>
            <w:r>
              <w:t>Dtl</w:t>
            </w:r>
            <w:proofErr w:type="spellEnd"/>
            <w:r>
              <w:t>.: 7-Tage-Inzidenz</w:t>
            </w:r>
          </w:p>
          <w:p>
            <w:pPr>
              <w:pStyle w:val="KStab1"/>
            </w:pPr>
            <w:r>
              <w:t>Nur LK Vechta&gt;25 Fälle: Ausbruch in einem Geflügel-</w:t>
            </w:r>
            <w:proofErr w:type="spellStart"/>
            <w:r>
              <w:t>Zerlegebetrieb</w:t>
            </w:r>
            <w:proofErr w:type="spellEnd"/>
          </w:p>
          <w:p>
            <w:pPr>
              <w:pStyle w:val="KStab1"/>
            </w:pPr>
            <w:r>
              <w:t>Kein LK &gt;50 Fälle</w:t>
            </w:r>
          </w:p>
          <w:p>
            <w:pPr>
              <w:pStyle w:val="KStab1"/>
            </w:pPr>
            <w:r>
              <w:t>Landkreise mit den höchsten Fallzahlen in den letzten 7 Tagen</w:t>
            </w:r>
          </w:p>
          <w:p>
            <w:pPr>
              <w:pStyle w:val="KStab1"/>
            </w:pPr>
            <w:r>
              <w:t>Am höchsten im LK Mettmann durch ein lokales Ausbruchsgeschehen</w:t>
            </w:r>
          </w:p>
          <w:p>
            <w:pPr>
              <w:pStyle w:val="KStab1"/>
            </w:pPr>
            <w:r>
              <w:t>Aktuelle Ausbrüche</w:t>
            </w:r>
          </w:p>
          <w:p>
            <w:pPr>
              <w:pStyle w:val="KStab1"/>
            </w:pPr>
            <w:r>
              <w:t>LK Vechta Schlachthof Wiesenhof</w:t>
            </w:r>
          </w:p>
          <w:p>
            <w:pPr>
              <w:pStyle w:val="KStab2"/>
              <w:numPr>
                <w:ilvl w:val="0"/>
                <w:numId w:val="0"/>
              </w:numPr>
              <w:ind w:left="720"/>
            </w:pPr>
            <w:r>
              <w:lastRenderedPageBreak/>
              <w:t xml:space="preserve">-Fälle wohnen verteilt in den LKs Vechta, Diepholz, wenige Fälle auch in Osnabrück, Cloppenburg und der Stadt Delmenhorst </w:t>
            </w:r>
          </w:p>
          <w:p>
            <w:pPr>
              <w:pStyle w:val="KStab1"/>
            </w:pPr>
            <w:r>
              <w:t xml:space="preserve">LK Mettmann durch eine Hochzeitsfeier und im selben LK in der Stadt Velbert sind ca. 50 Fälle, </w:t>
            </w:r>
            <w:proofErr w:type="gramStart"/>
            <w:r>
              <w:t>ein metallverarbeitenden Betrieb</w:t>
            </w:r>
            <w:proofErr w:type="gramEnd"/>
            <w:r>
              <w:t>.</w:t>
            </w:r>
          </w:p>
          <w:p>
            <w:pPr>
              <w:pStyle w:val="KStab1"/>
            </w:pPr>
            <w:r>
              <w:t xml:space="preserve">Fallhäufung im </w:t>
            </w:r>
            <w:proofErr w:type="spellStart"/>
            <w:r>
              <w:t>KfSt</w:t>
            </w:r>
            <w:proofErr w:type="spellEnd"/>
            <w:r>
              <w:t xml:space="preserve"> Bielefeld in privaten Situationen</w:t>
            </w:r>
          </w:p>
          <w:p>
            <w:pPr>
              <w:pStyle w:val="KStab1"/>
            </w:pPr>
            <w:r>
              <w:t>Köln, Ausbrüche in 2 Asylunterkünften, eine Arztpraxis und ein gastronomischer Betrieb</w:t>
            </w:r>
          </w:p>
          <w:p>
            <w:pPr>
              <w:pStyle w:val="KStab2"/>
              <w:numPr>
                <w:ilvl w:val="0"/>
                <w:numId w:val="0"/>
              </w:numPr>
              <w:ind w:firstLine="450"/>
            </w:pPr>
            <w:r>
              <w:t>Nachfrage in NRW zu hohen Fallzahlen läuft</w:t>
            </w:r>
          </w:p>
          <w:p>
            <w:pPr>
              <w:pStyle w:val="KStab2"/>
              <w:numPr>
                <w:ilvl w:val="0"/>
                <w:numId w:val="0"/>
              </w:numPr>
              <w:ind w:left="876"/>
            </w:pPr>
          </w:p>
          <w:p>
            <w:pPr>
              <w:pStyle w:val="KStab2"/>
              <w:numPr>
                <w:ilvl w:val="0"/>
                <w:numId w:val="0"/>
              </w:numPr>
              <w:ind w:left="876"/>
            </w:pPr>
          </w:p>
          <w:p>
            <w:pPr>
              <w:pStyle w:val="KStab1"/>
            </w:pPr>
            <w:r>
              <w:rPr>
                <w:b/>
              </w:rPr>
              <w:t>Corona Kita-Studie</w:t>
            </w:r>
            <w:r>
              <w:t xml:space="preserve"> (Folien </w:t>
            </w:r>
            <w:hyperlink r:id="rId10" w:history="1">
              <w:r>
                <w:rPr>
                  <w:rStyle w:val="Hyperlink"/>
                </w:rPr>
                <w:t>hier</w:t>
              </w:r>
            </w:hyperlink>
            <w:r>
              <w:t>)</w:t>
            </w:r>
          </w:p>
          <w:p>
            <w:pPr>
              <w:pStyle w:val="KStab1"/>
              <w:numPr>
                <w:ilvl w:val="0"/>
                <w:numId w:val="0"/>
              </w:numPr>
              <w:ind w:left="473"/>
            </w:pPr>
            <w:r>
              <w:t>Erkrankungszahlen bei Kindern unter 10 Jahren</w:t>
            </w:r>
          </w:p>
          <w:p>
            <w:pPr>
              <w:pStyle w:val="KStab1"/>
            </w:pPr>
            <w:r>
              <w:t>Kooperation Deutsches Jugendinstitut und RKI</w:t>
            </w:r>
          </w:p>
          <w:p>
            <w:pPr>
              <w:pStyle w:val="KStab1"/>
            </w:pPr>
            <w:r>
              <w:t>Ziel: Klärung wie stark das Öffnungsgeschehen mit gehäuften Infektionen von Kindern und Erwachsenen einhergeht</w:t>
            </w:r>
          </w:p>
          <w:p>
            <w:pPr>
              <w:pStyle w:val="KStab1"/>
            </w:pPr>
            <w:proofErr w:type="spellStart"/>
            <w:r>
              <w:t>GrippeWeb</w:t>
            </w:r>
            <w:proofErr w:type="spellEnd"/>
            <w:r>
              <w:t>: Häufigkeit akuter Atemwegserkrankungen</w:t>
            </w:r>
          </w:p>
          <w:p>
            <w:pPr>
              <w:pStyle w:val="KStab1"/>
              <w:numPr>
                <w:ilvl w:val="0"/>
                <w:numId w:val="0"/>
              </w:numPr>
              <w:ind w:left="473"/>
            </w:pPr>
            <w:r>
              <w:t>ARE-Inzidenz nach Altersgruppe: Hier sieht man, dass sowohl bei jüngeren und älteren Kindern gleiche Viruszirkulation. Diese ist vergleichbar mit jenen in den Vorjahren.</w:t>
            </w:r>
          </w:p>
          <w:p>
            <w:pPr>
              <w:pStyle w:val="KStab1"/>
            </w:pPr>
            <w:r>
              <w:t>Inzidenz und Anteil nach Altersgruppe</w:t>
            </w:r>
          </w:p>
          <w:p>
            <w:pPr>
              <w:pStyle w:val="KStab2"/>
              <w:ind w:left="876" w:hanging="284"/>
            </w:pPr>
            <w:r>
              <w:t>Anteil bei Kindern und Jugendlichen steigt deutlich an</w:t>
            </w:r>
          </w:p>
          <w:p>
            <w:pPr>
              <w:pStyle w:val="KStab1"/>
            </w:pPr>
            <w:r>
              <w:t>Inzidenz Kinder (0-5 Jahre) zeigt einzelne kleinere Ausbrüche im privaten Umfeld, die Kinder betreffen.</w:t>
            </w:r>
          </w:p>
          <w:p>
            <w:pPr>
              <w:pStyle w:val="KStab1"/>
            </w:pPr>
            <w:r>
              <w:t xml:space="preserve">Symptome bei Kindern: Fieber &amp; Husten prominenten Symptomen, Schnupfen dritthäufigstes Symptom. Daher auch </w:t>
            </w:r>
            <w:proofErr w:type="spellStart"/>
            <w:r>
              <w:t>Covid</w:t>
            </w:r>
            <w:proofErr w:type="spellEnd"/>
            <w:r>
              <w:t xml:space="preserve"> spezifisches Symptom</w:t>
            </w:r>
          </w:p>
          <w:p>
            <w:pPr>
              <w:pStyle w:val="KStab1"/>
            </w:pPr>
            <w:r>
              <w:t>Betreuung in einer Einrichtung gemäß §33: Seit Kita-Öffnungen steigt Anteil der Kita-Kinder bei SARS-CoV-2 Fällen.</w:t>
            </w:r>
          </w:p>
          <w:p>
            <w:pPr>
              <w:pStyle w:val="KStab1"/>
            </w:pPr>
            <w:r>
              <w:t>Folie zu Ausbrüchen in Schulen beschreibt von 13. – 19. KW eine Lücke, die die Wochen der Schulschließungen sind. Seit Mai erfolgten Öffnungen; Die 11- bis 14-</w:t>
            </w:r>
            <w:proofErr w:type="gramStart"/>
            <w:r>
              <w:t>Jährigen  haben</w:t>
            </w:r>
            <w:proofErr w:type="gramEnd"/>
            <w:r>
              <w:t xml:space="preserve"> größeren Anteil als die jüngeren.</w:t>
            </w:r>
          </w:p>
          <w:p>
            <w:pPr>
              <w:pStyle w:val="KStab1"/>
            </w:pPr>
            <w:r>
              <w:t xml:space="preserve">Publikation aus Südkorea inwieweit Kinder zur Übertragung beitragen: Dargestellt wieviel % Folgefälle aus dem Indexfall. Die höchsten %-Werte erreichen im </w:t>
            </w:r>
            <w:proofErr w:type="spellStart"/>
            <w:r>
              <w:t>setting</w:t>
            </w:r>
            <w:proofErr w:type="spellEnd"/>
            <w:r>
              <w:t xml:space="preserve"> Haushalt die Altersgruppe der 10 bis 19-Jährigen.</w:t>
            </w:r>
          </w:p>
          <w:p>
            <w:pPr>
              <w:pStyle w:val="KStab1"/>
            </w:pPr>
            <w:r>
              <w:t>evtl. Limitation, die Studie wurde während der Schulschließungen durchgeführt, dies könnte die geringen Werte in Nicht-Haushaltkontakten erklären.</w:t>
            </w:r>
          </w:p>
          <w:p>
            <w:pPr>
              <w:pStyle w:val="KStab1"/>
            </w:pPr>
            <w:r>
              <w:t xml:space="preserve">Übertragung hängt vom </w:t>
            </w:r>
            <w:proofErr w:type="spellStart"/>
            <w:r>
              <w:t>setting</w:t>
            </w:r>
            <w:proofErr w:type="spellEnd"/>
            <w:r>
              <w:t xml:space="preserve"> ab</w:t>
            </w:r>
          </w:p>
          <w:p>
            <w:pPr>
              <w:pStyle w:val="KStab1"/>
              <w:numPr>
                <w:ilvl w:val="0"/>
                <w:numId w:val="0"/>
              </w:numPr>
              <w:ind w:left="113"/>
            </w:pPr>
            <w:proofErr w:type="spellStart"/>
            <w:r>
              <w:rPr>
                <w:i/>
              </w:rPr>
              <w:t>ToDo</w:t>
            </w:r>
            <w:proofErr w:type="spellEnd"/>
            <w:r>
              <w:rPr>
                <w:i/>
              </w:rPr>
              <w:t>: keine festgelegt</w:t>
            </w:r>
          </w:p>
        </w:tc>
        <w:tc>
          <w:tcPr>
            <w:tcW w:w="1492" w:type="dxa"/>
          </w:tcPr>
          <w:p/>
          <w:p>
            <w:r>
              <w:t>ZIG1/INIG</w:t>
            </w:r>
          </w:p>
          <w:p/>
          <w:p/>
          <w:p/>
          <w:p/>
          <w:p/>
          <w:p/>
          <w:p/>
          <w:p/>
          <w:p/>
          <w:p/>
          <w:p/>
          <w:p/>
          <w:p/>
          <w:p/>
          <w:p/>
          <w:p/>
          <w:p/>
          <w:p/>
          <w:p/>
          <w:p/>
          <w:p/>
          <w:p/>
          <w:p/>
          <w:p/>
          <w:p/>
          <w:p/>
          <w:p/>
          <w:p/>
          <w:p/>
          <w:p/>
          <w:p/>
          <w:p/>
          <w:p/>
          <w:p/>
          <w:p/>
          <w:p/>
          <w:p/>
          <w:p/>
          <w:p>
            <w:proofErr w:type="spellStart"/>
            <w:r>
              <w:t>Inst</w:t>
            </w:r>
            <w:proofErr w:type="spellEnd"/>
            <w:r>
              <w:t xml:space="preserve">.-leitung </w:t>
            </w:r>
          </w:p>
          <w:p/>
          <w:p>
            <w:r>
              <w:t>FG32</w:t>
            </w:r>
          </w:p>
          <w:p/>
          <w:p/>
          <w:p/>
          <w:p/>
          <w:p/>
          <w:p/>
          <w:p/>
          <w:p/>
          <w:p/>
          <w:p/>
          <w:p/>
          <w:p/>
          <w:p/>
          <w:p/>
          <w:p/>
          <w:p/>
          <w:p/>
          <w:p/>
          <w:p/>
          <w:p/>
          <w:p/>
          <w:p/>
          <w:p/>
          <w:p/>
          <w:p>
            <w:r>
              <w:t>FG32</w:t>
            </w:r>
          </w:p>
          <w:p/>
          <w:p/>
          <w:p/>
          <w:p/>
          <w:p/>
          <w:p/>
          <w:p/>
          <w:p/>
          <w:p/>
          <w:p/>
          <w:p/>
          <w:p/>
          <w:p/>
          <w:p/>
          <w:p/>
          <w:p/>
          <w:p/>
          <w:p/>
          <w:p/>
          <w:p/>
          <w:p/>
          <w:p/>
          <w:p>
            <w:r>
              <w:t xml:space="preserve">FG37/FG32/ </w:t>
            </w:r>
            <w:proofErr w:type="spellStart"/>
            <w:r>
              <w:t>Inst</w:t>
            </w:r>
            <w:proofErr w:type="spellEnd"/>
            <w:r>
              <w:t>.-leitung</w:t>
            </w:r>
          </w:p>
          <w:p/>
          <w:p/>
          <w:p/>
          <w:p/>
          <w:p/>
          <w:p>
            <w:r>
              <w:t>FG36/alle</w:t>
            </w:r>
          </w:p>
          <w:p/>
        </w:tc>
      </w:tr>
      <w:tr>
        <w:tc>
          <w:tcPr>
            <w:tcW w:w="684" w:type="dxa"/>
          </w:tcPr>
          <w:p>
            <w:pPr>
              <w:rPr>
                <w:b/>
              </w:rPr>
            </w:pPr>
          </w:p>
        </w:tc>
        <w:tc>
          <w:tcPr>
            <w:tcW w:w="6795" w:type="dxa"/>
          </w:tcPr>
          <w:p>
            <w:pPr>
              <w:rPr>
                <w:b/>
                <w:sz w:val="28"/>
              </w:rPr>
            </w:pPr>
          </w:p>
        </w:tc>
        <w:tc>
          <w:tcPr>
            <w:tcW w:w="1492" w:type="dxa"/>
          </w:tcPr>
          <w:p/>
        </w:tc>
      </w:tr>
      <w:tr>
        <w:tc>
          <w:tcPr>
            <w:tcW w:w="684" w:type="dxa"/>
          </w:tcPr>
          <w:p>
            <w:pPr>
              <w:rPr>
                <w:b/>
              </w:rPr>
            </w:pPr>
            <w:r>
              <w:rPr>
                <w:b/>
              </w:rPr>
              <w:lastRenderedPageBreak/>
              <w:t>2</w:t>
            </w:r>
          </w:p>
        </w:tc>
        <w:tc>
          <w:tcPr>
            <w:tcW w:w="6795" w:type="dxa"/>
          </w:tcPr>
          <w:p>
            <w:pPr>
              <w:rPr>
                <w:b/>
                <w:sz w:val="28"/>
              </w:rPr>
            </w:pPr>
            <w:r>
              <w:rPr>
                <w:b/>
                <w:sz w:val="28"/>
              </w:rPr>
              <w:t>Internationales</w:t>
            </w:r>
            <w:r>
              <w:rPr>
                <w:b/>
                <w:color w:val="FF0000"/>
              </w:rPr>
              <w:t xml:space="preserve"> (nur freitags)</w:t>
            </w:r>
          </w:p>
          <w:p>
            <w:pPr>
              <w:pStyle w:val="KStab1"/>
              <w:numPr>
                <w:ilvl w:val="0"/>
                <w:numId w:val="0"/>
              </w:numPr>
              <w:ind w:left="473" w:hanging="360"/>
              <w:rPr>
                <w:b/>
              </w:rPr>
            </w:pPr>
          </w:p>
        </w:tc>
        <w:tc>
          <w:tcPr>
            <w:tcW w:w="1492" w:type="dxa"/>
          </w:tcPr>
          <w:p/>
          <w:p/>
        </w:tc>
      </w:tr>
      <w:tr>
        <w:tc>
          <w:tcPr>
            <w:tcW w:w="684" w:type="dxa"/>
          </w:tcPr>
          <w:p>
            <w:pPr>
              <w:rPr>
                <w:b/>
              </w:rPr>
            </w:pPr>
            <w:r>
              <w:rPr>
                <w:b/>
              </w:rPr>
              <w:t>3</w:t>
            </w:r>
          </w:p>
        </w:tc>
        <w:tc>
          <w:tcPr>
            <w:tcW w:w="6795" w:type="dxa"/>
          </w:tcPr>
          <w:p>
            <w:pPr>
              <w:rPr>
                <w:b/>
                <w:sz w:val="28"/>
              </w:rPr>
            </w:pPr>
            <w:r>
              <w:rPr>
                <w:b/>
                <w:sz w:val="28"/>
              </w:rPr>
              <w:t xml:space="preserve">Update digitale </w:t>
            </w:r>
            <w:proofErr w:type="gramStart"/>
            <w:r>
              <w:rPr>
                <w:b/>
                <w:sz w:val="28"/>
              </w:rPr>
              <w:t xml:space="preserve">Projekte </w:t>
            </w:r>
            <w:r>
              <w:rPr>
                <w:b/>
                <w:color w:val="FF0000"/>
              </w:rPr>
              <w:t xml:space="preserve"> (</w:t>
            </w:r>
            <w:proofErr w:type="gramEnd"/>
            <w:r>
              <w:rPr>
                <w:b/>
                <w:color w:val="FF0000"/>
              </w:rPr>
              <w:t>nur montags)</w:t>
            </w:r>
          </w:p>
          <w:p>
            <w:pPr>
              <w:pStyle w:val="KStab1"/>
            </w:pPr>
            <w:r>
              <w:t>Corona-Warn-App (CWA) Updates: Begegnung mit einem geringen Risiko besser formuliert, in türkischer Sprache zur Verfügung, aber rechtl. Probleme, da diese im türkischen App-Store als nicht verfügbar angezeigt wird.</w:t>
            </w:r>
          </w:p>
          <w:p>
            <w:pPr>
              <w:pStyle w:val="KStab1"/>
            </w:pPr>
            <w:r>
              <w:t xml:space="preserve">Wenn beim Testen der QR-Codes angegeben, aber vom Labor keine Rückmeldung erfolgt. Dies liegt daran, dass nur 5% der Labore in </w:t>
            </w:r>
            <w:proofErr w:type="spellStart"/>
            <w:r>
              <w:t>Dtl</w:t>
            </w:r>
            <w:proofErr w:type="spellEnd"/>
            <w:r>
              <w:t>. den QR zur Identifizierung nutzen können.</w:t>
            </w:r>
          </w:p>
          <w:p>
            <w:pPr>
              <w:pStyle w:val="KStab1"/>
            </w:pPr>
            <w:r>
              <w:t>Der längerfristige Plan ist es, dass die AG mit weiteren dafür eingestellten Mitarbeitern unterstützt wird. Die Gelder werden bis Mitte August als Haushaltsanforderung adressiert.</w:t>
            </w:r>
          </w:p>
          <w:p>
            <w:pPr>
              <w:pStyle w:val="KStab1"/>
            </w:pPr>
            <w:r>
              <w:t xml:space="preserve">Die Gründe, dass so wenige Labore einsatzfähig sind, sind sehr vielseitig. Von Seiten des BMG werden diese systematisch aufgearbeitet. </w:t>
            </w:r>
          </w:p>
        </w:tc>
        <w:tc>
          <w:tcPr>
            <w:tcW w:w="1492" w:type="dxa"/>
          </w:tcPr>
          <w:p>
            <w:r>
              <w:t>Sandra Beermann</w:t>
            </w:r>
          </w:p>
        </w:tc>
      </w:tr>
      <w:tr>
        <w:tc>
          <w:tcPr>
            <w:tcW w:w="684" w:type="dxa"/>
          </w:tcPr>
          <w:p>
            <w:pPr>
              <w:rPr>
                <w:b/>
              </w:rPr>
            </w:pPr>
            <w:r>
              <w:rPr>
                <w:b/>
              </w:rPr>
              <w:t>4</w:t>
            </w:r>
          </w:p>
        </w:tc>
        <w:tc>
          <w:tcPr>
            <w:tcW w:w="6795" w:type="dxa"/>
          </w:tcPr>
          <w:p>
            <w:pPr>
              <w:rPr>
                <w:b/>
                <w:sz w:val="28"/>
              </w:rPr>
            </w:pPr>
            <w:r>
              <w:rPr>
                <w:b/>
                <w:sz w:val="28"/>
              </w:rPr>
              <w:t>Aktuelle Risikobewertung</w:t>
            </w:r>
          </w:p>
          <w:p>
            <w:r>
              <w:t>Nicht besprochen</w:t>
            </w:r>
          </w:p>
          <w:p>
            <w:pPr>
              <w:ind w:left="113"/>
            </w:pPr>
          </w:p>
        </w:tc>
        <w:tc>
          <w:tcPr>
            <w:tcW w:w="1492" w:type="dxa"/>
          </w:tcPr>
          <w:p/>
          <w:p>
            <w:proofErr w:type="spellStart"/>
            <w:r>
              <w:t>Inst</w:t>
            </w:r>
            <w:proofErr w:type="spellEnd"/>
            <w:r>
              <w:t>.-leitung/ FG32</w:t>
            </w:r>
          </w:p>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b/>
              </w:rPr>
            </w:pPr>
            <w:r>
              <w:rPr>
                <w:b/>
              </w:rPr>
              <w:t>BZgA</w:t>
            </w:r>
          </w:p>
          <w:p>
            <w:pPr>
              <w:pStyle w:val="KStab1"/>
            </w:pPr>
            <w:r>
              <w:t>Alters- und geschlechtsspezifische Unterschiede in der Einhaltung der AHA-Regeln. Diskrepanzen bei Bedrohungswahrnehmung und Einhaltung der AHA. Diese Ergebnisse werden Ende der Woche vorliegen.</w:t>
            </w:r>
          </w:p>
          <w:p>
            <w:pPr>
              <w:pStyle w:val="KStab1"/>
            </w:pPr>
            <w:r>
              <w:t>Verschwörungstheorien nehmen in der Telefonberatung in allen Altersgruppen zu, viele pathologische Fälle, denen psychotherapeutische Behandlung empfohlen wurde.</w:t>
            </w:r>
          </w:p>
          <w:p>
            <w:pPr>
              <w:pStyle w:val="KStab1"/>
            </w:pPr>
            <w:r>
              <w:t xml:space="preserve">Sobald die Datenlage zur Legitimation weiterer Kampagnen Ende der Woche vorliegt, wird gezielt für das Tragen von Masken geworben werden. Zusätzlich zu der jetzigen Kampagne mit den AHA Regeln. </w:t>
            </w:r>
          </w:p>
          <w:p>
            <w:pPr>
              <w:pStyle w:val="KStab1"/>
            </w:pPr>
            <w:r>
              <w:t>Herausforderung stringent zu kommunizieren, wenn einige BL ihre Maßnahmen stark gelockert haben und die BL nach den Ferien normalen Schulbetrieb erwarten. Am besten mit regionaler Anpassung je nach dem wie stark die Regionen betroffen sind.</w:t>
            </w:r>
          </w:p>
          <w:p>
            <w:r>
              <w:rPr>
                <w:b/>
              </w:rPr>
              <w:t>Presse</w:t>
            </w:r>
          </w:p>
          <w:p>
            <w:pPr>
              <w:pStyle w:val="KStab1"/>
            </w:pPr>
            <w:r>
              <w:t>Europa-Karte wird nicht mehr übers RKI Website veröffentlicht. Dank dem Einsatz von Fr. Hanefeld.</w:t>
            </w:r>
          </w:p>
          <w:p>
            <w:pPr>
              <w:pStyle w:val="KStab1"/>
            </w:pPr>
            <w:r>
              <w:t>Ohne die Europa-Karte besteht weniger Arbeit für das Web-Team als auch weniger Bürgeranfragen vermutet.</w:t>
            </w:r>
          </w:p>
          <w:p>
            <w:pPr>
              <w:pStyle w:val="KStab1"/>
            </w:pPr>
            <w:r>
              <w:lastRenderedPageBreak/>
              <w:t>Bitte zur Wiedereinführung folgenden Satzes im Situationsbericht: „Im RKI übermittelten Fälle weiter rückläufig (…)“. Der Satz ist eine hilfreiche Einordnung der Lage. Dieser wird wieder eingefügt werden.</w:t>
            </w:r>
          </w:p>
          <w:p>
            <w:pPr>
              <w:pStyle w:val="KStab1"/>
              <w:numPr>
                <w:ilvl w:val="0"/>
                <w:numId w:val="0"/>
              </w:numPr>
              <w:ind w:left="113"/>
            </w:pPr>
          </w:p>
          <w:p>
            <w:pPr>
              <w:pStyle w:val="KStab1"/>
              <w:numPr>
                <w:ilvl w:val="0"/>
                <w:numId w:val="0"/>
              </w:numPr>
              <w:ind w:left="113"/>
              <w:rPr>
                <w:i/>
              </w:rPr>
            </w:pPr>
            <w:proofErr w:type="spellStart"/>
            <w:r>
              <w:rPr>
                <w:i/>
              </w:rPr>
              <w:t>ToDo</w:t>
            </w:r>
            <w:proofErr w:type="spellEnd"/>
            <w:r>
              <w:rPr>
                <w:i/>
              </w:rPr>
              <w:t>:</w:t>
            </w:r>
            <w:r>
              <w:t xml:space="preserve"> </w:t>
            </w:r>
            <w:r>
              <w:rPr>
                <w:i/>
              </w:rPr>
              <w:t>Lagezentrum führt den oben genannten Satz zur Einordnung der Lage wieder im Situationsbericht ein.</w:t>
            </w:r>
          </w:p>
          <w:p>
            <w:pPr>
              <w:pStyle w:val="KStab1"/>
              <w:numPr>
                <w:ilvl w:val="0"/>
                <w:numId w:val="0"/>
              </w:numPr>
              <w:ind w:left="113"/>
            </w:pPr>
            <w:r>
              <w:t xml:space="preserve"> </w:t>
            </w:r>
          </w:p>
        </w:tc>
        <w:tc>
          <w:tcPr>
            <w:tcW w:w="1492" w:type="dxa"/>
          </w:tcPr>
          <w:p/>
          <w:p/>
          <w:p>
            <w:r>
              <w:t>BZgA</w:t>
            </w:r>
          </w:p>
          <w:p/>
          <w:p/>
          <w:p/>
          <w:p/>
          <w:p>
            <w:r>
              <w:t>Abt.3/FG36/Institutsleitung/Presse</w:t>
            </w:r>
          </w:p>
          <w:p/>
          <w:p/>
          <w:p/>
          <w:p/>
          <w:p/>
          <w:p/>
          <w:p/>
          <w:p/>
          <w:p/>
          <w:p>
            <w:r>
              <w:t>Presse (Wenchel)</w:t>
            </w:r>
          </w:p>
        </w:tc>
      </w:tr>
      <w:tr>
        <w:tc>
          <w:tcPr>
            <w:tcW w:w="684" w:type="dxa"/>
          </w:tcPr>
          <w:p>
            <w:pPr>
              <w:rPr>
                <w:b/>
              </w:rPr>
            </w:pPr>
            <w:r>
              <w:rPr>
                <w:b/>
              </w:rPr>
              <w:t>6</w:t>
            </w:r>
          </w:p>
        </w:tc>
        <w:tc>
          <w:tcPr>
            <w:tcW w:w="6795" w:type="dxa"/>
          </w:tcPr>
          <w:p>
            <w:pPr>
              <w:rPr>
                <w:b/>
                <w:sz w:val="28"/>
              </w:rPr>
            </w:pPr>
            <w:r>
              <w:rPr>
                <w:b/>
                <w:sz w:val="28"/>
              </w:rPr>
              <w:t>Neues aus dem BMG</w:t>
            </w:r>
          </w:p>
          <w:p>
            <w:pPr>
              <w:pStyle w:val="KStab1"/>
            </w:pPr>
            <w:r>
              <w:t xml:space="preserve">Keine weiteren Themen. </w:t>
            </w:r>
          </w:p>
          <w:p>
            <w:pPr>
              <w:pStyle w:val="KStab1"/>
            </w:pPr>
            <w:r>
              <w:t xml:space="preserve">Im BMG waren sogenannte Testregionen Thema, dessen Definition wird noch nachgeliefert. </w:t>
            </w:r>
          </w:p>
          <w:p>
            <w:pPr>
              <w:pStyle w:val="KStab2"/>
              <w:ind w:left="876" w:hanging="426"/>
            </w:pPr>
            <w:r>
              <w:t>Durch bisher fehlende Kontrollen der Tests bzw. Quarantäne bei Einreise aus Risikogebieten, werden Einreisebeschränkungen handlicher und besser umsetzbarer diskutiert.</w:t>
            </w:r>
          </w:p>
          <w:p>
            <w:pPr>
              <w:pStyle w:val="KStab2"/>
              <w:ind w:left="876" w:hanging="426"/>
            </w:pPr>
            <w:r>
              <w:t xml:space="preserve">Seitens des BMGs läuft die Diskussion in Richtung Quarantäne und Freitestung als Maßnahmen bei Einreise aus Risikogebieten. </w:t>
            </w:r>
          </w:p>
          <w:p>
            <w:pPr>
              <w:pStyle w:val="KStab2"/>
              <w:ind w:left="876" w:hanging="426"/>
            </w:pPr>
            <w:r>
              <w:t>RKI Position: Freitesten gibt es nicht. Besser die Infektionen im Land kontrollieren als Ressourcen mit Kontrollen bei Einreise zu erschöpfen.</w:t>
            </w:r>
          </w:p>
          <w:p>
            <w:pPr>
              <w:pStyle w:val="KStab2"/>
              <w:ind w:left="876" w:hanging="426"/>
            </w:pPr>
            <w:r>
              <w:t>Es wird angeregt diese Position klar als Papier zu formulieren, damit man Teil der Lösung bleibt.</w:t>
            </w:r>
          </w:p>
          <w:p>
            <w:pPr>
              <w:pStyle w:val="KStab1"/>
            </w:pPr>
            <w:proofErr w:type="spellStart"/>
            <w:r>
              <w:t>CdS</w:t>
            </w:r>
            <w:proofErr w:type="spellEnd"/>
            <w:r>
              <w:t xml:space="preserve"> Beschlüsse: Diese differenzieren, ob Reiserückkehrer aus Inland oder Ausland zurückkommt. Inland erfordert keine Quarantäne! Bremen und Thüringen haben sich von den Beschlüssen distanziert. Gesundheitsminister will kurzfristige Teststrategie für Reiserückkehrer anbieten. Wir sollten hier mitgestalten.</w:t>
            </w:r>
          </w:p>
          <w:p>
            <w:pPr>
              <w:pStyle w:val="KStab1"/>
            </w:pPr>
            <w:r>
              <w:t>Erlass zur Teststrategie, dies sollte konstruktiv eine Stellungnahme des RKI werden. Sobald Reiserückkehrer Symptome haben, sollten diese zum Arzt. Denn die alleinige Aussage, ob selbstabgenommenen Tests helfen, geht in die falsche Richtung.</w:t>
            </w:r>
          </w:p>
          <w:p>
            <w:pPr>
              <w:pStyle w:val="KStab1"/>
              <w:numPr>
                <w:ilvl w:val="0"/>
                <w:numId w:val="0"/>
              </w:numPr>
              <w:ind w:left="113"/>
              <w:rPr>
                <w:i/>
              </w:rPr>
            </w:pPr>
            <w:proofErr w:type="spellStart"/>
            <w:r>
              <w:rPr>
                <w:i/>
              </w:rPr>
              <w:t>ToDo</w:t>
            </w:r>
            <w:proofErr w:type="spellEnd"/>
            <w:r>
              <w:rPr>
                <w:i/>
              </w:rPr>
              <w:t xml:space="preserve">: </w:t>
            </w:r>
          </w:p>
          <w:p>
            <w:pPr>
              <w:pStyle w:val="KStab1"/>
              <w:numPr>
                <w:ilvl w:val="0"/>
                <w:numId w:val="0"/>
              </w:numPr>
              <w:ind w:left="113"/>
              <w:rPr>
                <w:i/>
              </w:rPr>
            </w:pPr>
            <w:r>
              <w:rPr>
                <w:i/>
              </w:rPr>
              <w:t>-Klärung des Begriffs Testregion</w:t>
            </w:r>
          </w:p>
          <w:p>
            <w:pPr>
              <w:pStyle w:val="KStab1"/>
              <w:numPr>
                <w:ilvl w:val="0"/>
                <w:numId w:val="0"/>
              </w:numPr>
              <w:ind w:left="473" w:hanging="360"/>
              <w:rPr>
                <w:i/>
              </w:rPr>
            </w:pPr>
            <w:r>
              <w:rPr>
                <w:i/>
              </w:rPr>
              <w:t>-Hr. Haas und Fr. Mankertz schreiben Erlassantwort im Sinne dieser Diskussion.</w:t>
            </w:r>
          </w:p>
          <w:p>
            <w:pPr>
              <w:ind w:left="113"/>
            </w:pPr>
          </w:p>
        </w:tc>
        <w:tc>
          <w:tcPr>
            <w:tcW w:w="1492" w:type="dxa"/>
          </w:tcPr>
          <w:p/>
          <w:p>
            <w:r>
              <w:t>BMG Liaison/ alle</w:t>
            </w:r>
          </w:p>
          <w:p/>
          <w:p/>
        </w:tc>
      </w:tr>
      <w:tr>
        <w:tc>
          <w:tcPr>
            <w:tcW w:w="684" w:type="dxa"/>
          </w:tcPr>
          <w:p>
            <w:pPr>
              <w:rPr>
                <w:b/>
              </w:rPr>
            </w:pPr>
            <w:r>
              <w:rPr>
                <w:b/>
              </w:rPr>
              <w:t>7</w:t>
            </w:r>
          </w:p>
        </w:tc>
        <w:tc>
          <w:tcPr>
            <w:tcW w:w="6795" w:type="dxa"/>
          </w:tcPr>
          <w:p>
            <w:pPr>
              <w:rPr>
                <w:b/>
                <w:sz w:val="28"/>
              </w:rPr>
            </w:pPr>
            <w:r>
              <w:rPr>
                <w:b/>
                <w:sz w:val="28"/>
              </w:rPr>
              <w:t>RKI-Strategie Fragen</w:t>
            </w:r>
          </w:p>
          <w:p>
            <w:pPr>
              <w:pStyle w:val="Listenabsatz"/>
              <w:numPr>
                <w:ilvl w:val="0"/>
                <w:numId w:val="10"/>
              </w:numPr>
              <w:rPr>
                <w:b/>
              </w:rPr>
            </w:pPr>
            <w:r>
              <w:rPr>
                <w:b/>
              </w:rPr>
              <w:t>Allgemein</w:t>
            </w:r>
          </w:p>
          <w:p>
            <w:pPr>
              <w:pStyle w:val="Listenabsatz"/>
              <w:numPr>
                <w:ilvl w:val="0"/>
                <w:numId w:val="10"/>
              </w:numPr>
              <w:spacing w:line="240" w:lineRule="auto"/>
            </w:pPr>
            <w:r>
              <w:t xml:space="preserve">Testung von Reiserückkehrern: Testung durch Privatfirmen an Flughäfen. </w:t>
            </w:r>
          </w:p>
          <w:p>
            <w:pPr>
              <w:pStyle w:val="KStab2"/>
              <w:ind w:left="1159" w:hanging="283"/>
            </w:pPr>
            <w:r>
              <w:lastRenderedPageBreak/>
              <w:t>In der Praxis deutliche Abweichung von RKI-Empfehlungen</w:t>
            </w:r>
          </w:p>
          <w:p>
            <w:pPr>
              <w:pStyle w:val="KStab2"/>
              <w:ind w:left="1159" w:hanging="283"/>
            </w:pPr>
            <w:r>
              <w:t xml:space="preserve">Ziel: </w:t>
            </w:r>
            <w:proofErr w:type="gramStart"/>
            <w:r>
              <w:t>Noch effektiver Kommunizieren</w:t>
            </w:r>
            <w:proofErr w:type="gramEnd"/>
            <w:r>
              <w:t>, damit Umsetzung in der Praxis klappt.</w:t>
            </w:r>
          </w:p>
          <w:p>
            <w:pPr>
              <w:pStyle w:val="Style1"/>
              <w:numPr>
                <w:ilvl w:val="0"/>
                <w:numId w:val="10"/>
              </w:numPr>
              <w:spacing w:line="240" w:lineRule="auto"/>
            </w:pPr>
            <w:r>
              <w:t>Testschema für Reiserückkehrer</w:t>
            </w:r>
          </w:p>
          <w:p>
            <w:pPr>
              <w:pStyle w:val="Style1"/>
              <w:numPr>
                <w:ilvl w:val="0"/>
                <w:numId w:val="10"/>
              </w:numPr>
              <w:spacing w:line="240" w:lineRule="auto"/>
            </w:pPr>
            <w:r>
              <w:t xml:space="preserve">unsere Haltung zu privaten </w:t>
            </w:r>
            <w:proofErr w:type="spellStart"/>
            <w:r>
              <w:t>Selbstabstrichtests</w:t>
            </w:r>
            <w:proofErr w:type="spellEnd"/>
          </w:p>
          <w:p>
            <w:pPr>
              <w:pStyle w:val="Style1"/>
              <w:numPr>
                <w:ilvl w:val="0"/>
                <w:numId w:val="10"/>
              </w:numPr>
              <w:spacing w:line="240" w:lineRule="auto"/>
            </w:pPr>
            <w:r>
              <w:t>inwieweit wir dies in den Empfehlungen ansprechen</w:t>
            </w:r>
          </w:p>
          <w:p>
            <w:pPr>
              <w:pStyle w:val="Style1"/>
              <w:numPr>
                <w:ilvl w:val="0"/>
                <w:numId w:val="0"/>
              </w:numPr>
              <w:spacing w:line="240" w:lineRule="auto"/>
              <w:ind w:left="1080" w:hanging="360"/>
            </w:pPr>
          </w:p>
          <w:p>
            <w:pPr>
              <w:pStyle w:val="KStab1"/>
            </w:pPr>
            <w:r>
              <w:t xml:space="preserve">Testung des Abwassers in Gemeinschaftsunterkünften (GU) auf SARS-CoV-2: </w:t>
            </w:r>
          </w:p>
          <w:p>
            <w:pPr>
              <w:pStyle w:val="KStab2"/>
              <w:ind w:left="1159" w:hanging="283"/>
            </w:pPr>
            <w:r>
              <w:t xml:space="preserve">Island und Finnland haben Testungen des Abwassers der GU auf SARS-CoV-2 durchgeführt. Idee findet Zustimmung für </w:t>
            </w:r>
            <w:proofErr w:type="spellStart"/>
            <w:r>
              <w:t>Dtl</w:t>
            </w:r>
            <w:proofErr w:type="spellEnd"/>
            <w:r>
              <w:t xml:space="preserve">. Nachweismethode sensitiv genug, aber ob es Zugewinn bei Früherkennung liefert ist zweifelhaft. </w:t>
            </w:r>
          </w:p>
          <w:p>
            <w:pPr>
              <w:pStyle w:val="KStab2"/>
              <w:ind w:left="1159" w:hanging="283"/>
            </w:pPr>
            <w:r>
              <w:t>Fr. Böttcher (Abt.1) und BUA große Expertise</w:t>
            </w:r>
          </w:p>
          <w:p>
            <w:pPr>
              <w:pStyle w:val="KStab2"/>
              <w:numPr>
                <w:ilvl w:val="0"/>
                <w:numId w:val="0"/>
              </w:numPr>
            </w:pPr>
          </w:p>
          <w:p>
            <w:pPr>
              <w:pStyle w:val="KStab2"/>
              <w:numPr>
                <w:ilvl w:val="0"/>
                <w:numId w:val="0"/>
              </w:numPr>
              <w:ind w:left="876" w:hanging="709"/>
              <w:rPr>
                <w:i/>
              </w:rPr>
            </w:pPr>
            <w:proofErr w:type="spellStart"/>
            <w:r>
              <w:rPr>
                <w:i/>
              </w:rPr>
              <w:t>ToDo</w:t>
            </w:r>
            <w:proofErr w:type="spellEnd"/>
            <w:r>
              <w:rPr>
                <w:i/>
              </w:rPr>
              <w:t>: klare Stellung/Position dazu erarbeiten; Herr Haas hatte kleine Anfrage zu vergleichbarem Thema.</w:t>
            </w:r>
          </w:p>
          <w:p>
            <w:pPr>
              <w:pStyle w:val="Listenabsatz"/>
              <w:numPr>
                <w:ilvl w:val="0"/>
                <w:numId w:val="10"/>
              </w:numPr>
              <w:spacing w:after="120"/>
              <w:ind w:left="450" w:hanging="283"/>
              <w:rPr>
                <w:i/>
              </w:rPr>
            </w:pPr>
            <w:r>
              <w:rPr>
                <w:b/>
              </w:rPr>
              <w:t>RKI-intern</w:t>
            </w:r>
          </w:p>
          <w:p>
            <w:r>
              <w:t>Nicht besprochen</w:t>
            </w:r>
          </w:p>
          <w:p/>
        </w:tc>
        <w:tc>
          <w:tcPr>
            <w:tcW w:w="1492" w:type="dxa"/>
          </w:tcPr>
          <w:p/>
          <w:p/>
          <w:p>
            <w:r>
              <w:t>FG32</w:t>
            </w:r>
          </w:p>
          <w:p/>
          <w:p>
            <w:r>
              <w:lastRenderedPageBreak/>
              <w:t>FG36/alle</w:t>
            </w:r>
          </w:p>
          <w:p/>
          <w:p/>
          <w:p/>
          <w:p/>
          <w:p/>
          <w:p/>
          <w:p/>
          <w:p/>
          <w:p/>
          <w:p/>
          <w:p>
            <w:r>
              <w:t>BW/Presse (Glasmacher)/</w:t>
            </w:r>
            <w:proofErr w:type="spellStart"/>
            <w:r>
              <w:t>Inst</w:t>
            </w:r>
            <w:proofErr w:type="spellEnd"/>
            <w:r>
              <w:t>.-leitung/Abt.3 (Hamouda)</w:t>
            </w:r>
          </w:p>
          <w:p/>
          <w:p/>
          <w:p/>
          <w:p/>
        </w:tc>
      </w:tr>
      <w:tr>
        <w:tc>
          <w:tcPr>
            <w:tcW w:w="684" w:type="dxa"/>
          </w:tcPr>
          <w:p>
            <w:pPr>
              <w:rPr>
                <w:b/>
              </w:rPr>
            </w:pPr>
            <w:r>
              <w:rPr>
                <w:b/>
              </w:rPr>
              <w:lastRenderedPageBreak/>
              <w:t>8</w:t>
            </w:r>
          </w:p>
        </w:tc>
        <w:tc>
          <w:tcPr>
            <w:tcW w:w="6795" w:type="dxa"/>
          </w:tcPr>
          <w:p>
            <w:pPr>
              <w:rPr>
                <w:b/>
                <w:sz w:val="28"/>
              </w:rPr>
            </w:pPr>
            <w:r>
              <w:rPr>
                <w:b/>
                <w:sz w:val="28"/>
              </w:rPr>
              <w:t>Dokumente</w:t>
            </w:r>
          </w:p>
          <w:p>
            <w:pPr>
              <w:pStyle w:val="KStab2"/>
              <w:numPr>
                <w:ilvl w:val="0"/>
                <w:numId w:val="0"/>
              </w:numPr>
            </w:pPr>
            <w:r>
              <w:t>Nicht besprochen</w:t>
            </w:r>
          </w:p>
        </w:tc>
        <w:tc>
          <w:tcPr>
            <w:tcW w:w="1492" w:type="dxa"/>
          </w:tcPr>
          <w:p/>
          <w:p>
            <w:r>
              <w:t>ZIG/ FG34</w:t>
            </w:r>
          </w:p>
          <w:p/>
        </w:tc>
      </w:tr>
      <w:tr>
        <w:tc>
          <w:tcPr>
            <w:tcW w:w="684" w:type="dxa"/>
          </w:tcPr>
          <w:p>
            <w:pPr>
              <w:rPr>
                <w:b/>
              </w:rPr>
            </w:pPr>
            <w:r>
              <w:rPr>
                <w:b/>
              </w:rPr>
              <w:t>9</w:t>
            </w:r>
          </w:p>
        </w:tc>
        <w:tc>
          <w:tcPr>
            <w:tcW w:w="6795" w:type="dxa"/>
          </w:tcPr>
          <w:p>
            <w:pPr>
              <w:rPr>
                <w:b/>
                <w:sz w:val="28"/>
              </w:rPr>
            </w:pPr>
            <w:r>
              <w:rPr>
                <w:b/>
                <w:sz w:val="28"/>
              </w:rPr>
              <w:t>Labordiagnostik</w:t>
            </w:r>
          </w:p>
          <w:p>
            <w:pPr>
              <w:pStyle w:val="KStab1"/>
              <w:numPr>
                <w:ilvl w:val="0"/>
                <w:numId w:val="0"/>
              </w:numPr>
              <w:ind w:left="25" w:hanging="25"/>
            </w:pPr>
            <w:r>
              <w:t>Letzte Woche 490 Proben untersucht. Die pos. Rate liegt bei 8,9%. Es ist zurzeit relativ ruhig.</w:t>
            </w:r>
          </w:p>
          <w:p>
            <w:pPr>
              <w:pStyle w:val="KStab1"/>
              <w:numPr>
                <w:ilvl w:val="0"/>
                <w:numId w:val="0"/>
              </w:numPr>
              <w:ind w:left="25" w:hanging="25"/>
              <w:rPr>
                <w:i/>
              </w:rPr>
            </w:pPr>
            <w:proofErr w:type="spellStart"/>
            <w:r>
              <w:rPr>
                <w:i/>
              </w:rPr>
              <w:t>ToDo</w:t>
            </w:r>
            <w:proofErr w:type="spellEnd"/>
            <w:r>
              <w:rPr>
                <w:i/>
              </w:rPr>
              <w:t>: keine</w:t>
            </w:r>
          </w:p>
        </w:tc>
        <w:tc>
          <w:tcPr>
            <w:tcW w:w="1492" w:type="dxa"/>
          </w:tcPr>
          <w:p/>
          <w:p>
            <w:r>
              <w:t>ZBS1</w:t>
            </w:r>
          </w:p>
          <w:p/>
        </w:tc>
      </w:tr>
      <w:tr>
        <w:tc>
          <w:tcPr>
            <w:tcW w:w="684" w:type="dxa"/>
          </w:tcPr>
          <w:p>
            <w:pPr>
              <w:rPr>
                <w:b/>
              </w:rPr>
            </w:pPr>
            <w:r>
              <w:rPr>
                <w:b/>
              </w:rPr>
              <w:t>10</w:t>
            </w:r>
          </w:p>
        </w:tc>
        <w:tc>
          <w:tcPr>
            <w:tcW w:w="6795" w:type="dxa"/>
          </w:tcPr>
          <w:p>
            <w:pPr>
              <w:rPr>
                <w:b/>
                <w:sz w:val="28"/>
              </w:rPr>
            </w:pPr>
            <w:r>
              <w:rPr>
                <w:b/>
                <w:sz w:val="28"/>
              </w:rPr>
              <w:t>Klinisches Management/Entlassungsmanagement</w:t>
            </w:r>
          </w:p>
          <w:p>
            <w:pPr>
              <w:pStyle w:val="KStab2"/>
              <w:numPr>
                <w:ilvl w:val="0"/>
                <w:numId w:val="0"/>
              </w:numPr>
            </w:pPr>
            <w:r>
              <w:t>Nicht besprochen</w:t>
            </w:r>
          </w:p>
          <w:p>
            <w:pPr>
              <w:pStyle w:val="KStab2"/>
              <w:numPr>
                <w:ilvl w:val="0"/>
                <w:numId w:val="0"/>
              </w:numPr>
              <w:rPr>
                <w:i/>
              </w:rPr>
            </w:pPr>
            <w:proofErr w:type="spellStart"/>
            <w:r>
              <w:rPr>
                <w:i/>
              </w:rPr>
              <w:t>ToDo</w:t>
            </w:r>
            <w:proofErr w:type="spellEnd"/>
            <w:r>
              <w:rPr>
                <w:i/>
              </w:rPr>
              <w:t>: keine</w:t>
            </w:r>
          </w:p>
        </w:tc>
        <w:tc>
          <w:tcPr>
            <w:tcW w:w="1492" w:type="dxa"/>
          </w:tcPr>
          <w:p/>
          <w:p>
            <w:r>
              <w:t>IBBS</w:t>
            </w:r>
          </w:p>
          <w:p/>
        </w:tc>
      </w:tr>
      <w:tr>
        <w:tc>
          <w:tcPr>
            <w:tcW w:w="684" w:type="dxa"/>
          </w:tcPr>
          <w:p>
            <w:pPr>
              <w:rPr>
                <w:b/>
              </w:rPr>
            </w:pPr>
            <w:r>
              <w:rPr>
                <w:b/>
              </w:rPr>
              <w:t>11</w:t>
            </w:r>
          </w:p>
        </w:tc>
        <w:tc>
          <w:tcPr>
            <w:tcW w:w="6795" w:type="dxa"/>
          </w:tcPr>
          <w:p>
            <w:pPr>
              <w:rPr>
                <w:b/>
                <w:sz w:val="28"/>
              </w:rPr>
            </w:pPr>
            <w:r>
              <w:rPr>
                <w:b/>
                <w:sz w:val="28"/>
              </w:rPr>
              <w:t>Maßnahmen zum Infektionsschutz</w:t>
            </w:r>
          </w:p>
          <w:p>
            <w:pPr>
              <w:pStyle w:val="KStab1"/>
            </w:pPr>
            <w:r>
              <w:t>Kontakt mit dem finnischen PH-Institut aufgenommen. Erhalten demnächst Dokumente zur Rolle der Kinder und den Schulen beim Re-</w:t>
            </w:r>
            <w:proofErr w:type="spellStart"/>
            <w:r>
              <w:t>opening</w:t>
            </w:r>
            <w:proofErr w:type="spellEnd"/>
            <w:r>
              <w:t xml:space="preserve"> der Schulen im Mai. Ergebnis der finnischen Untersuchung war, dass die Schulkinder eine nachgeordnete Rolle in der Transmission haben. Publikation dazu steht bevor. </w:t>
            </w:r>
          </w:p>
          <w:p>
            <w:pPr>
              <w:pStyle w:val="KStab1"/>
            </w:pPr>
            <w:r>
              <w:t xml:space="preserve">Austausch diese Woche mit den israelischen Kollegen zu Schulöffnungen. Ute stellt Kontakt zu finnischen Kollegen her. </w:t>
            </w:r>
          </w:p>
        </w:tc>
        <w:tc>
          <w:tcPr>
            <w:tcW w:w="1492" w:type="dxa"/>
          </w:tcPr>
          <w:p/>
          <w:p>
            <w:r>
              <w:t>FG32</w:t>
            </w:r>
          </w:p>
          <w:p/>
          <w:p/>
          <w:p/>
          <w:p>
            <w:r>
              <w:t>FG36</w:t>
            </w:r>
          </w:p>
          <w:p/>
        </w:tc>
      </w:tr>
      <w:tr>
        <w:tc>
          <w:tcPr>
            <w:tcW w:w="684" w:type="dxa"/>
          </w:tcPr>
          <w:p>
            <w:pPr>
              <w:rPr>
                <w:b/>
              </w:rPr>
            </w:pPr>
            <w:r>
              <w:rPr>
                <w:b/>
              </w:rPr>
              <w:t>12</w:t>
            </w:r>
          </w:p>
        </w:tc>
        <w:tc>
          <w:tcPr>
            <w:tcW w:w="6795" w:type="dxa"/>
          </w:tcPr>
          <w:p>
            <w:pPr>
              <w:rPr>
                <w:b/>
                <w:sz w:val="28"/>
              </w:rPr>
            </w:pPr>
            <w:r>
              <w:rPr>
                <w:b/>
                <w:sz w:val="28"/>
              </w:rPr>
              <w:t>Surveillance</w:t>
            </w:r>
          </w:p>
          <w:p>
            <w:pPr>
              <w:pStyle w:val="KStab1"/>
            </w:pPr>
            <w:r>
              <w:lastRenderedPageBreak/>
              <w:t xml:space="preserve">Update DEMIS Roll-out: </w:t>
            </w:r>
          </w:p>
          <w:p>
            <w:pPr>
              <w:pStyle w:val="KStab2"/>
            </w:pPr>
            <w:r>
              <w:t>Vielen GÄ liegen Kontakte vor, 160 Zertifikate vor noch mehr haben die Software mittlerweile</w:t>
            </w:r>
          </w:p>
          <w:p>
            <w:pPr>
              <w:pStyle w:val="KStab2"/>
            </w:pPr>
            <w:r>
              <w:t>Die Labore sind geringer dabei, aber entwickelt sich.</w:t>
            </w:r>
          </w:p>
          <w:p>
            <w:pPr>
              <w:pStyle w:val="KStab2"/>
            </w:pPr>
            <w:r>
              <w:t xml:space="preserve">Settings differenzierter erheben sehr wichtig im Meldewesen, leider noch nicht umgesetzt </w:t>
            </w:r>
          </w:p>
          <w:p>
            <w:pPr>
              <w:pStyle w:val="KStab1"/>
            </w:pPr>
            <w:r>
              <w:t>Genesene ausgewiesen, aber viele Langzeit Folgen. Idee wie bei TB-Meldung das Behandlungsergebnis übermitteln. Dies könnte vielleicht nutzbar sein für Spätfolgen Abschätzung. Glasmacher: Gibt es Studien zu Spätfolgen? Osamah kennt keine Kohorten-Studie dazu.</w:t>
            </w:r>
          </w:p>
          <w:p>
            <w:pPr>
              <w:pStyle w:val="KStab2"/>
              <w:numPr>
                <w:ilvl w:val="0"/>
                <w:numId w:val="0"/>
              </w:numPr>
            </w:pPr>
          </w:p>
        </w:tc>
        <w:tc>
          <w:tcPr>
            <w:tcW w:w="1492" w:type="dxa"/>
          </w:tcPr>
          <w:p/>
          <w:p>
            <w:r>
              <w:t xml:space="preserve">FG32/ </w:t>
            </w:r>
            <w:r>
              <w:lastRenderedPageBreak/>
              <w:t xml:space="preserve">Institutsleitung </w:t>
            </w:r>
          </w:p>
          <w:p/>
          <w:p/>
        </w:tc>
      </w:tr>
      <w:tr>
        <w:tc>
          <w:tcPr>
            <w:tcW w:w="684" w:type="dxa"/>
          </w:tcPr>
          <w:p>
            <w:pPr>
              <w:rPr>
                <w:b/>
              </w:rPr>
            </w:pPr>
            <w:r>
              <w:rPr>
                <w:b/>
              </w:rPr>
              <w:lastRenderedPageBreak/>
              <w:t>14</w:t>
            </w:r>
          </w:p>
        </w:tc>
        <w:tc>
          <w:tcPr>
            <w:tcW w:w="6795" w:type="dxa"/>
          </w:tcPr>
          <w:p>
            <w:pPr>
              <w:rPr>
                <w:b/>
                <w:sz w:val="28"/>
              </w:rPr>
            </w:pPr>
            <w:r>
              <w:rPr>
                <w:b/>
                <w:sz w:val="28"/>
              </w:rPr>
              <w:t xml:space="preserve">Transport und Grenzübergangsstellen </w:t>
            </w:r>
            <w:r>
              <w:rPr>
                <w:b/>
                <w:color w:val="FF0000"/>
              </w:rPr>
              <w:t>(nur freitags)</w:t>
            </w:r>
          </w:p>
          <w:p>
            <w:pPr>
              <w:pStyle w:val="KStab1"/>
            </w:pPr>
            <w:r>
              <w:t xml:space="preserve"> </w:t>
            </w:r>
          </w:p>
        </w:tc>
        <w:tc>
          <w:tcPr>
            <w:tcW w:w="1492" w:type="dxa"/>
          </w:tcPr>
          <w:p/>
          <w:p>
            <w:r>
              <w:t>FG32</w:t>
            </w:r>
          </w:p>
          <w:p/>
        </w:tc>
      </w:tr>
      <w:tr>
        <w:tc>
          <w:tcPr>
            <w:tcW w:w="684" w:type="dxa"/>
          </w:tcPr>
          <w:p>
            <w:pPr>
              <w:rPr>
                <w:b/>
              </w:rPr>
            </w:pPr>
            <w:r>
              <w:rPr>
                <w:b/>
              </w:rPr>
              <w:t>15</w:t>
            </w:r>
          </w:p>
        </w:tc>
        <w:tc>
          <w:tcPr>
            <w:tcW w:w="6795" w:type="dxa"/>
          </w:tcPr>
          <w:p>
            <w:pPr>
              <w:rPr>
                <w:b/>
                <w:sz w:val="28"/>
              </w:rPr>
            </w:pPr>
            <w:r>
              <w:rPr>
                <w:b/>
                <w:sz w:val="28"/>
              </w:rPr>
              <w:t xml:space="preserve">Information aus dem Lagezentrum </w:t>
            </w:r>
            <w:r>
              <w:rPr>
                <w:b/>
                <w:color w:val="FF0000"/>
              </w:rPr>
              <w:t>(nur freitags)</w:t>
            </w:r>
          </w:p>
          <w:p>
            <w:pPr>
              <w:pStyle w:val="KStab1"/>
              <w:numPr>
                <w:ilvl w:val="0"/>
                <w:numId w:val="0"/>
              </w:numPr>
              <w:ind w:left="473"/>
            </w:pPr>
            <w:r>
              <w:t xml:space="preserve"> </w:t>
            </w:r>
          </w:p>
        </w:tc>
        <w:tc>
          <w:tcPr>
            <w:tcW w:w="1492" w:type="dxa"/>
          </w:tcPr>
          <w:p/>
          <w:p>
            <w:r>
              <w:t>FG32</w:t>
            </w:r>
          </w:p>
          <w:p/>
        </w:tc>
      </w:tr>
      <w:tr>
        <w:trPr>
          <w:trHeight w:val="2225"/>
        </w:trPr>
        <w:tc>
          <w:tcPr>
            <w:tcW w:w="684" w:type="dxa"/>
          </w:tcPr>
          <w:p>
            <w:pPr>
              <w:rPr>
                <w:b/>
              </w:rPr>
            </w:pPr>
            <w:r>
              <w:rPr>
                <w:b/>
              </w:rPr>
              <w:t>16</w:t>
            </w:r>
          </w:p>
        </w:tc>
        <w:tc>
          <w:tcPr>
            <w:tcW w:w="6795" w:type="dxa"/>
          </w:tcPr>
          <w:p>
            <w:pPr>
              <w:rPr>
                <w:b/>
                <w:sz w:val="28"/>
              </w:rPr>
            </w:pPr>
            <w:r>
              <w:rPr>
                <w:b/>
                <w:sz w:val="28"/>
              </w:rPr>
              <w:t>Wichtige Termine</w:t>
            </w:r>
          </w:p>
          <w:p>
            <w:pPr>
              <w:pStyle w:val="KStab1"/>
            </w:pPr>
            <w:r>
              <w:t>Keine besprochen</w:t>
            </w:r>
          </w:p>
          <w:p>
            <w:pPr>
              <w:pStyle w:val="KStab1"/>
              <w:numPr>
                <w:ilvl w:val="0"/>
                <w:numId w:val="0"/>
              </w:numPr>
              <w:ind w:left="113"/>
            </w:pPr>
          </w:p>
        </w:tc>
        <w:tc>
          <w:tcPr>
            <w:tcW w:w="1492" w:type="dxa"/>
          </w:tcPr>
          <w:p/>
          <w:p/>
        </w:tc>
      </w:tr>
      <w:tr>
        <w:tc>
          <w:tcPr>
            <w:tcW w:w="684" w:type="dxa"/>
          </w:tcPr>
          <w:p>
            <w:pPr>
              <w:rPr>
                <w:b/>
              </w:rPr>
            </w:pPr>
            <w:r>
              <w:rPr>
                <w:b/>
              </w:rPr>
              <w:t>17</w:t>
            </w:r>
          </w:p>
        </w:tc>
        <w:tc>
          <w:tcPr>
            <w:tcW w:w="6795" w:type="dxa"/>
          </w:tcPr>
          <w:p>
            <w:pPr>
              <w:rPr>
                <w:b/>
                <w:sz w:val="28"/>
              </w:rPr>
            </w:pPr>
            <w:r>
              <w:rPr>
                <w:b/>
                <w:sz w:val="28"/>
              </w:rPr>
              <w:t>Andere Themen</w:t>
            </w:r>
          </w:p>
          <w:p>
            <w:pPr>
              <w:pStyle w:val="KStab1"/>
            </w:pPr>
            <w:r>
              <w:t xml:space="preserve">Nächste Sitzung: Mittwoch, 22.07.2020, 11:00 Uhr, via </w:t>
            </w:r>
            <w:proofErr w:type="spellStart"/>
            <w:r>
              <w:t>Vitero</w:t>
            </w:r>
            <w:proofErr w:type="spellEnd"/>
          </w:p>
        </w:tc>
        <w:tc>
          <w:tcPr>
            <w:tcW w:w="1492" w:type="dxa"/>
          </w:tcPr>
          <w:p/>
          <w:p/>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97807"/>
    <w:multiLevelType w:val="hybridMultilevel"/>
    <w:tmpl w:val="AFACF4DC"/>
    <w:lvl w:ilvl="0" w:tplc="45460CDE">
      <w:start w:val="1"/>
      <w:numFmt w:val="bullet"/>
      <w:pStyle w:val="KStab2"/>
      <w:lvlText w:val="o"/>
      <w:lvlJc w:val="left"/>
      <w:pPr>
        <w:ind w:left="2771" w:hanging="360"/>
      </w:pPr>
      <w:rPr>
        <w:rFonts w:ascii="Courier New" w:hAnsi="Courier New" w:cs="Courier New" w:hint="default"/>
        <w:color w:val="auto"/>
      </w:rPr>
    </w:lvl>
    <w:lvl w:ilvl="1" w:tplc="04070003">
      <w:start w:val="1"/>
      <w:numFmt w:val="bullet"/>
      <w:lvlText w:val="o"/>
      <w:lvlJc w:val="left"/>
      <w:pPr>
        <w:ind w:left="3491" w:hanging="360"/>
      </w:pPr>
      <w:rPr>
        <w:rFonts w:ascii="Courier New" w:hAnsi="Courier New" w:cs="Courier New" w:hint="default"/>
      </w:rPr>
    </w:lvl>
    <w:lvl w:ilvl="2" w:tplc="04070005">
      <w:start w:val="1"/>
      <w:numFmt w:val="bullet"/>
      <w:lvlText w:val=""/>
      <w:lvlJc w:val="left"/>
      <w:pPr>
        <w:ind w:left="4211" w:hanging="360"/>
      </w:pPr>
      <w:rPr>
        <w:rFonts w:ascii="Wingdings" w:hAnsi="Wingdings" w:hint="default"/>
      </w:rPr>
    </w:lvl>
    <w:lvl w:ilvl="3" w:tplc="04070001">
      <w:start w:val="1"/>
      <w:numFmt w:val="bullet"/>
      <w:lvlText w:val=""/>
      <w:lvlJc w:val="left"/>
      <w:pPr>
        <w:ind w:left="4931" w:hanging="360"/>
      </w:pPr>
      <w:rPr>
        <w:rFonts w:ascii="Symbol" w:hAnsi="Symbol" w:hint="default"/>
      </w:rPr>
    </w:lvl>
    <w:lvl w:ilvl="4" w:tplc="04070003">
      <w:start w:val="1"/>
      <w:numFmt w:val="bullet"/>
      <w:lvlText w:val="o"/>
      <w:lvlJc w:val="left"/>
      <w:pPr>
        <w:ind w:left="5651" w:hanging="360"/>
      </w:pPr>
      <w:rPr>
        <w:rFonts w:ascii="Courier New" w:hAnsi="Courier New" w:cs="Courier New" w:hint="default"/>
      </w:rPr>
    </w:lvl>
    <w:lvl w:ilvl="5" w:tplc="04070005" w:tentative="1">
      <w:start w:val="1"/>
      <w:numFmt w:val="bullet"/>
      <w:lvlText w:val=""/>
      <w:lvlJc w:val="left"/>
      <w:pPr>
        <w:ind w:left="6371" w:hanging="360"/>
      </w:pPr>
      <w:rPr>
        <w:rFonts w:ascii="Wingdings" w:hAnsi="Wingdings" w:hint="default"/>
      </w:rPr>
    </w:lvl>
    <w:lvl w:ilvl="6" w:tplc="04070001" w:tentative="1">
      <w:start w:val="1"/>
      <w:numFmt w:val="bullet"/>
      <w:lvlText w:val=""/>
      <w:lvlJc w:val="left"/>
      <w:pPr>
        <w:ind w:left="7091" w:hanging="360"/>
      </w:pPr>
      <w:rPr>
        <w:rFonts w:ascii="Symbol" w:hAnsi="Symbol" w:hint="default"/>
      </w:rPr>
    </w:lvl>
    <w:lvl w:ilvl="7" w:tplc="04070003" w:tentative="1">
      <w:start w:val="1"/>
      <w:numFmt w:val="bullet"/>
      <w:lvlText w:val="o"/>
      <w:lvlJc w:val="left"/>
      <w:pPr>
        <w:ind w:left="7811" w:hanging="360"/>
      </w:pPr>
      <w:rPr>
        <w:rFonts w:ascii="Courier New" w:hAnsi="Courier New" w:cs="Courier New" w:hint="default"/>
      </w:rPr>
    </w:lvl>
    <w:lvl w:ilvl="8" w:tplc="04070005" w:tentative="1">
      <w:start w:val="1"/>
      <w:numFmt w:val="bullet"/>
      <w:lvlText w:val=""/>
      <w:lvlJc w:val="left"/>
      <w:pPr>
        <w:ind w:left="8531" w:hanging="360"/>
      </w:pPr>
      <w:rPr>
        <w:rFonts w:ascii="Wingdings" w:hAnsi="Wingdings" w:hint="default"/>
      </w:rPr>
    </w:lvl>
  </w:abstractNum>
  <w:abstractNum w:abstractNumId="4" w15:restartNumberingAfterBreak="0">
    <w:nsid w:val="381070A3"/>
    <w:multiLevelType w:val="hybridMultilevel"/>
    <w:tmpl w:val="B538A144"/>
    <w:lvl w:ilvl="0" w:tplc="2DF0BDE8">
      <w:start w:val="1"/>
      <w:numFmt w:val="bullet"/>
      <w:lvlText w:val="•"/>
      <w:lvlJc w:val="left"/>
      <w:pPr>
        <w:tabs>
          <w:tab w:val="num" w:pos="720"/>
        </w:tabs>
        <w:ind w:left="720" w:hanging="360"/>
      </w:pPr>
      <w:rPr>
        <w:rFonts w:ascii="Arial" w:hAnsi="Arial" w:hint="default"/>
      </w:rPr>
    </w:lvl>
    <w:lvl w:ilvl="1" w:tplc="F168B88A" w:tentative="1">
      <w:start w:val="1"/>
      <w:numFmt w:val="bullet"/>
      <w:lvlText w:val="•"/>
      <w:lvlJc w:val="left"/>
      <w:pPr>
        <w:tabs>
          <w:tab w:val="num" w:pos="1440"/>
        </w:tabs>
        <w:ind w:left="1440" w:hanging="360"/>
      </w:pPr>
      <w:rPr>
        <w:rFonts w:ascii="Arial" w:hAnsi="Arial" w:hint="default"/>
      </w:rPr>
    </w:lvl>
    <w:lvl w:ilvl="2" w:tplc="218EB402" w:tentative="1">
      <w:start w:val="1"/>
      <w:numFmt w:val="bullet"/>
      <w:lvlText w:val="•"/>
      <w:lvlJc w:val="left"/>
      <w:pPr>
        <w:tabs>
          <w:tab w:val="num" w:pos="2160"/>
        </w:tabs>
        <w:ind w:left="2160" w:hanging="360"/>
      </w:pPr>
      <w:rPr>
        <w:rFonts w:ascii="Arial" w:hAnsi="Arial" w:hint="default"/>
      </w:rPr>
    </w:lvl>
    <w:lvl w:ilvl="3" w:tplc="2B1C59AC" w:tentative="1">
      <w:start w:val="1"/>
      <w:numFmt w:val="bullet"/>
      <w:lvlText w:val="•"/>
      <w:lvlJc w:val="left"/>
      <w:pPr>
        <w:tabs>
          <w:tab w:val="num" w:pos="2880"/>
        </w:tabs>
        <w:ind w:left="2880" w:hanging="360"/>
      </w:pPr>
      <w:rPr>
        <w:rFonts w:ascii="Arial" w:hAnsi="Arial" w:hint="default"/>
      </w:rPr>
    </w:lvl>
    <w:lvl w:ilvl="4" w:tplc="B6161F02" w:tentative="1">
      <w:start w:val="1"/>
      <w:numFmt w:val="bullet"/>
      <w:lvlText w:val="•"/>
      <w:lvlJc w:val="left"/>
      <w:pPr>
        <w:tabs>
          <w:tab w:val="num" w:pos="3600"/>
        </w:tabs>
        <w:ind w:left="3600" w:hanging="360"/>
      </w:pPr>
      <w:rPr>
        <w:rFonts w:ascii="Arial" w:hAnsi="Arial" w:hint="default"/>
      </w:rPr>
    </w:lvl>
    <w:lvl w:ilvl="5" w:tplc="16B2EA54" w:tentative="1">
      <w:start w:val="1"/>
      <w:numFmt w:val="bullet"/>
      <w:lvlText w:val="•"/>
      <w:lvlJc w:val="left"/>
      <w:pPr>
        <w:tabs>
          <w:tab w:val="num" w:pos="4320"/>
        </w:tabs>
        <w:ind w:left="4320" w:hanging="360"/>
      </w:pPr>
      <w:rPr>
        <w:rFonts w:ascii="Arial" w:hAnsi="Arial" w:hint="default"/>
      </w:rPr>
    </w:lvl>
    <w:lvl w:ilvl="6" w:tplc="5E16D95A" w:tentative="1">
      <w:start w:val="1"/>
      <w:numFmt w:val="bullet"/>
      <w:lvlText w:val="•"/>
      <w:lvlJc w:val="left"/>
      <w:pPr>
        <w:tabs>
          <w:tab w:val="num" w:pos="5040"/>
        </w:tabs>
        <w:ind w:left="5040" w:hanging="360"/>
      </w:pPr>
      <w:rPr>
        <w:rFonts w:ascii="Arial" w:hAnsi="Arial" w:hint="default"/>
      </w:rPr>
    </w:lvl>
    <w:lvl w:ilvl="7" w:tplc="ED988370" w:tentative="1">
      <w:start w:val="1"/>
      <w:numFmt w:val="bullet"/>
      <w:lvlText w:val="•"/>
      <w:lvlJc w:val="left"/>
      <w:pPr>
        <w:tabs>
          <w:tab w:val="num" w:pos="5760"/>
        </w:tabs>
        <w:ind w:left="5760" w:hanging="360"/>
      </w:pPr>
      <w:rPr>
        <w:rFonts w:ascii="Arial" w:hAnsi="Arial" w:hint="default"/>
      </w:rPr>
    </w:lvl>
    <w:lvl w:ilvl="8" w:tplc="C1124B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5B0D35"/>
    <w:multiLevelType w:val="hybridMultilevel"/>
    <w:tmpl w:val="CB9A60C4"/>
    <w:lvl w:ilvl="0" w:tplc="B5529326">
      <w:start w:val="1"/>
      <w:numFmt w:val="bullet"/>
      <w:lvlText w:val="•"/>
      <w:lvlJc w:val="left"/>
      <w:pPr>
        <w:tabs>
          <w:tab w:val="num" w:pos="720"/>
        </w:tabs>
        <w:ind w:left="720" w:hanging="360"/>
      </w:pPr>
      <w:rPr>
        <w:rFonts w:ascii="Arial" w:hAnsi="Arial" w:hint="default"/>
      </w:rPr>
    </w:lvl>
    <w:lvl w:ilvl="1" w:tplc="BEA8C6AA" w:tentative="1">
      <w:start w:val="1"/>
      <w:numFmt w:val="bullet"/>
      <w:lvlText w:val="•"/>
      <w:lvlJc w:val="left"/>
      <w:pPr>
        <w:tabs>
          <w:tab w:val="num" w:pos="1440"/>
        </w:tabs>
        <w:ind w:left="1440" w:hanging="360"/>
      </w:pPr>
      <w:rPr>
        <w:rFonts w:ascii="Arial" w:hAnsi="Arial" w:hint="default"/>
      </w:rPr>
    </w:lvl>
    <w:lvl w:ilvl="2" w:tplc="F3E8D5EA" w:tentative="1">
      <w:start w:val="1"/>
      <w:numFmt w:val="bullet"/>
      <w:lvlText w:val="•"/>
      <w:lvlJc w:val="left"/>
      <w:pPr>
        <w:tabs>
          <w:tab w:val="num" w:pos="2160"/>
        </w:tabs>
        <w:ind w:left="2160" w:hanging="360"/>
      </w:pPr>
      <w:rPr>
        <w:rFonts w:ascii="Arial" w:hAnsi="Arial" w:hint="default"/>
      </w:rPr>
    </w:lvl>
    <w:lvl w:ilvl="3" w:tplc="0108F526" w:tentative="1">
      <w:start w:val="1"/>
      <w:numFmt w:val="bullet"/>
      <w:lvlText w:val="•"/>
      <w:lvlJc w:val="left"/>
      <w:pPr>
        <w:tabs>
          <w:tab w:val="num" w:pos="2880"/>
        </w:tabs>
        <w:ind w:left="2880" w:hanging="360"/>
      </w:pPr>
      <w:rPr>
        <w:rFonts w:ascii="Arial" w:hAnsi="Arial" w:hint="default"/>
      </w:rPr>
    </w:lvl>
    <w:lvl w:ilvl="4" w:tplc="377601B8" w:tentative="1">
      <w:start w:val="1"/>
      <w:numFmt w:val="bullet"/>
      <w:lvlText w:val="•"/>
      <w:lvlJc w:val="left"/>
      <w:pPr>
        <w:tabs>
          <w:tab w:val="num" w:pos="3600"/>
        </w:tabs>
        <w:ind w:left="3600" w:hanging="360"/>
      </w:pPr>
      <w:rPr>
        <w:rFonts w:ascii="Arial" w:hAnsi="Arial" w:hint="default"/>
      </w:rPr>
    </w:lvl>
    <w:lvl w:ilvl="5" w:tplc="6A48AA98" w:tentative="1">
      <w:start w:val="1"/>
      <w:numFmt w:val="bullet"/>
      <w:lvlText w:val="•"/>
      <w:lvlJc w:val="left"/>
      <w:pPr>
        <w:tabs>
          <w:tab w:val="num" w:pos="4320"/>
        </w:tabs>
        <w:ind w:left="4320" w:hanging="360"/>
      </w:pPr>
      <w:rPr>
        <w:rFonts w:ascii="Arial" w:hAnsi="Arial" w:hint="default"/>
      </w:rPr>
    </w:lvl>
    <w:lvl w:ilvl="6" w:tplc="FCA4C606" w:tentative="1">
      <w:start w:val="1"/>
      <w:numFmt w:val="bullet"/>
      <w:lvlText w:val="•"/>
      <w:lvlJc w:val="left"/>
      <w:pPr>
        <w:tabs>
          <w:tab w:val="num" w:pos="5040"/>
        </w:tabs>
        <w:ind w:left="5040" w:hanging="360"/>
      </w:pPr>
      <w:rPr>
        <w:rFonts w:ascii="Arial" w:hAnsi="Arial" w:hint="default"/>
      </w:rPr>
    </w:lvl>
    <w:lvl w:ilvl="7" w:tplc="65443E72" w:tentative="1">
      <w:start w:val="1"/>
      <w:numFmt w:val="bullet"/>
      <w:lvlText w:val="•"/>
      <w:lvlJc w:val="left"/>
      <w:pPr>
        <w:tabs>
          <w:tab w:val="num" w:pos="5760"/>
        </w:tabs>
        <w:ind w:left="5760" w:hanging="360"/>
      </w:pPr>
      <w:rPr>
        <w:rFonts w:ascii="Arial" w:hAnsi="Arial" w:hint="default"/>
      </w:rPr>
    </w:lvl>
    <w:lvl w:ilvl="8" w:tplc="223A86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9A4C46"/>
    <w:multiLevelType w:val="hybridMultilevel"/>
    <w:tmpl w:val="03D8CDFA"/>
    <w:lvl w:ilvl="0" w:tplc="AE3E1782">
      <w:start w:val="1"/>
      <w:numFmt w:val="bullet"/>
      <w:pStyle w:val="KStab1"/>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8" w15:restartNumberingAfterBreak="0">
    <w:nsid w:val="4708305E"/>
    <w:multiLevelType w:val="hybridMultilevel"/>
    <w:tmpl w:val="864ED2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9"/>
  </w:num>
  <w:num w:numId="5">
    <w:abstractNumId w:val="3"/>
  </w:num>
  <w:num w:numId="6">
    <w:abstractNumId w:val="10"/>
  </w:num>
  <w:num w:numId="7">
    <w:abstractNumId w:val="7"/>
  </w:num>
  <w:num w:numId="8">
    <w:abstractNumId w:val="3"/>
  </w:num>
  <w:num w:numId="9">
    <w:abstractNumId w:val="2"/>
  </w:num>
  <w:num w:numId="10">
    <w:abstractNumId w:val="8"/>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 w:numId="21">
    <w:abstractNumId w:val="3"/>
  </w:num>
  <w:num w:numId="22">
    <w:abstractNumId w:val="6"/>
  </w:num>
  <w:num w:numId="23">
    <w:abstractNumId w:val="3"/>
  </w:num>
  <w:num w:numId="24">
    <w:abstractNumId w:val="3"/>
  </w:num>
  <w:num w:numId="2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53E5A326-BE32-4CBF-BFB9-41CCC695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KStab1">
    <w:name w:val="KStab_1"/>
    <w:basedOn w:val="Listenabsatz"/>
    <w:link w:val="KStab1Zchn"/>
    <w:qFormat/>
    <w:pPr>
      <w:numPr>
        <w:numId w:val="7"/>
      </w:numPr>
      <w:spacing w:after="0"/>
      <w:ind w:left="473"/>
    </w:pPr>
  </w:style>
  <w:style w:type="paragraph" w:customStyle="1" w:styleId="KStab2">
    <w:name w:val="KStab_2"/>
    <w:basedOn w:val="Listenabsatz"/>
    <w:link w:val="KStab2Zchn"/>
    <w:qFormat/>
    <w:pPr>
      <w:numPr>
        <w:numId w:val="5"/>
      </w:numPr>
      <w:spacing w:after="0"/>
    </w:pPr>
  </w:style>
  <w:style w:type="character" w:customStyle="1" w:styleId="KStab1Zchn">
    <w:name w:val="KStab_1 Zchn"/>
    <w:basedOn w:val="ListenabsatzZchn"/>
    <w:link w:val="KStab1"/>
  </w:style>
  <w:style w:type="character" w:customStyle="1" w:styleId="KStab2Zchn">
    <w:name w:val="KStab_2 Zchn"/>
    <w:basedOn w:val="ListenabsatzZchn"/>
    <w:link w:val="KSt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5334">
      <w:bodyDiv w:val="1"/>
      <w:marLeft w:val="0"/>
      <w:marRight w:val="0"/>
      <w:marTop w:val="0"/>
      <w:marBottom w:val="0"/>
      <w:divBdr>
        <w:top w:val="none" w:sz="0" w:space="0" w:color="auto"/>
        <w:left w:val="none" w:sz="0" w:space="0" w:color="auto"/>
        <w:bottom w:val="none" w:sz="0" w:space="0" w:color="auto"/>
        <w:right w:val="none" w:sz="0" w:space="0" w:color="auto"/>
      </w:divBdr>
      <w:divsChild>
        <w:div w:id="1219130570">
          <w:marLeft w:val="446"/>
          <w:marRight w:val="0"/>
          <w:marTop w:val="0"/>
          <w:marBottom w:val="120"/>
          <w:divBdr>
            <w:top w:val="none" w:sz="0" w:space="0" w:color="auto"/>
            <w:left w:val="none" w:sz="0" w:space="0" w:color="auto"/>
            <w:bottom w:val="none" w:sz="0" w:space="0" w:color="auto"/>
            <w:right w:val="none" w:sz="0" w:space="0" w:color="auto"/>
          </w:divBdr>
        </w:div>
        <w:div w:id="1777824516">
          <w:marLeft w:val="446"/>
          <w:marRight w:val="0"/>
          <w:marTop w:val="0"/>
          <w:marBottom w:val="120"/>
          <w:divBdr>
            <w:top w:val="none" w:sz="0" w:space="0" w:color="auto"/>
            <w:left w:val="none" w:sz="0" w:space="0" w:color="auto"/>
            <w:bottom w:val="none" w:sz="0" w:space="0" w:color="auto"/>
            <w:right w:val="none" w:sz="0" w:space="0" w:color="auto"/>
          </w:divBdr>
        </w:div>
      </w:divsChild>
    </w:div>
    <w:div w:id="170414225">
      <w:bodyDiv w:val="1"/>
      <w:marLeft w:val="0"/>
      <w:marRight w:val="0"/>
      <w:marTop w:val="0"/>
      <w:marBottom w:val="0"/>
      <w:divBdr>
        <w:top w:val="none" w:sz="0" w:space="0" w:color="auto"/>
        <w:left w:val="none" w:sz="0" w:space="0" w:color="auto"/>
        <w:bottom w:val="none" w:sz="0" w:space="0" w:color="auto"/>
        <w:right w:val="none" w:sz="0" w:space="0" w:color="auto"/>
      </w:divBdr>
      <w:divsChild>
        <w:div w:id="764809478">
          <w:marLeft w:val="446"/>
          <w:marRight w:val="0"/>
          <w:marTop w:val="0"/>
          <w:marBottom w:val="0"/>
          <w:divBdr>
            <w:top w:val="none" w:sz="0" w:space="0" w:color="auto"/>
            <w:left w:val="none" w:sz="0" w:space="0" w:color="auto"/>
            <w:bottom w:val="none" w:sz="0" w:space="0" w:color="auto"/>
            <w:right w:val="none" w:sz="0" w:space="0" w:color="auto"/>
          </w:divBdr>
        </w:div>
        <w:div w:id="1788038940">
          <w:marLeft w:val="446"/>
          <w:marRight w:val="0"/>
          <w:marTop w:val="0"/>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84781838">
      <w:bodyDiv w:val="1"/>
      <w:marLeft w:val="0"/>
      <w:marRight w:val="0"/>
      <w:marTop w:val="0"/>
      <w:marBottom w:val="0"/>
      <w:divBdr>
        <w:top w:val="none" w:sz="0" w:space="0" w:color="auto"/>
        <w:left w:val="none" w:sz="0" w:space="0" w:color="auto"/>
        <w:bottom w:val="none" w:sz="0" w:space="0" w:color="auto"/>
        <w:right w:val="none" w:sz="0" w:space="0" w:color="auto"/>
      </w:divBdr>
      <w:divsChild>
        <w:div w:id="1442605633">
          <w:marLeft w:val="547"/>
          <w:marRight w:val="0"/>
          <w:marTop w:val="96"/>
          <w:marBottom w:val="0"/>
          <w:divBdr>
            <w:top w:val="none" w:sz="0" w:space="0" w:color="auto"/>
            <w:left w:val="none" w:sz="0" w:space="0" w:color="auto"/>
            <w:bottom w:val="none" w:sz="0" w:space="0" w:color="auto"/>
            <w:right w:val="none" w:sz="0" w:space="0" w:color="auto"/>
          </w:divBdr>
        </w:div>
        <w:div w:id="1369719330">
          <w:marLeft w:val="1166"/>
          <w:marRight w:val="0"/>
          <w:marTop w:val="77"/>
          <w:marBottom w:val="0"/>
          <w:divBdr>
            <w:top w:val="none" w:sz="0" w:space="0" w:color="auto"/>
            <w:left w:val="none" w:sz="0" w:space="0" w:color="auto"/>
            <w:bottom w:val="none" w:sz="0" w:space="0" w:color="auto"/>
            <w:right w:val="none" w:sz="0" w:space="0" w:color="auto"/>
          </w:divBdr>
        </w:div>
      </w:divsChild>
    </w:div>
    <w:div w:id="543062155">
      <w:bodyDiv w:val="1"/>
      <w:marLeft w:val="0"/>
      <w:marRight w:val="0"/>
      <w:marTop w:val="0"/>
      <w:marBottom w:val="0"/>
      <w:divBdr>
        <w:top w:val="none" w:sz="0" w:space="0" w:color="auto"/>
        <w:left w:val="none" w:sz="0" w:space="0" w:color="auto"/>
        <w:bottom w:val="none" w:sz="0" w:space="0" w:color="auto"/>
        <w:right w:val="none" w:sz="0" w:space="0" w:color="auto"/>
      </w:divBdr>
      <w:divsChild>
        <w:div w:id="1254819564">
          <w:marLeft w:val="446"/>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90006766">
      <w:bodyDiv w:val="1"/>
      <w:marLeft w:val="0"/>
      <w:marRight w:val="0"/>
      <w:marTop w:val="0"/>
      <w:marBottom w:val="0"/>
      <w:divBdr>
        <w:top w:val="none" w:sz="0" w:space="0" w:color="auto"/>
        <w:left w:val="none" w:sz="0" w:space="0" w:color="auto"/>
        <w:bottom w:val="none" w:sz="0" w:space="0" w:color="auto"/>
        <w:right w:val="none" w:sz="0" w:space="0" w:color="auto"/>
      </w:divBdr>
      <w:divsChild>
        <w:div w:id="973564463">
          <w:marLeft w:val="547"/>
          <w:marRight w:val="0"/>
          <w:marTop w:val="96"/>
          <w:marBottom w:val="0"/>
          <w:divBdr>
            <w:top w:val="none" w:sz="0" w:space="0" w:color="auto"/>
            <w:left w:val="none" w:sz="0" w:space="0" w:color="auto"/>
            <w:bottom w:val="none" w:sz="0" w:space="0" w:color="auto"/>
            <w:right w:val="none" w:sz="0" w:space="0" w:color="auto"/>
          </w:divBdr>
        </w:div>
      </w:divsChild>
    </w:div>
    <w:div w:id="1097362840">
      <w:bodyDiv w:val="1"/>
      <w:marLeft w:val="0"/>
      <w:marRight w:val="0"/>
      <w:marTop w:val="0"/>
      <w:marBottom w:val="0"/>
      <w:divBdr>
        <w:top w:val="none" w:sz="0" w:space="0" w:color="auto"/>
        <w:left w:val="none" w:sz="0" w:space="0" w:color="auto"/>
        <w:bottom w:val="none" w:sz="0" w:space="0" w:color="auto"/>
        <w:right w:val="none" w:sz="0" w:space="0" w:color="auto"/>
      </w:divBdr>
      <w:divsChild>
        <w:div w:id="653338831">
          <w:marLeft w:val="547"/>
          <w:marRight w:val="0"/>
          <w:marTop w:val="96"/>
          <w:marBottom w:val="0"/>
          <w:divBdr>
            <w:top w:val="none" w:sz="0" w:space="0" w:color="auto"/>
            <w:left w:val="none" w:sz="0" w:space="0" w:color="auto"/>
            <w:bottom w:val="none" w:sz="0" w:space="0" w:color="auto"/>
            <w:right w:val="none" w:sz="0" w:space="0" w:color="auto"/>
          </w:divBdr>
        </w:div>
        <w:div w:id="1411656043">
          <w:marLeft w:val="547"/>
          <w:marRight w:val="0"/>
          <w:marTop w:val="96"/>
          <w:marBottom w:val="0"/>
          <w:divBdr>
            <w:top w:val="none" w:sz="0" w:space="0" w:color="auto"/>
            <w:left w:val="none" w:sz="0" w:space="0" w:color="auto"/>
            <w:bottom w:val="none" w:sz="0" w:space="0" w:color="auto"/>
            <w:right w:val="none" w:sz="0" w:space="0" w:color="auto"/>
          </w:divBdr>
        </w:div>
        <w:div w:id="2129856953">
          <w:marLeft w:val="547"/>
          <w:marRight w:val="0"/>
          <w:marTop w:val="96"/>
          <w:marBottom w:val="0"/>
          <w:divBdr>
            <w:top w:val="none" w:sz="0" w:space="0" w:color="auto"/>
            <w:left w:val="none" w:sz="0" w:space="0" w:color="auto"/>
            <w:bottom w:val="none" w:sz="0" w:space="0" w:color="auto"/>
            <w:right w:val="none" w:sz="0" w:space="0" w:color="auto"/>
          </w:divBdr>
        </w:div>
        <w:div w:id="471488090">
          <w:marLeft w:val="547"/>
          <w:marRight w:val="0"/>
          <w:marTop w:val="96"/>
          <w:marBottom w:val="0"/>
          <w:divBdr>
            <w:top w:val="none" w:sz="0" w:space="0" w:color="auto"/>
            <w:left w:val="none" w:sz="0" w:space="0" w:color="auto"/>
            <w:bottom w:val="none" w:sz="0" w:space="0" w:color="auto"/>
            <w:right w:val="none" w:sz="0" w:space="0" w:color="auto"/>
          </w:divBdr>
        </w:div>
        <w:div w:id="1841234689">
          <w:marLeft w:val="547"/>
          <w:marRight w:val="0"/>
          <w:marTop w:val="96"/>
          <w:marBottom w:val="0"/>
          <w:divBdr>
            <w:top w:val="none" w:sz="0" w:space="0" w:color="auto"/>
            <w:left w:val="none" w:sz="0" w:space="0" w:color="auto"/>
            <w:bottom w:val="none" w:sz="0" w:space="0" w:color="auto"/>
            <w:right w:val="none" w:sz="0" w:space="0" w:color="auto"/>
          </w:divBdr>
        </w:div>
      </w:divsChild>
    </w:div>
    <w:div w:id="163055194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0974866">
      <w:bodyDiv w:val="1"/>
      <w:marLeft w:val="0"/>
      <w:marRight w:val="0"/>
      <w:marTop w:val="0"/>
      <w:marBottom w:val="0"/>
      <w:divBdr>
        <w:top w:val="none" w:sz="0" w:space="0" w:color="auto"/>
        <w:left w:val="none" w:sz="0" w:space="0" w:color="auto"/>
        <w:bottom w:val="none" w:sz="0" w:space="0" w:color="auto"/>
        <w:right w:val="none" w:sz="0" w:space="0" w:color="auto"/>
      </w:divBdr>
      <w:divsChild>
        <w:div w:id="701250511">
          <w:marLeft w:val="446"/>
          <w:marRight w:val="0"/>
          <w:marTop w:val="0"/>
          <w:marBottom w:val="120"/>
          <w:divBdr>
            <w:top w:val="none" w:sz="0" w:space="0" w:color="auto"/>
            <w:left w:val="none" w:sz="0" w:space="0" w:color="auto"/>
            <w:bottom w:val="none" w:sz="0" w:space="0" w:color="auto"/>
            <w:right w:val="none" w:sz="0" w:space="0" w:color="auto"/>
          </w:divBdr>
        </w:div>
        <w:div w:id="892809832">
          <w:marLeft w:val="446"/>
          <w:marRight w:val="0"/>
          <w:marTop w:val="0"/>
          <w:marBottom w:val="120"/>
          <w:divBdr>
            <w:top w:val="none" w:sz="0" w:space="0" w:color="auto"/>
            <w:left w:val="none" w:sz="0" w:space="0" w:color="auto"/>
            <w:bottom w:val="none" w:sz="0" w:space="0" w:color="auto"/>
            <w:right w:val="none" w:sz="0" w:space="0" w:color="auto"/>
          </w:divBdr>
        </w:div>
      </w:divsChild>
    </w:div>
    <w:div w:id="1758869873">
      <w:bodyDiv w:val="1"/>
      <w:marLeft w:val="0"/>
      <w:marRight w:val="0"/>
      <w:marTop w:val="0"/>
      <w:marBottom w:val="0"/>
      <w:divBdr>
        <w:top w:val="none" w:sz="0" w:space="0" w:color="auto"/>
        <w:left w:val="none" w:sz="0" w:space="0" w:color="auto"/>
        <w:bottom w:val="none" w:sz="0" w:space="0" w:color="auto"/>
        <w:right w:val="none" w:sz="0" w:space="0" w:color="auto"/>
      </w:divBdr>
    </w:div>
    <w:div w:id="2115437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7-20_Lage_AG\COVID-19_International_Lage_2020-07-20.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S:\Wissdaten\RKI_nCoV-Lage\1.Lagemanagement\1.3.Besprechungen_TKs\1.Lage_AG\2020-07-20_Lage_AG\CoronaKita_Krisenstab_2020-07-20_V2.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7-20_Lage_AG\Lage-National_2020-07-20.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92415-6DAB-4E2F-BCC3-C92DEA87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1751</Words>
  <Characters>11038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300</cp:revision>
  <cp:lastPrinted>2020-05-06T16:43:00Z</cp:lastPrinted>
  <dcterms:created xsi:type="dcterms:W3CDTF">2020-07-20T09:41:00Z</dcterms:created>
  <dcterms:modified xsi:type="dcterms:W3CDTF">2021-05-10T14:02:00Z</dcterms:modified>
</cp:coreProperties>
</file>