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27.07.2020, 13:00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i/>
              <w:sz w:val="22"/>
              <w:szCs w:val="22"/>
            </w:rPr>
            <w:t>Virtueller Konferenzraum Vitero</w:t>
          </w:r>
        </w:sdtContent>
      </w:sdt>
    </w:p>
    <w:p>
      <w:pPr>
        <w:spacing w:after="120"/>
        <w:rPr>
          <w:b/>
          <w:sz w:val="22"/>
        </w:rPr>
      </w:pPr>
      <w:r>
        <w:rPr>
          <w:b/>
          <w:sz w:val="22"/>
        </w:rPr>
        <w:t>Moderation:  Lars Schaade</w:t>
      </w:r>
    </w:p>
    <w:p>
      <w:pPr>
        <w:tabs>
          <w:tab w:val="left" w:pos="6360"/>
        </w:tabs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  <w:r>
        <w:rPr>
          <w:b/>
          <w:sz w:val="22"/>
        </w:rPr>
        <w:tab/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Lars Schaade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Lothar Wieler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AL1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Martin Mielke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Melanie Brunke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Ralf Dürrwald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FG21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Patrick Schmich</w:t>
      </w:r>
    </w:p>
    <w:p>
      <w:pPr>
        <w:pStyle w:val="Listenabsatz"/>
        <w:numPr>
          <w:ilvl w:val="0"/>
          <w:numId w:val="5"/>
        </w:numPr>
        <w:spacing w:after="0"/>
        <w:contextualSpacing w:val="0"/>
        <w:rPr>
          <w:sz w:val="20"/>
        </w:rPr>
      </w:pPr>
      <w:r>
        <w:rPr>
          <w:sz w:val="20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Ute Rexroth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Ariane Halm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Silke Buda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Sebastian Haller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IBBS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Christian Herzog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P1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Ines Lein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Presse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Jamela Seedat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Susanne Glasmacher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ZBS1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Eva Krause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ZIG1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Andreas Jansen</w:t>
      </w:r>
    </w:p>
    <w:p>
      <w:pPr>
        <w:pStyle w:val="Listenabsatz"/>
        <w:numPr>
          <w:ilvl w:val="1"/>
          <w:numId w:val="4"/>
        </w:numPr>
        <w:spacing w:after="0"/>
        <w:contextualSpacing w:val="0"/>
        <w:rPr>
          <w:sz w:val="20"/>
        </w:rPr>
      </w:pPr>
      <w:r>
        <w:rPr>
          <w:sz w:val="20"/>
        </w:rPr>
        <w:t>Sarah Esquevin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Heidrun Thaiss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Bundeswehr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 xml:space="preserve">Katalyn Roßmann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BMG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0"/>
        </w:rPr>
      </w:pPr>
      <w:r>
        <w:rPr>
          <w:sz w:val="20"/>
        </w:rPr>
        <w:t>Irina Czogiel</w:t>
      </w:r>
    </w:p>
    <w:p>
      <w:pPr>
        <w:spacing w:after="0"/>
        <w:rPr>
          <w:sz w:val="22"/>
          <w:highlight w:val="yellow"/>
        </w:rPr>
      </w:pPr>
    </w:p>
    <w:p/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lastRenderedPageBreak/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Trendanalyse international, Maßnahmen (Folien </w:t>
            </w:r>
            <w:hyperlink r:id="rId8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), weltweit über 16 Mio. und über 640.000 Todesfälle (4,0%)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10 Länder nach Anzahl neuer Fälle/letzte 7 Tage: wenig neues, Brasilien und Indien abwechselnd auf zweiter Position nach USA, absteigender Trend in Südafrika, Russland, Bangladesch</w:t>
            </w:r>
          </w:p>
          <w:p>
            <w:pPr>
              <w:pStyle w:val="Listenabsatz"/>
              <w:numPr>
                <w:ilvl w:val="1"/>
                <w:numId w:val="44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Länder mit 7-T.-I. &gt;50/100.000 Einw.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Wenig Veränderungen, heute 32 Länder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Europa neu: Bosnien Herzegowina und Moldawien</w:t>
            </w:r>
          </w:p>
          <w:p>
            <w:pPr>
              <w:pStyle w:val="Listenabsatz"/>
              <w:numPr>
                <w:ilvl w:val="1"/>
                <w:numId w:val="44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Afrika –Lage (&gt;700/letzte 7 Tage)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Fälle steigend in Libyen, Senegal, Simbabwe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Wenig Veränderung in den Kurven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Manche Länder führen Maßnahmen wieder ein: z.B. Südafrika heute bis 24.08. erneuter Schulschluss, in Marokko lokale Lockdowns mit Ein- und Ausreise verbot in 8 Städten</w:t>
            </w:r>
          </w:p>
          <w:p>
            <w:pPr>
              <w:pStyle w:val="Listenabsatz"/>
              <w:numPr>
                <w:ilvl w:val="1"/>
                <w:numId w:val="44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Nord- &amp; Südamerika –Lage (&gt;700/letzte 7 Tage)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Paraguay nicht mehr dabei ansonsten gleich, Trend überall steigend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58% der weltweit neuen Fälle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USA: Infektionsgeschehen verschiebt sich in den Südosten, Kalifornien und Florida überholen kumulative Fallzahlen von New York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Brasilien zwischenzeitlich leicht absteigender Trend, nun wieder Anstieg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Kanada ähnlich Westeuropa: Trend leicht steigend, lokal begrenzte Cluster in unterschiedlichen Einrichtungen und nach Zusammenkünften</w:t>
            </w:r>
          </w:p>
          <w:p>
            <w:pPr>
              <w:pStyle w:val="Listenabsatz"/>
              <w:numPr>
                <w:ilvl w:val="1"/>
                <w:numId w:val="44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Asien –Lage (&gt;700/letzte 7 Tage)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 dabei: China und Libanon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China heute höchste Fallzahl seit April, getrieben durch zwei Ausbrüche in Provinzen, u.a. in der  Hafenstadt Lianong in Verbindung mit einem seafood market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Hong Kong: steigende Fallzahlen, heute Ankündigung neuer Maßnahmen ab Mittwoch, nur noch 2 Personen dürfen sich treffen, MNB überall, Restaurants geschlossen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Japan: Rekordzahlen am Wochenende, nicht nur in Tokyo aber in ganzem Land, v.a. jüngere Fälle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Nordkorea: Meldung des ersten Verdachtsfalles, Person, die aus Südkorea nach Nordkorea eingereist ist, aus Sekretabstrichen unsichere </w:t>
            </w:r>
            <w:r>
              <w:rPr>
                <w:sz w:val="22"/>
                <w:szCs w:val="22"/>
              </w:rPr>
              <w:lastRenderedPageBreak/>
              <w:t>Testergebnisse, Notstand wurde im betroffenem Gebiet ausgerufen, Gesundheitsbehörden reden noch nicht von einem COVID-19-Fall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Vietnam: erneut autochthone 3 Fälle nach 100 Tagen ohne, Infektionsquelle unbekannt, Fall hat nach Symptombeginn eine Hochzeit besucht, 80.000 vietnamesische nationale Touristen werden zurück in ihre Heimatorte geführt</w:t>
            </w:r>
          </w:p>
          <w:p>
            <w:pPr>
              <w:pStyle w:val="Listenabsatz"/>
              <w:numPr>
                <w:ilvl w:val="1"/>
                <w:numId w:val="44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Europa –Lage (&gt;700/letzte 7 Tage)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Neu: Luxemburg, Montenegro, NL und Schweiz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Osteuropa und Balkan weiter exponentieller Anstieg, auch in West- und Südeuropa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mehreren Ländern Wiedereinführung von lokal begrenzten Einschränkungen 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GB: Quarantäne für einreisende aus Spanien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WHO EURO berichtet (Stand KW29, vorletzte Woche): 27% der gemeldeten Infektionen (mit hierzu übermittelten Informationen) waren HCW (WHO EURO Zone), die meisten kumulativen Todesfälle waren in GB, gefolgt von Italien, Frankreich, Spanien</w:t>
            </w:r>
          </w:p>
          <w:p>
            <w:pPr>
              <w:pStyle w:val="Listenabsatz"/>
              <w:numPr>
                <w:ilvl w:val="1"/>
                <w:numId w:val="44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Ozeanien –Lage (&gt;700/letzte 7 Tage): Australien heute neue Rekordzahl mit 532 neuen Fällen, alle aus Victoria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Zusammenfassung: globaler Anstieg von Fällen, viele Länder verschärfen erneut ihre Maßnahmen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Diskussion </w:t>
            </w:r>
          </w:p>
          <w:p>
            <w:pPr>
              <w:pStyle w:val="Listenabsatz"/>
              <w:numPr>
                <w:ilvl w:val="1"/>
                <w:numId w:val="44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wäre interessant, den Fall-Verstorbenen-Anteil zwischen der 1. Und der 2. Welle zu evaluieren um deren Schwere zu vergleichen</w:t>
            </w:r>
          </w:p>
          <w:p>
            <w:pPr>
              <w:pStyle w:val="Listenabsatz"/>
              <w:numPr>
                <w:ilvl w:val="1"/>
                <w:numId w:val="44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Situation in USA: CDC hat ein Dashboard (</w:t>
            </w:r>
            <w:hyperlink r:id="rId9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 wo die Krankenhauskapazitäten dargestellt sind</w:t>
            </w:r>
          </w:p>
          <w:p>
            <w:pPr>
              <w:pStyle w:val="Listenabsatz"/>
              <w:numPr>
                <w:ilvl w:val="1"/>
                <w:numId w:val="44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DIVI-Register in Deutschland ist Intensivstation-spezifisch, gibt es Daten zur Belastung des Vorintensivbereiches in Deutschland? </w:t>
            </w:r>
          </w:p>
          <w:p>
            <w:pPr>
              <w:pStyle w:val="Listenabsatz"/>
              <w:numPr>
                <w:ilvl w:val="1"/>
                <w:numId w:val="44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Über die ICOSARI Sentinel-KKH gibt es einen guten Überblick zu deren Patienten (egal welcher Schwere), dies ist donnerstags im Lagebericht enthalten, Zahlen sind aktuell sehr rückläufig</w:t>
            </w:r>
          </w:p>
          <w:p>
            <w:pPr>
              <w:rPr>
                <w:i/>
                <w:sz w:val="22"/>
              </w:rPr>
            </w:pP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Todesfälle, Trend (Folien </w:t>
            </w:r>
            <w:hyperlink r:id="rId10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SurvNet übermittelt: 205.609 (+340), davon 9.118 (4,5%) Todesfälle (+0), Inzidenz 247/100.000 Einw., ca. 109.400 Genesene, Reff=1,28, 7T Reff=1,10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Morgen mehr Aufschluss zur Fallzahlentwicklung, montags ist dies aufgrund des Wochenendverzugs nicht so zuverlässig (BW &amp; SN noch nicht übermittelt)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 sind nicht mehr rückläufig, R-Wert steigt, die BL-R-Kurven ähneln sich grob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Inzidenzen: 7-T-I steigt nach Tiefpunkt um den 13.07. </w:t>
            </w:r>
            <w:r>
              <w:rPr>
                <w:sz w:val="22"/>
                <w:szCs w:val="22"/>
              </w:rPr>
              <w:lastRenderedPageBreak/>
              <w:t>wieder an, NW oben gefolgt von BY, dann BE, nur 88 LK ohne Fälle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Viele Fälle in großen Städten/Ballungsgebieten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Ausbrüche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Dingolfing Landau 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&gt;50/100.000 Einw., 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Erntehelfende in einem Landwirtschaftsbetrieb (primär Gurken)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Spezielle Entnahmetechnik im Liegen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 sind sehr eng in Containern untergebracht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 wurden getestet</w:t>
            </w:r>
          </w:p>
          <w:p>
            <w:pPr>
              <w:pStyle w:val="Listenabsatz"/>
              <w:numPr>
                <w:ilvl w:val="2"/>
                <w:numId w:val="44"/>
              </w:numPr>
              <w:ind w:left="186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Fallanteil ist für eine Tätigkeit im freien sehr hoch, 174/479 MA positiv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Rostock Aida-Schiffe: Ausbruch unter MA philippinischer Abstammung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Hof: osteuropäische Großfamilie, Reihentestung läuft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Reisen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der Exposition im Ausland von allen Fällen ist relativ stabil um 10%, bei ausschließlicher Betrachtung derer, die eine Angabe haben, 18%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 sind noch nicht vollständig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Meist genannte Länder: 1. Deutschland (3.396) gefolgt von Kosovo, Serbien, Türkei, Bosnien Herzegowina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Expositionsort Reisende nach BL (Folie 11): gewisse Unterschiede der Reiseländer und Fallanteile, Balkanstaaten NW, BY, BW, Türkei häufig NW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Expositionsdaten sollten auch im Pressebriefing auftauchen um u zeigen, dass die meisten Fälle aus Deutschland kommen, Risikoverhalten ist wichtiger als Expositionsort, Arbeitsexposition und soziale Exposition spielen eine möglicherweise wichtigere Rolle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Fälle im Zusammenhang mit Balkanländern: viele arbeiten in Deutschland in der Gastronomie und Hotelbranche, kommen teilweise in Kleinbussen es sind nicht primär/nur Touristen sondern auch in Deutschland ansässige Personen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NW hat viele der am meisten betroffenen Kreise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 Kommentar von NW, es ist schwer, jemanden von dort zu fassen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GÄ in NW sind nicht froh über die Vorgehensweise, teilweise sehr gute MA vor Ort im ÖGD, jedoch nicht genug politische Unterstützung vorhanden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Wie kann das RKI die Situation verbessern, bzw. mehr Aufmerksamkeit darauf lenken? Bericht an BMG, im Lagebericht benennen?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AL3 hatte Vorschlag der Darstellung der Daten im Lagebericht nach Ballungsgebieten, um einen stärkeren Fokus darauf zu legen, das Problem großer Städte mit hoher Bevölkerungsdichte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Gespräch hierzu ist morgen mit dem BMG (Holtherm) </w:t>
            </w:r>
            <w:r>
              <w:rPr>
                <w:sz w:val="22"/>
                <w:szCs w:val="22"/>
              </w:rPr>
              <w:lastRenderedPageBreak/>
              <w:t>geplant, VPräs und Ute Rexroth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 Ute dann nicht für das Pressebriefing verfügbar ist muss jemand anderes hierfür gefunden werden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ZIG1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</w:rPr>
              <w:t xml:space="preserve"> (nur montags)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  <w:szCs w:val="22"/>
              </w:rPr>
              <w:t>CWA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Flyer für MA der GA und ambulante Praxen (Links </w:t>
            </w:r>
            <w:hyperlink r:id="rId11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 und </w:t>
            </w:r>
            <w:hyperlink r:id="rId12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 1. Seite Einführung in die CWA Funktion, Infos zur Statusanzeige, keine Änderungen zu vorher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 2. Seite wurden die Empfehlungen zum Umgang mit Risikomeldungen überarbeitet, insbesondere hinsichtlich der Unterscheidung von asymptoma-tischen und symptomatischen Personen, Vorgang wurde klarer/differenzierter erklärt, auch, wann Testung stattzufinden hat und zur KoNa KP Einstufung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Änderungen wurden mit der KBV abgestimmt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Inhaltlich sind die Flyer den Vorversionen äquivalent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Neue Versionen werden über RKI LZ zur Abstimmung ans BMG (Renner) geschickt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 der Wochenendnachricht zum nicht-Funktionieren der CWA wird SAP erneut bestimmte Parameter überprüfen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 TOP 5 der Probleme werden für das Pressebriefing morgen mit Antworten vorbereitet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Alles was bezüglich CWA läuft muss mit BMG abgestimmt werden (auch aufgrund möglicher weiterer Kosten)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Weitere Arbeit an der App um sie lauffähig zu halten: Erfüllung der BfDI Auflagen, Verhinderung von Missbrauch, Anbindung der Labore und des ÖGD (zsm. mit Abt. 3)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Digitale Projekte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Symptomchecker App bei der Charité und jetzt auch im RKI im Einsatz, Abschluss der Datenschutzbelange hat gedauert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Datenspende wird immer verlässlicher, Blog-einträge sind online einsehbar, aktuell wird daran gearbeitet diese zu automatisieren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FG37/FG21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</w:tc>
      </w:tr>
      <w:tr>
        <w:trPr>
          <w:trHeight w:val="518"/>
        </w:trP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Nichts neues seit letzter Version vom 17.07.2020</w:t>
            </w:r>
          </w:p>
          <w:p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BZgA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 von Freitag (Bundesgesundheitsblatt) aufgenommen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Steigenden Fallzahlen: Entschluss dass nicht primär über die Zahlen kommuniziert werden soll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Werbung zur App wurde ausgetauscht gegen Propagierung der Reise- bzw. Urlaubszeit, AHA-Regeln mit Ziel alle Altersgruppen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Heute Nachmittag Gespräch über aktuelle Daten aus COSMO: insbesondere Kommunikation an junge Männer die feiern, adressieren über ihre eigenen Communities und die Kanäle „Liebesleben“ und „kenn Dein Limit“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Diskussion: Wie kann Allgemeinbevölkerung ohne Diskriminie-rung hinsichtlich soziale Verantwortung mitgenommen werden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Situation ist komplex: einerseits bestimmte Zielgruppen ohne zu stigmatisieren, dann Sommer, Urlaub, neue Freiheit genießen, Reisetätigkeit, laissez-fair Haltung, die Risikowahrnehmung ist nicht mehr wie vor 3-4 Monaten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Nächste Woche beginnen die ersten Schulöffnungen (z.B. NS) 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VPräs: in Japanischer Kommunikation werden gefährliche Expo-sitionssituationen illustriert, 3-C-Regel (crowded places usw.)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Holländer haben auch interessante Konzepte für junge Menschen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Morgen Pressebriefing mit Präs und MA aus Abt. 3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Viele Anfragen zu steigenden Fallzahlen, Verweis auf Webseite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Bundeswehr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Nichts zu berichten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Neues aus dem BMG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BMG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Außer GMK Beschluss nichts zu berichten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BMG Interesse an Infektionen im Flugverkehr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Bisher keine Erkenntnisse hierzu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Letzte Woche Anfragen an RKI, da Scheuer hat sich auf RKI bezogen hat bezüglich fehlender Sinnhaftigkeit von Abstandshaltung in Flugzeugen, dies ist falsch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internationale KoNa wurde Mitte April eingestellt, weil es so wenig Reiseverkehr gab, aber auch, weil keine Übertragungen im Flugzeug dokumentiert wurden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Dies hat sich geändert: noch keine detaillierte Auswertung aber 2-3 Berichte zu Einzelfällen (Israel, Frankreich)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Mitte Juni wurde die KoNa wieder aufgenommen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Komplex da Differenz der Expositonsrisiken in In- und Ausland sowie auf dem Flug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RKI Studie zur Auswertung inklusive Nachermittlung hierzu ist geplant, konnte trotz Bereitschaft wegen fehlender Datenschutz-Zustimmung noch nicht angefangen werden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Irina Czogiel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45"/>
              </w:num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GMK Beschluss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Testung von Reisenden aus Risikogebieten ist beschlossen und ist ohne Rücksprache erfolgt/widerspricht der RKI-Empfehlung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Spahn wird heute diesbezügliche Anordnung erlassen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ÖGD/GÄ und Landesebene denken, RKI wird konsultiert, dies ist bei vielen politischen Entscheidungen jedoch nicht der Fall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RKI muss diese Entscheidungen operativ umsetzen, z.B. auch bei Risikogebieten, dies wird missverstanden als ob RKI diese benennen/ausweisen würde, was nicht der Fall ist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Soll RKI sich positionieren? Wie steht RKI zu Freitestung?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Ggf. Aussage Risikoreduktion durch 1-malige Testung aber keine 100%-ige Sicherheit gibt, da lediglich ein paar Fälle herausgefischt werden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Keinesfalls sollen Vorsichtsmaßnahmen fallen gelassen werden, weitere Einhaltung der AHA-Regeln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Zunächst konzentrieren auf fachliche Aspekte, NPV, welche Sicherheit können die Testungen tatsächlich geben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Zweittestung Rückkehrer aus Risikogebieten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Ullmann (FDP) sprach heute Morgen im Radio von 2. Testung, da eine nicht als genügend angesehen wird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GMK Beschluss sieht auch zweimalige Testung vor, 2. Test soll „wenn immer möglich“ gemacht werden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Einordnung der Bedeutung: was heißt dies für die Zwischenzeit bis 2. Testergebnis vorliegt, mindestens konsequente Kontaktreduzierung und AHA-Regeln, Empfehlung für Allgemeinbevölkerung, stellt den Nutzen ggf. in Frage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Wenn eine Quarantäne 4 Tage früher aufhört, hat dies bereits einen ökonomischen Impact bzw. Wert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Parallel sagen die Kinderärzte, dass symptomatische Kinder aus Kapazitätsgründen nicht getestet werden können, aber jede/r der/die aus einem Risikogebiet kommt, erhält zwei Testungen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Pädiatrische Fachgesellschaft ist nicht einstimmig, es gibt zusehends mehr Widersprüche, deswegen bleibt Testung symptomatischer Personen immer die Priorität 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 Diagnostik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FF ist ans BMG übergegangen, BMG lädt ein und definiert Themen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BMG führt auch Protokoll, RKI hat dies abgelehnt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RKI hat am 07.07.2020 Bericht eingereicht, der auch auf der Webseite ist (unter nationaler Teststrategie bei Diagnostik)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Darin wurden Prioritäten nicht nummeriert sondern als a, b, c aufgeführt damit sie leichter auseinanderzuhalten sind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45"/>
              </w:num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FG32/alle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Entwurf zur Kontaktaufnahme im Umgang mit Roma und Sinti (vulnerablen Personengruppen) ist fertig und wird Mittwoch oder Freitag im Krisenstab präsentiert</w:t>
            </w:r>
          </w:p>
          <w:p>
            <w:pPr>
              <w:rPr>
                <w:i/>
                <w:sz w:val="22"/>
              </w:rPr>
            </w:pPr>
          </w:p>
        </w:tc>
        <w:tc>
          <w:tcPr>
            <w:tcW w:w="1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FG32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386 proben getestet, 50 (12,9%) positiv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Woche in Folge in der es ruhig ist (was Probenanzahl angeht), Zeit wird genutzt um die Kapazitäten zu erhöhen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Studienproben sollen ab September eingehen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Positivraten bei ZBS1 Proben sind hoch, was ist zur Testpopulation bekannt? 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sind vor allem Proben von Personen die in begründeter Quarantäne sind, Abstriche werden durch GÄ im Rahmen des KP Management genommen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Freitag findet ein ECDC Webinar zur Testung asymptomatischer Personen statt, AL1 wird dort berichten, Feedback von angeschriebenen Kollegen ist bis Mittwoch erwünscht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FG17: nicht neues, weiter hohe Nachweisraten von Rhinoviren, Proben sind auf alle anderen Erreger negativ</w:t>
            </w:r>
          </w:p>
          <w:p>
            <w:pPr>
              <w:rPr>
                <w:i/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AL1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  <w:szCs w:val="22"/>
              </w:rPr>
              <w:t>COVRIIN: Vorstellung Studie Patientenversorgung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Heute um 15:00 Vorstellung der Daten aus der Studie, Einwahldaten bei Christian Herzog verfügbar, dies wird mögliche Konsequenzen für den ÖGD haben, interessierte bitte melden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VPräs, AL1 sind auch interessiert</w:t>
            </w:r>
          </w:p>
          <w:p>
            <w:pPr>
              <w:spacing w:line="276" w:lineRule="auto"/>
              <w:rPr>
                <w:i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IBBS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spacing w:line="276" w:lineRule="auto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Corona-KiTa-Studie: Erkrankungszahlen bei Kindern unter 10 Jahren </w:t>
            </w:r>
            <w:r>
              <w:rPr>
                <w:sz w:val="22"/>
                <w:szCs w:val="22"/>
              </w:rPr>
              <w:t xml:space="preserve">(Folien </w:t>
            </w:r>
            <w:hyperlink r:id="rId13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Wurde bereits letzte Woche ausführlich von Walter Haas vorgestellt, die Studie selbst ist im Foliensatz erklärt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Aktuell ist der 3. Monatsbericht (mit Daten aus GrippeWeb, ARE und Meldedaten) in Vorbereitung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nach Altersgruppen: in letzten 2 Wochen stieg der Anteil der 11-14-jährigen, möglicherweise durch außerschulische Kontakte, verschiedene Altersgruppen müssen differenziert betrachtet werden da Jugendliche ggf. eher außerhalb der Schule exponiert sind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Ausbrüche in Einrichtungen für Kinder: 31 Ausbrüche (mit mindestens 2 Fällen) wurden angelegt, Altersgruppen häufig &gt;14 Jahre, auch Betreuende sind oft betroffen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 BY gibt es einen Kita-Ausbruch, ansonsten nichts neues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Schulausbrüche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letzten zwei Wochen nichts hinzugekommen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Wird interessant, wenn die Schulferien enden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Logistisch sollten noch Anpassungen vorgenommen werden um möglichst wenig Risiko zu haben</w:t>
            </w:r>
          </w:p>
          <w:p>
            <w:pPr>
              <w:pStyle w:val="Listenabsatz"/>
              <w:numPr>
                <w:ilvl w:val="1"/>
                <w:numId w:val="31"/>
              </w:numPr>
              <w:ind w:left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Kinder infizieren sicher eher an Jugendlichen und Erwachsenen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FG36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Wegen GMK Beschluss oben unter Strategie erwähnt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Neue Betriebszeiten am Wochenende (bereits Fr angekündigt)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Diesen Freitag 200. Betriebstag </w:t>
            </w:r>
          </w:p>
          <w:p>
            <w:pPr>
              <w:rPr>
                <w:i/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Wichtige Termine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Heute 15:00: Vorstellen 1. Ergebnisse der COVRIIN Studie zur Patientenversorgung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Morgen 10:00: RKI-Pressebriefing</w:t>
            </w:r>
          </w:p>
          <w:p>
            <w:pPr>
              <w:rPr>
                <w:b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IBBS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Nächste Sitzung: Mittwoch, 29.07.2020, 11:00 Uhr, via Vitero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0"/>
        <w:rPr>
          <w:sz w:val="22"/>
          <w:highlight w:val="yellow"/>
        </w:rPr>
      </w:pPr>
    </w:p>
    <w:sectPr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  <w:bookmarkStart w:id="0" w:name="_GoBack"/>
    <w:bookmarkEnd w:id="0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  <w:sz w:val="16"/>
      </w:rPr>
      <w:t>VS - NUR FÜR DEN DIENSTGEBRAUCH</w:t>
    </w:r>
    <w:r>
      <w:rPr>
        <w:color w:val="1F497D" w:themeColor="text2"/>
      </w:rPr>
      <w:tab/>
    </w:r>
    <w:r>
      <w:rPr>
        <w:color w:val="1F497D" w:themeColor="text2"/>
      </w:rPr>
      <w:tab/>
    </w:r>
    <w:r>
      <w:rPr>
        <w:noProof/>
        <w:color w:val="1F497D" w:themeColor="text2"/>
        <w:lang w:eastAsia="de-DE"/>
      </w:rPr>
      <w:drawing>
        <wp:inline distT="0" distB="0" distL="0" distR="0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7824"/>
    <w:multiLevelType w:val="hybridMultilevel"/>
    <w:tmpl w:val="9ED49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5E55"/>
    <w:multiLevelType w:val="hybridMultilevel"/>
    <w:tmpl w:val="4E1A912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0737CF"/>
    <w:multiLevelType w:val="hybridMultilevel"/>
    <w:tmpl w:val="A198B08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250161"/>
    <w:multiLevelType w:val="hybridMultilevel"/>
    <w:tmpl w:val="1922A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E4327"/>
    <w:multiLevelType w:val="hybridMultilevel"/>
    <w:tmpl w:val="F936256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E3979"/>
    <w:multiLevelType w:val="hybridMultilevel"/>
    <w:tmpl w:val="45764AC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E51AC878">
      <w:start w:val="1"/>
      <w:numFmt w:val="bullet"/>
      <w:lvlText w:val="-"/>
      <w:lvlJc w:val="left"/>
      <w:pPr>
        <w:ind w:left="4680" w:hanging="360"/>
      </w:pPr>
      <w:rPr>
        <w:rFonts w:ascii="Calibri" w:hAnsi="Calibri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A2849"/>
    <w:multiLevelType w:val="hybridMultilevel"/>
    <w:tmpl w:val="FC6E9F7A"/>
    <w:lvl w:ilvl="0" w:tplc="77B04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C67DD"/>
    <w:multiLevelType w:val="hybridMultilevel"/>
    <w:tmpl w:val="8FB83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F6FE9"/>
    <w:multiLevelType w:val="hybridMultilevel"/>
    <w:tmpl w:val="10805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47304"/>
    <w:multiLevelType w:val="hybridMultilevel"/>
    <w:tmpl w:val="C3485AA0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C212D4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97807"/>
    <w:multiLevelType w:val="hybridMultilevel"/>
    <w:tmpl w:val="8E6C29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2A07E2"/>
    <w:multiLevelType w:val="hybridMultilevel"/>
    <w:tmpl w:val="2F145C3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977DEE"/>
    <w:multiLevelType w:val="hybridMultilevel"/>
    <w:tmpl w:val="DF240308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6B3F35"/>
    <w:multiLevelType w:val="hybridMultilevel"/>
    <w:tmpl w:val="2B76A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31578"/>
    <w:multiLevelType w:val="hybridMultilevel"/>
    <w:tmpl w:val="5024F09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F21567"/>
    <w:multiLevelType w:val="hybridMultilevel"/>
    <w:tmpl w:val="B7663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633CA"/>
    <w:multiLevelType w:val="hybridMultilevel"/>
    <w:tmpl w:val="313C207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6456F5"/>
    <w:multiLevelType w:val="hybridMultilevel"/>
    <w:tmpl w:val="472A7808"/>
    <w:lvl w:ilvl="0" w:tplc="42E83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A313F4"/>
    <w:multiLevelType w:val="hybridMultilevel"/>
    <w:tmpl w:val="4B020A48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2"/>
      </w:rPr>
    </w:lvl>
    <w:lvl w:ilvl="1" w:tplc="C212D4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418FF"/>
    <w:multiLevelType w:val="hybridMultilevel"/>
    <w:tmpl w:val="53C6567A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F13A1"/>
    <w:multiLevelType w:val="hybridMultilevel"/>
    <w:tmpl w:val="00284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B44C8"/>
    <w:multiLevelType w:val="hybridMultilevel"/>
    <w:tmpl w:val="C9B49F4C"/>
    <w:lvl w:ilvl="0" w:tplc="0409000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D10A8A"/>
    <w:multiLevelType w:val="hybridMultilevel"/>
    <w:tmpl w:val="7EFE77B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F0180D"/>
    <w:multiLevelType w:val="hybridMultilevel"/>
    <w:tmpl w:val="E80231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C4816"/>
    <w:multiLevelType w:val="hybridMultilevel"/>
    <w:tmpl w:val="675C8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9A7A9B"/>
    <w:multiLevelType w:val="hybridMultilevel"/>
    <w:tmpl w:val="DF2087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7F4FB2"/>
    <w:multiLevelType w:val="hybridMultilevel"/>
    <w:tmpl w:val="6012E62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8161FE"/>
    <w:multiLevelType w:val="hybridMultilevel"/>
    <w:tmpl w:val="B20AD5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533F5"/>
    <w:multiLevelType w:val="hybridMultilevel"/>
    <w:tmpl w:val="00E48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23E21"/>
    <w:multiLevelType w:val="hybridMultilevel"/>
    <w:tmpl w:val="6760482C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173E87"/>
    <w:multiLevelType w:val="hybridMultilevel"/>
    <w:tmpl w:val="3D00A4FE"/>
    <w:lvl w:ilvl="0" w:tplc="39A83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E763D"/>
    <w:multiLevelType w:val="hybridMultilevel"/>
    <w:tmpl w:val="3552D348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D4259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495618"/>
    <w:multiLevelType w:val="hybridMultilevel"/>
    <w:tmpl w:val="18E0A4D6"/>
    <w:lvl w:ilvl="0" w:tplc="E51AC878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62AA0"/>
    <w:multiLevelType w:val="hybridMultilevel"/>
    <w:tmpl w:val="EE5A9F6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114FE"/>
    <w:multiLevelType w:val="hybridMultilevel"/>
    <w:tmpl w:val="FAE82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9537FB"/>
    <w:multiLevelType w:val="hybridMultilevel"/>
    <w:tmpl w:val="5D4A4516"/>
    <w:lvl w:ilvl="0" w:tplc="BCF81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036B6"/>
    <w:multiLevelType w:val="hybridMultilevel"/>
    <w:tmpl w:val="5476C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25"/>
  </w:num>
  <w:num w:numId="4">
    <w:abstractNumId w:val="5"/>
  </w:num>
  <w:num w:numId="5">
    <w:abstractNumId w:val="24"/>
  </w:num>
  <w:num w:numId="6">
    <w:abstractNumId w:val="9"/>
  </w:num>
  <w:num w:numId="7">
    <w:abstractNumId w:val="21"/>
  </w:num>
  <w:num w:numId="8">
    <w:abstractNumId w:val="8"/>
  </w:num>
  <w:num w:numId="9">
    <w:abstractNumId w:val="14"/>
  </w:num>
  <w:num w:numId="10">
    <w:abstractNumId w:val="19"/>
  </w:num>
  <w:num w:numId="11">
    <w:abstractNumId w:val="40"/>
  </w:num>
  <w:num w:numId="12">
    <w:abstractNumId w:val="3"/>
  </w:num>
  <w:num w:numId="13">
    <w:abstractNumId w:val="41"/>
  </w:num>
  <w:num w:numId="14">
    <w:abstractNumId w:val="18"/>
  </w:num>
  <w:num w:numId="15">
    <w:abstractNumId w:val="20"/>
  </w:num>
  <w:num w:numId="16">
    <w:abstractNumId w:val="1"/>
  </w:num>
  <w:num w:numId="17">
    <w:abstractNumId w:val="35"/>
  </w:num>
  <w:num w:numId="18">
    <w:abstractNumId w:val="12"/>
  </w:num>
  <w:num w:numId="19">
    <w:abstractNumId w:val="32"/>
  </w:num>
  <w:num w:numId="20">
    <w:abstractNumId w:val="29"/>
  </w:num>
  <w:num w:numId="21">
    <w:abstractNumId w:val="42"/>
  </w:num>
  <w:num w:numId="22">
    <w:abstractNumId w:val="4"/>
  </w:num>
  <w:num w:numId="23">
    <w:abstractNumId w:val="15"/>
  </w:num>
  <w:num w:numId="24">
    <w:abstractNumId w:val="23"/>
  </w:num>
  <w:num w:numId="25">
    <w:abstractNumId w:val="34"/>
  </w:num>
  <w:num w:numId="26">
    <w:abstractNumId w:val="36"/>
  </w:num>
  <w:num w:numId="27">
    <w:abstractNumId w:val="0"/>
  </w:num>
  <w:num w:numId="28">
    <w:abstractNumId w:val="30"/>
  </w:num>
  <w:num w:numId="29">
    <w:abstractNumId w:val="10"/>
  </w:num>
  <w:num w:numId="30">
    <w:abstractNumId w:val="39"/>
  </w:num>
  <w:num w:numId="31">
    <w:abstractNumId w:val="13"/>
  </w:num>
  <w:num w:numId="32">
    <w:abstractNumId w:val="31"/>
  </w:num>
  <w:num w:numId="33">
    <w:abstractNumId w:val="33"/>
  </w:num>
  <w:num w:numId="34">
    <w:abstractNumId w:val="22"/>
  </w:num>
  <w:num w:numId="35">
    <w:abstractNumId w:val="26"/>
  </w:num>
  <w:num w:numId="36">
    <w:abstractNumId w:val="28"/>
  </w:num>
  <w:num w:numId="37">
    <w:abstractNumId w:val="11"/>
  </w:num>
  <w:num w:numId="38">
    <w:abstractNumId w:val="17"/>
  </w:num>
  <w:num w:numId="39">
    <w:abstractNumId w:val="38"/>
  </w:num>
  <w:num w:numId="40">
    <w:abstractNumId w:val="2"/>
  </w:num>
  <w:num w:numId="41">
    <w:abstractNumId w:val="6"/>
  </w:num>
  <w:num w:numId="42">
    <w:abstractNumId w:val="37"/>
  </w:num>
  <w:num w:numId="43">
    <w:abstractNumId w:val="27"/>
  </w:num>
  <w:num w:numId="44">
    <w:abstractNumId w:val="13"/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4E066974-9A1A-4640-A7A7-CBDC37F1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VID-19_International_Lage_2020-07-27.pptx" TargetMode="External"/><Relationship Id="rId13" Type="http://schemas.openxmlformats.org/officeDocument/2006/relationships/hyperlink" Target="CoronaKita_Krisenstab_2020-07-27.pptx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20200723_RKI%20Corona-Warn-App_Relaunch_V2.pd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20200623_RKI%20Corona-Warn-App_Relaunch_V1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Lage-National_2020-07-27.pptx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protect-public.hhs.gov/pages/hospital-capacity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61406"/>
    <w:rPr>
      <w:color w:val="808080"/>
    </w:rPr>
  </w:style>
  <w:style w:type="paragraph" w:customStyle="1" w:styleId="0A67EC378ADB4363968F76466F3994ED">
    <w:name w:val="0A67EC378ADB4363968F76466F3994ED"/>
    <w:rsid w:val="005523E3"/>
  </w:style>
  <w:style w:type="paragraph" w:customStyle="1" w:styleId="0F773A1FCB61483A80E8B309D8E6A01A">
    <w:name w:val="0F773A1FCB61483A80E8B309D8E6A01A"/>
    <w:rsid w:val="0026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67873-EA97-47DA-A90C-274531F15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2184</Words>
  <Characters>13764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Grote, Ulrike</cp:lastModifiedBy>
  <cp:revision>13</cp:revision>
  <dcterms:created xsi:type="dcterms:W3CDTF">2020-07-27T05:30:00Z</dcterms:created>
  <dcterms:modified xsi:type="dcterms:W3CDTF">2021-05-10T14:12:00Z</dcterms:modified>
</cp:coreProperties>
</file>