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05.08.2020,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Viterokonferenz</w:t>
          </w:r>
          <w:proofErr w:type="spellEnd"/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Lars Schaade 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Annette Mankertz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Thomas Lampert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Ralf Dürrwald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Muna Abu Sin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Christian Herzog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Johanna Hanefeld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Flora Haderer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Andreas Jansen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Sarah McFarland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Heidrun </w:t>
      </w:r>
      <w:proofErr w:type="spellStart"/>
      <w:r>
        <w:rPr>
          <w:sz w:val="22"/>
        </w:rPr>
        <w:t>Thaiss</w:t>
      </w:r>
      <w:proofErr w:type="spellEnd"/>
    </w:p>
    <w:p>
      <w:pPr>
        <w:pStyle w:val="Listenabsatz"/>
        <w:numPr>
          <w:ilvl w:val="0"/>
          <w:numId w:val="2"/>
        </w:numPr>
        <w:spacing w:after="0"/>
        <w:ind w:left="714" w:hanging="357"/>
        <w:rPr>
          <w:sz w:val="22"/>
        </w:rPr>
      </w:pPr>
      <w:r>
        <w:rPr>
          <w:sz w:val="22"/>
        </w:rPr>
        <w:t>BMG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Iris Andernach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Christophe Bayer</w:t>
      </w:r>
    </w:p>
    <w:p>
      <w:pPr>
        <w:pStyle w:val="Listenabsatz"/>
        <w:numPr>
          <w:ilvl w:val="0"/>
          <w:numId w:val="2"/>
        </w:numPr>
        <w:spacing w:after="0"/>
        <w:ind w:left="714" w:hanging="357"/>
        <w:rPr>
          <w:sz w:val="22"/>
        </w:rPr>
      </w:pPr>
      <w:r>
        <w:rPr>
          <w:sz w:val="22"/>
        </w:rPr>
        <w:lastRenderedPageBreak/>
        <w:t>MF3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Nancy Erickson (Protokoll)</w:t>
      </w:r>
    </w:p>
    <w:p>
      <w:pPr>
        <w:pStyle w:val="Listenabsatz"/>
        <w:spacing w:after="0"/>
        <w:ind w:left="1440"/>
        <w:contextualSpacing w:val="0"/>
        <w:rPr>
          <w:sz w:val="22"/>
          <w:highlight w:val="yellow"/>
        </w:rPr>
      </w:pP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Trendanalyse international, Maßnahmen (Folien hier: </w:t>
            </w:r>
            <w:hyperlink r:id="rId8" w:history="1">
              <w:r>
                <w:rPr>
                  <w:rStyle w:val="Hyperlink"/>
                  <w:sz w:val="22"/>
                  <w:szCs w:val="22"/>
                </w:rPr>
                <w:t>COVID-19 International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18 Mio. Fälle und  694.000 Verstorbene (3,8 %) weltweit (Stand 04.08.2020)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10 Länder nach Anzahl neuer Fälle in den letzten 7 Tagen:</w:t>
            </w:r>
          </w:p>
          <w:p>
            <w:pPr>
              <w:pStyle w:val="Listenabsatz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Trends ähnlich, Länder Plätze gewechselt (Kolumbien Platz 5 statt 4 etc.)</w:t>
            </w:r>
          </w:p>
          <w:p>
            <w:pPr>
              <w:pStyle w:val="Listenabsatz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Absteigender Trend in den USA, Brasilien, Südafrika und Russischer Föderation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Länder mit 7-Tages-Inzidenz pro 100.000 Einwohner &gt; 50 Fälle (deutlich weniger als vor 2 Tagen), Südamerika besonders betroffen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 pro 100.000 Einwohner (subnational, WHO EURO) 28.7.-3.8.: West-Ost-Vergleich: Spanien (Navarra, Katalonien und Aragon), Luxemburg, Albanien, Bosnien-Herzegowina, Rumänien, Bulgarien; Rumänien und Bulgarien derzeit nicht als Risikogebiete ausgewiesen; 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Rumänien:</w:t>
            </w:r>
            <w:r>
              <w:rPr>
                <w:sz w:val="22"/>
                <w:szCs w:val="22"/>
              </w:rPr>
              <w:t xml:space="preserve"> ca. 54.000 Fälle, 2.400 Todesfälle, 4,5 % Fallsterblichkeit; in den letzten 7 Tagen ca. 8.000 neue Fälle, ca. 200 Todesfälle; 7-Tages-Inzidenz:  41 neue Fälle, Positivanteil der Tests 5,8 % ; Keine expliziten Cluster identifizierbar, laut ECDC </w:t>
            </w:r>
            <w:proofErr w:type="spellStart"/>
            <w:r>
              <w:rPr>
                <w:sz w:val="22"/>
                <w:szCs w:val="22"/>
              </w:rPr>
              <w:t>SitRep</w:t>
            </w:r>
            <w:proofErr w:type="spellEnd"/>
            <w:r>
              <w:rPr>
                <w:sz w:val="22"/>
                <w:szCs w:val="22"/>
              </w:rPr>
              <w:t xml:space="preserve"> 7-Tage Veränderung +4,43 % 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Laut </w:t>
            </w:r>
            <w:proofErr w:type="spellStart"/>
            <w:r>
              <w:rPr>
                <w:sz w:val="22"/>
                <w:szCs w:val="22"/>
              </w:rPr>
              <w:t>MoH</w:t>
            </w:r>
            <w:proofErr w:type="spellEnd"/>
            <w:r>
              <w:rPr>
                <w:sz w:val="22"/>
                <w:szCs w:val="22"/>
              </w:rPr>
              <w:t xml:space="preserve"> ca. 2.600 rumänische Bürger in DEU positiv getestet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COVID-19-Skepsis wird im Staatsfernsehen übertragen, Desinformations-Kampagnen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Neu bestätigte Fälle pro Tag: stetige Zunahme 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Maßnahmen: Flüge fortgesetzt, Landesgrenze zu Ungarn wieder geöffnet, zu Bulgarien, Moldawien und Ukraine geschlossen 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14-Tage Quarantäne-Liste des </w:t>
            </w:r>
            <w:proofErr w:type="spellStart"/>
            <w:r>
              <w:rPr>
                <w:sz w:val="22"/>
                <w:szCs w:val="22"/>
              </w:rPr>
              <w:t>MoH</w:t>
            </w:r>
            <w:proofErr w:type="spellEnd"/>
            <w:r>
              <w:rPr>
                <w:sz w:val="22"/>
                <w:szCs w:val="22"/>
              </w:rPr>
              <w:t xml:space="preserve"> für Einreisende aus bestimmten Ländern 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18.800 Personen derzeit in häuslicher, 177 in institutionalisierter Quarantäne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Klare Regeln für Restaurants und Clubs, Lockdowns in 3 Gebieten 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Festlegung Risikogebiet 2-stufiger Prozess: 1. Inzidenz &gt; 50 (siehe Muster-Quarantäne-VO; keine Möglichkeit der Streichung von Liste durch qualitative Merkmale) oder 2. Inzidenz &lt; 50, jedoch Hinweise darauf, dass ein relevantes Infektionsrisiko besteht (z.B. durch vermehrt importierte Fälle nach Deutschland)-&gt; regionale Bezifferung muss möglich sein, um pauschale Grenzschließungsforderungen zu </w:t>
            </w:r>
            <w:r>
              <w:rPr>
                <w:sz w:val="22"/>
                <w:szCs w:val="22"/>
              </w:rPr>
              <w:lastRenderedPageBreak/>
              <w:t xml:space="preserve">umgehen. 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 Bulgarien, speziell Varna (Goldküste) wurden in der EpiLag von verschiedenen Bundesländern vermehrt Fälle bei Reiserückkehrern, vornehmlich im Alter zwischen 20-30 Jahren, berichtet, welche dort wahrscheinlich unter Nichteinhaltung der AHA-Regeln gefeiert haben; Bulgarien wurde bilateral über EWRS informiert und gebeten, eine Lageeinschätzung zu geben;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hier: 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Lage-National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212.022 (+741), davon 9.168 (4,3 %) Todesfälle (+12), Inzidenz  255/100.000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., ca. 194.600 Genesene, Reff=0,9; 7T Reff=0,97 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Bundesland-Vergleich:  hohe Fallzahlen in NRW (1.892 Fälle), Bayern (670), BW (442), Hessen (437), 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Kumulative Fallzahl in Bayern und NRW ähnlich, Unterschiede bei Inzidenz von Todesfällen evtl. bedingt durch Altersgruppenverteilung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Vergleich KW 31 mit KW 30:  Zuwachs &gt; 50 % in SH (+132 %), Hessen (+51 %) und Berlin (+50 %)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Nowcasting</w:t>
            </w:r>
            <w:proofErr w:type="spellEnd"/>
            <w:r>
              <w:rPr>
                <w:sz w:val="22"/>
                <w:szCs w:val="22"/>
              </w:rPr>
              <w:t>: Reproduktionszahl unter 1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nach Meldedatum - Top 5: NRW, Berlin, Hessen, HH, Bremen. Gesamt: leichter Anstieg fortgesetzt.</w:t>
            </w: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Geographische Verteilung 7-Tage-Inzidenz: </w:t>
            </w:r>
          </w:p>
          <w:p>
            <w:pPr>
              <w:pStyle w:val="Listenabsatz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 50: LK Dingolfing-Landau (Erntehelfer)</w:t>
            </w:r>
          </w:p>
          <w:p>
            <w:pPr>
              <w:pStyle w:val="Listenabsatz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 25: SK Herne, SK Offenbach (Reiserückkehrer), LK Kleve (Hochzeit)</w:t>
            </w:r>
          </w:p>
          <w:p>
            <w:pPr>
              <w:pStyle w:val="Listenabsatz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Wochenvergleich nicht stark geändert; </w:t>
            </w:r>
          </w:p>
          <w:p>
            <w:pPr>
              <w:pStyle w:val="Listenabsatz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absoluter Fallzahl (letzte 7 Tage) dominieren SK (Köln, HH, Düsseldorf, Duisburg, München), bei Inzidenz o.g. LK bzw. SK</w:t>
            </w:r>
          </w:p>
          <w:p>
            <w:pPr>
              <w:pStyle w:val="Listenabsatz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Aktuelle Ausbrüche: Goslar Studentenwohnheim; Unna: Seniorenheim, Fußballmannschaft, </w:t>
            </w:r>
            <w:proofErr w:type="spellStart"/>
            <w:r>
              <w:rPr>
                <w:sz w:val="22"/>
                <w:szCs w:val="22"/>
              </w:rPr>
              <w:t>Reiserückk</w:t>
            </w:r>
            <w:proofErr w:type="spellEnd"/>
            <w:r>
              <w:rPr>
                <w:sz w:val="22"/>
                <w:szCs w:val="22"/>
              </w:rPr>
              <w:t xml:space="preserve">.; Kleve: Hochzeitsfeier; Herne: </w:t>
            </w:r>
            <w:proofErr w:type="spellStart"/>
            <w:r>
              <w:rPr>
                <w:sz w:val="22"/>
                <w:szCs w:val="22"/>
              </w:rPr>
              <w:t>Reiserückk</w:t>
            </w:r>
            <w:proofErr w:type="spellEnd"/>
            <w:r>
              <w:rPr>
                <w:sz w:val="22"/>
                <w:szCs w:val="22"/>
              </w:rPr>
              <w:t xml:space="preserve">.; Dingolfing-Landau: Gemüsehof; Günzburg: Schule; Wiesbaden: Sommerfest; Düren: Erntehelfer </w:t>
            </w:r>
          </w:p>
          <w:p>
            <w:pPr>
              <w:pStyle w:val="Listenabsatz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Häufigste Expositionsländer im Ausland: Kosovo, Serbien, Türkei, Bulgarien, Rumänien; </w:t>
            </w:r>
          </w:p>
          <w:p>
            <w:pPr>
              <w:pStyle w:val="Listenabsatz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Mögliche Verzerrung durch Testung an Flughäfen derzeit nicht </w:t>
            </w:r>
            <w:proofErr w:type="spellStart"/>
            <w:r>
              <w:rPr>
                <w:sz w:val="22"/>
                <w:szCs w:val="22"/>
              </w:rPr>
              <w:t>präzisierbar</w:t>
            </w:r>
            <w:proofErr w:type="spellEnd"/>
            <w:r>
              <w:rPr>
                <w:sz w:val="22"/>
                <w:szCs w:val="22"/>
              </w:rPr>
              <w:t xml:space="preserve">: Flughafen München derzeit 2.000 Tests pro Tag [angestrebt werden 7.000 bis 8.000/ Tag (= ca. Reiseaufkommen pro Tag aus Risikogebieten) werden angestrebt] und derzeit  0,32 % Positivrate. Flughafen Düsseldorf ca. 1.500 / Tag und laut Presse 2,5 % Positivrate (keine Validierung).  </w:t>
            </w:r>
          </w:p>
          <w:p>
            <w:pPr>
              <w:pStyle w:val="Listenabsatz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Labore für Flughafentests sollten in </w:t>
            </w:r>
            <w:proofErr w:type="spellStart"/>
            <w:r>
              <w:rPr>
                <w:sz w:val="22"/>
                <w:szCs w:val="22"/>
              </w:rPr>
              <w:t>Laborsurveillance</w:t>
            </w:r>
            <w:proofErr w:type="spellEnd"/>
            <w:r>
              <w:rPr>
                <w:sz w:val="22"/>
                <w:szCs w:val="22"/>
              </w:rPr>
              <w:t xml:space="preserve"> mitaufgenommen werden, genaue Anzahl vermutlich erst nach DEMIS zu erheben</w:t>
            </w:r>
          </w:p>
          <w:p>
            <w:pPr>
              <w:pStyle w:val="Listenabsatz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Herr Wieler steht mit </w:t>
            </w:r>
            <w:proofErr w:type="spellStart"/>
            <w:r>
              <w:rPr>
                <w:sz w:val="22"/>
                <w:szCs w:val="22"/>
              </w:rPr>
              <w:t>Ecolog</w:t>
            </w:r>
            <w:proofErr w:type="spellEnd"/>
            <w:r>
              <w:rPr>
                <w:sz w:val="22"/>
                <w:szCs w:val="22"/>
              </w:rPr>
              <w:t xml:space="preserve"> (Herr </w:t>
            </w:r>
            <w:proofErr w:type="spellStart"/>
            <w:r>
              <w:rPr>
                <w:sz w:val="22"/>
                <w:szCs w:val="22"/>
              </w:rPr>
              <w:t>Destani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lastRenderedPageBreak/>
              <w:t xml:space="preserve">Unternehmenschef) in Kontakt; dort Kapazität von ca. 200.000 Tests pro Tag, von Flughafen München beauftragt und prognostisch auch für andere Standorte; Kontakt wird an Frau Böttcher weitergegeben; </w:t>
            </w:r>
          </w:p>
          <w:p>
            <w:pPr>
              <w:pStyle w:val="Listenabsatz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Einrichtung eines Testzentrums an Berliner HBF und </w:t>
            </w:r>
            <w:proofErr w:type="spellStart"/>
            <w:r>
              <w:rPr>
                <w:sz w:val="22"/>
                <w:szCs w:val="22"/>
              </w:rPr>
              <w:t>Omnisbus-Bhf</w:t>
            </w:r>
            <w:proofErr w:type="spellEnd"/>
            <w:r>
              <w:rPr>
                <w:sz w:val="22"/>
                <w:szCs w:val="22"/>
              </w:rPr>
              <w:t xml:space="preserve"> geplant;</w:t>
            </w:r>
          </w:p>
          <w:p>
            <w:pPr>
              <w:pStyle w:val="Listenabsatz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Vergleich der von Flughäfen erhobenen Zahlen mit Vorsicht, Bias möglich (Düsseldorf &gt; Osteuropa-Flüge dominant, München international) zu berücksichtigen bei Interpretation der Positivraten;  </w:t>
            </w: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Syndromische</w:t>
            </w:r>
            <w:proofErr w:type="spellEnd"/>
            <w:r>
              <w:rPr>
                <w:sz w:val="22"/>
                <w:szCs w:val="22"/>
              </w:rPr>
              <w:t xml:space="preserve"> Surveillance (Folien hier: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ARE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Grippeweb: ARE-Raten bei Kindern von KW 30 auf 31 zurückgegangen, bei Erwachsenen jahreszeitübliches Niveau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Praxisindex: spiegelt diese Werte wieder; relative Zahl der ARE-Arztbesuche auf normalem Sommerniveau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Hohe Konsultations-Inzidenz v.a. durch Kinder (0 bis 4 Jahre) 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ARE-Raten derzeit rückläufig (ggf. in Zusammenhang mit  hoher Schulferiendichte)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ICOSARI-KH-Surveillance:  Anstieg bei 0- bis 4-Jährigen setzt sich nicht fort, &gt; 60-Jährige: kleiner Anstieg zu verzeichnen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SARI-Fälle mit COVID-Diagnose: weiterhin stabil 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ARE: Ca. 3,5 </w:t>
            </w:r>
            <w:proofErr w:type="spellStart"/>
            <w:r>
              <w:rPr>
                <w:sz w:val="22"/>
                <w:szCs w:val="22"/>
              </w:rPr>
              <w:t>Mio</w:t>
            </w:r>
            <w:proofErr w:type="spellEnd"/>
            <w:r>
              <w:rPr>
                <w:sz w:val="22"/>
                <w:szCs w:val="22"/>
              </w:rPr>
              <w:t xml:space="preserve"> Tests seit Beginn, kumulative Positivität von 2,2 %  (KW 31 etwas niedriger als KW 30, Nachübermittlung, wird diesen Wert höchstwahrscheinlich nivellieren) 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lokale Ausbruchsgeschehen abbildbar 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Testverzug unter 1,5 Tage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Laborbasierte Surveillance (Folien hier: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Sars in ARS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Verteilung der Tests nach Abnahmeort: Anstieg des Anteils  Krankenhaus &amp; Abnahme Arztpraxis an Wochenenden sehr deutlich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der Tests nach Abnahmeort: Skalierung unterschiedlich, bitte beachten. Abnahmeort Normalstation rückgängig, deutlicher Einbruch in Arztpraxen am Wochenende (verlagert sich nicht ins Krankenhaus, sondern insgesamt Einbruch am Wochenende) 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pro 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nach </w:t>
            </w:r>
            <w:proofErr w:type="spellStart"/>
            <w:r>
              <w:rPr>
                <w:sz w:val="22"/>
                <w:szCs w:val="22"/>
              </w:rPr>
              <w:t>Altersgr</w:t>
            </w:r>
            <w:proofErr w:type="spellEnd"/>
            <w:r>
              <w:rPr>
                <w:sz w:val="22"/>
                <w:szCs w:val="22"/>
              </w:rPr>
              <w:t>. und KW:  Abnahme bei insges. 0-14-Jährigen hält weiterhin an.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Positiven-Anteil: Inzidenz pro Altersgruppe relativ ähnlich zu letzter KW auf niedrigem Niveau in allen Altersgruppen.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Serologische Ergebnisse nach erster positiver PCR-Testung im zeitlichen Verlauf:</w:t>
            </w:r>
          </w:p>
          <w:p>
            <w:pPr>
              <w:pStyle w:val="Listenabsatz"/>
              <w:numPr>
                <w:ilvl w:val="1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AK-negativ (grün): ein (374), zwei (56) oder drei (12) Tests</w:t>
            </w:r>
          </w:p>
          <w:p>
            <w:pPr>
              <w:pStyle w:val="Listenabsatz"/>
              <w:numPr>
                <w:ilvl w:val="1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AK-positiv (rot): nach ein (707), zwei (135) oder drei (47) Tests</w:t>
            </w:r>
          </w:p>
          <w:p>
            <w:pPr>
              <w:pStyle w:val="Listenabsatz"/>
              <w:numPr>
                <w:ilvl w:val="1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AK-positiv oder AK-negativ (braun) im Verlauf: zwei (17) und 3 (15) Tests </w:t>
            </w:r>
          </w:p>
          <w:p>
            <w:pPr>
              <w:pStyle w:val="Listenabsatz"/>
              <w:numPr>
                <w:ilvl w:val="1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Anteil Patienten mit </w:t>
            </w:r>
            <w:proofErr w:type="spellStart"/>
            <w:r>
              <w:rPr>
                <w:sz w:val="22"/>
                <w:szCs w:val="22"/>
              </w:rPr>
              <w:t>IgG</w:t>
            </w:r>
            <w:proofErr w:type="spellEnd"/>
            <w:r>
              <w:rPr>
                <w:sz w:val="22"/>
                <w:szCs w:val="22"/>
              </w:rPr>
              <w:t xml:space="preserve">-Nachweis nach positiver PCR pro Woche in zeitl. Verlauf: 50 % in erster Woche AK-positiv; in zweiter Woche 75 %. Im weiteren Verlauf kein weiterer Anstieg - 25 % </w:t>
            </w:r>
            <w:proofErr w:type="spellStart"/>
            <w:r>
              <w:rPr>
                <w:sz w:val="22"/>
                <w:szCs w:val="22"/>
              </w:rPr>
              <w:t>serokonvertieren</w:t>
            </w:r>
            <w:proofErr w:type="spellEnd"/>
            <w:r>
              <w:rPr>
                <w:sz w:val="22"/>
                <w:szCs w:val="22"/>
              </w:rPr>
              <w:t xml:space="preserve"> nicht. </w:t>
            </w:r>
          </w:p>
          <w:p>
            <w:pPr>
              <w:pStyle w:val="Listenabsatz"/>
              <w:numPr>
                <w:ilvl w:val="1"/>
                <w:numId w:val="32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IgG</w:t>
            </w:r>
            <w:proofErr w:type="spellEnd"/>
            <w:r>
              <w:rPr>
                <w:sz w:val="22"/>
                <w:szCs w:val="22"/>
              </w:rPr>
              <w:t xml:space="preserve">-Nachweis-Rate steigt mit zunehmendem Alter (Zunahme Anteil </w:t>
            </w:r>
            <w:proofErr w:type="spellStart"/>
            <w:r>
              <w:rPr>
                <w:sz w:val="22"/>
                <w:szCs w:val="22"/>
              </w:rPr>
              <w:t>serokonvertierter</w:t>
            </w:r>
            <w:proofErr w:type="spellEnd"/>
            <w:r>
              <w:rPr>
                <w:sz w:val="22"/>
                <w:szCs w:val="22"/>
              </w:rPr>
              <w:t xml:space="preserve"> Fälle)</w:t>
            </w:r>
          </w:p>
          <w:p>
            <w:pPr>
              <w:pStyle w:val="Listenabsatz"/>
              <w:numPr>
                <w:ilvl w:val="1"/>
                <w:numId w:val="32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IgG</w:t>
            </w:r>
            <w:proofErr w:type="spellEnd"/>
            <w:r>
              <w:rPr>
                <w:sz w:val="22"/>
                <w:szCs w:val="22"/>
              </w:rPr>
              <w:t xml:space="preserve">-Nachweisrate auf Intensivstation wesentlich höher als in Arztpraxis  </w:t>
            </w:r>
          </w:p>
          <w:p>
            <w:pPr>
              <w:pStyle w:val="Listenabsatz"/>
              <w:numPr>
                <w:ilvl w:val="1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Hier auf </w:t>
            </w:r>
            <w:proofErr w:type="spellStart"/>
            <w:r>
              <w:rPr>
                <w:sz w:val="22"/>
                <w:szCs w:val="22"/>
              </w:rPr>
              <w:t>IgG</w:t>
            </w:r>
            <w:proofErr w:type="spellEnd"/>
            <w:r>
              <w:rPr>
                <w:sz w:val="22"/>
                <w:szCs w:val="22"/>
              </w:rPr>
              <w:t xml:space="preserve"> gestützt, da höhere </w:t>
            </w:r>
            <w:proofErr w:type="spellStart"/>
            <w:r>
              <w:rPr>
                <w:sz w:val="22"/>
                <w:szCs w:val="22"/>
              </w:rPr>
              <w:t>Kreuzreaktivität</w:t>
            </w:r>
            <w:proofErr w:type="spellEnd"/>
            <w:r>
              <w:rPr>
                <w:sz w:val="22"/>
                <w:szCs w:val="22"/>
              </w:rPr>
              <w:t xml:space="preserve"> und geringere Zuverlässigkeit bei </w:t>
            </w:r>
            <w:proofErr w:type="spellStart"/>
            <w:r>
              <w:rPr>
                <w:sz w:val="22"/>
                <w:szCs w:val="22"/>
              </w:rPr>
              <w:t>IgA</w:t>
            </w:r>
            <w:proofErr w:type="spellEnd"/>
            <w:r>
              <w:rPr>
                <w:sz w:val="22"/>
                <w:szCs w:val="22"/>
              </w:rPr>
              <w:t xml:space="preserve"> und </w:t>
            </w:r>
            <w:proofErr w:type="spellStart"/>
            <w:r>
              <w:rPr>
                <w:sz w:val="22"/>
                <w:szCs w:val="22"/>
              </w:rPr>
              <w:t>IgM</w:t>
            </w:r>
            <w:proofErr w:type="spellEnd"/>
            <w:r>
              <w:rPr>
                <w:sz w:val="22"/>
                <w:szCs w:val="22"/>
              </w:rPr>
              <w:t>, werden aber noch ausgewertet</w:t>
            </w:r>
          </w:p>
          <w:p>
            <w:pPr>
              <w:pStyle w:val="Listenabsatz"/>
              <w:numPr>
                <w:ilvl w:val="1"/>
                <w:numId w:val="32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</w:t>
            </w:r>
            <w:proofErr w:type="spellEnd"/>
            <w:r>
              <w:rPr>
                <w:sz w:val="22"/>
                <w:szCs w:val="22"/>
              </w:rPr>
              <w:t xml:space="preserve">. ARS: gesetzliche Grundlage vorhanden, Daten werden publiziert werden können  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 xml:space="preserve"> 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Derzeit kein Anpassungsbedarf.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BZgA 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Dt. Städtetag: öffentlicher Gesundheitsdienst kann Testung nicht auffangen, es muss auf ambulantes System zurückgegriffen werden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Unkenntnis der Reiserückkehrer bzw. Herausforderung, ambulante Arztpraxis aufzusuchen &gt; </w:t>
            </w:r>
            <w:r>
              <w:rPr>
                <w:i/>
                <w:sz w:val="22"/>
              </w:rPr>
              <w:t>KBV soll aufgefordert werden, sachdienliche Informationen zu verbreiten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Polarisierung – Zunahme der Sorglosigkeit (unabhängig der Altersgruppe oder Ethnie, mit Flyern versucht, aufzufangen) und Zunahme von Ängsten in Risikogruppen (vergleichbar mit Pandemiebeginn, bis hin zu Interventionsnotwendigkeit) 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Zu Skeptikern / Leugnern: lautstarke aber überschaubare Gruppe, Bedienung vorwiegend klassischer Kanäle (themenspezifisch interaktiv), bei </w:t>
            </w:r>
            <w:proofErr w:type="spellStart"/>
            <w:r>
              <w:rPr>
                <w:sz w:val="22"/>
              </w:rPr>
              <w:t>Youtube</w:t>
            </w:r>
            <w:proofErr w:type="spellEnd"/>
            <w:r>
              <w:rPr>
                <w:sz w:val="22"/>
              </w:rPr>
              <w:t xml:space="preserve"> werden Hinweise auf seriöse Quellen platziert, kein Kontakt zu Influencern geplant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Derzeit viele Anfragen von Bürgern, aber auch von Presse zu „falsch-positiven PCR-Tests“</w:t>
            </w:r>
          </w:p>
          <w:p>
            <w:pPr>
              <w:pStyle w:val="Listenabsatz"/>
              <w:numPr>
                <w:ilvl w:val="0"/>
                <w:numId w:val="31"/>
              </w:num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FAQ wird erarbeitet (</w:t>
            </w:r>
            <w:r>
              <w:rPr>
                <w:i/>
                <w:sz w:val="22"/>
              </w:rPr>
              <w:t>Anfrage an BMG und Parlament zu Material, Info der KBV an AG Diagnostik,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Reminder</w:t>
            </w:r>
            <w:proofErr w:type="spellEnd"/>
            <w:r>
              <w:rPr>
                <w:i/>
                <w:sz w:val="22"/>
              </w:rPr>
              <w:t xml:space="preserve"> an Herrn Mielke</w:t>
            </w:r>
            <w:r>
              <w:rPr>
                <w:sz w:val="22"/>
              </w:rPr>
              <w:t>)</w:t>
            </w:r>
          </w:p>
          <w:p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Neues aus dem BMG</w:t>
            </w:r>
          </w:p>
          <w:p>
            <w:r>
              <w:t>Zusammenfassung Krisenstabssitzung vom 04.08.2020</w:t>
            </w:r>
          </w:p>
          <w:p>
            <w:pPr>
              <w:pStyle w:val="Listenabsatz"/>
              <w:numPr>
                <w:ilvl w:val="0"/>
                <w:numId w:val="34"/>
              </w:numPr>
            </w:pPr>
            <w:r>
              <w:t xml:space="preserve">TOP Politische Einordnung der Demonstrationen am Wochenende: Eingreifen als maßvoll bewertet, keine grundlegende Besorgnis bezgl. innerer Sicherheit, bspw. durch steuernde Wirkung der Initiatoren.  </w:t>
            </w:r>
          </w:p>
          <w:p>
            <w:pPr>
              <w:pStyle w:val="Listenabsatz"/>
              <w:numPr>
                <w:ilvl w:val="0"/>
                <w:numId w:val="34"/>
              </w:numPr>
            </w:pPr>
            <w:r>
              <w:t xml:space="preserve">Konsequenz: deutlicher Bedarf an kommunikativer Öffentlichkeitsarbeit (v.a. Sensibilisierung hinsichtlich Krankheit und Maßnahmen) </w:t>
            </w:r>
          </w:p>
          <w:p>
            <w:pPr>
              <w:pStyle w:val="Listenabsatz"/>
              <w:numPr>
                <w:ilvl w:val="0"/>
                <w:numId w:val="34"/>
              </w:numPr>
            </w:pPr>
            <w:r>
              <w:t xml:space="preserve">Testung nach § 36 IfSG für Einreisende – Verordnung geht in Ressortabstimmung. Pilottest für einreisende Spätaussiedler: zeigt zeitliche und logistische Schwierigkeiten bei Routinetestung an Flughäfen auf, Problembewusstsein vorhanden. </w:t>
            </w:r>
          </w:p>
          <w:p>
            <w:pPr>
              <w:pStyle w:val="Listenabsatz"/>
              <w:numPr>
                <w:ilvl w:val="0"/>
                <w:numId w:val="34"/>
              </w:numPr>
            </w:pPr>
            <w:r>
              <w:t xml:space="preserve">IT Projekt  im BMI  zur Digitalisierung der Aussteige-Karten und Testung auch </w:t>
            </w:r>
            <w:proofErr w:type="spellStart"/>
            <w:r>
              <w:t>ggü</w:t>
            </w:r>
            <w:proofErr w:type="spellEnd"/>
            <w:r>
              <w:t xml:space="preserve">. Gesundheitsamt. Konkretisierung steht noch aus, RKI kann sich mit Hinweisen einbringen. </w:t>
            </w:r>
          </w:p>
          <w:p>
            <w:pPr>
              <w:pStyle w:val="Listenabsatz"/>
              <w:numPr>
                <w:ilvl w:val="0"/>
                <w:numId w:val="34"/>
              </w:numPr>
            </w:pPr>
            <w:r>
              <w:t xml:space="preserve">Städtetag Gesundheitsausschuss stellt Mangel an Information bei Reisenden fest. Ursache: Verbesserungsbedarf bei Zurverfügungstellung der BMG Informationen (Flugverkehrsträger sollten mehr in Verantwortung genommen werden) sowie teils unterschiedliche Informationen auf BMI Homepage (Problem muss angegangen werden) &gt; Konkretisierung mit neuer Verordnung. Anordnungen sollen Freitag im Bundesanzeiger erscheinen. Beförderer sollen Informationsmaterial und </w:t>
            </w:r>
            <w:proofErr w:type="spellStart"/>
            <w:r>
              <w:t>Aussteigekarten</w:t>
            </w:r>
            <w:proofErr w:type="spellEnd"/>
            <w:r>
              <w:t xml:space="preserve"> verteilen Cave: Beachtung länderspezifischer Regelungen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BMG-Liaison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Strategie Fragen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RKI-intern</w:t>
            </w:r>
          </w:p>
          <w:p>
            <w:pPr>
              <w:rPr>
                <w:sz w:val="22"/>
                <w:szCs w:val="22"/>
              </w:rPr>
            </w:pPr>
            <w:r>
              <w:t>"Partizipation in der COVID-19 Pandemiebekämpfung" Kurzpräsentation der IG Partizipation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35"/>
              </w:numPr>
            </w:pPr>
            <w:r>
              <w:t>IG Partizipation – seit 10/2019 als selbstorganisierte Initiative am RKI</w:t>
            </w:r>
          </w:p>
          <w:p>
            <w:pPr>
              <w:pStyle w:val="Listenabsatz"/>
              <w:numPr>
                <w:ilvl w:val="0"/>
                <w:numId w:val="35"/>
              </w:numPr>
            </w:pPr>
            <w:r>
              <w:t xml:space="preserve">Ziel: Erweiterung des Methodenspektrums am RKI um partizipative Ansätze. Methodik: aktive Einbeziehung von Zielgruppen -&gt; Rollentausch -&gt; Empowerment, nachhaltige und </w:t>
            </w:r>
            <w:proofErr w:type="spellStart"/>
            <w:r>
              <w:t>adressat</w:t>
            </w:r>
            <w:proofErr w:type="spellEnd"/>
            <w:r>
              <w:t>*innengerechte Lösungen</w:t>
            </w:r>
          </w:p>
          <w:p>
            <w:pPr>
              <w:pStyle w:val="Listenabsatz"/>
              <w:numPr>
                <w:ilvl w:val="0"/>
                <w:numId w:val="35"/>
              </w:numPr>
            </w:pPr>
            <w:r>
              <w:t>Kommunikative Herausforderung in der Pandemie schwer-erreichbarer Zielgruppen, Lösungsansatz: aktive Forschungsansätze zur Analyse der Zielgruppe (</w:t>
            </w:r>
            <w:proofErr w:type="spellStart"/>
            <w:r>
              <w:t>photovoice</w:t>
            </w:r>
            <w:proofErr w:type="spellEnd"/>
            <w:r>
              <w:t xml:space="preserve">, </w:t>
            </w:r>
            <w:proofErr w:type="spellStart"/>
            <w:r>
              <w:t>inquiry</w:t>
            </w:r>
            <w:proofErr w:type="spellEnd"/>
            <w:r>
              <w:t xml:space="preserve">), Maßnahmen zur Einbindung bestimmter Gruppen, Risikokommunikation als aktiver Dialog (RCCE) -&gt; entsprechende Überarbeitung des </w:t>
            </w:r>
            <w:r>
              <w:lastRenderedPageBreak/>
              <w:t xml:space="preserve">Pandemieplans auch nach der Krise. Stimme der Zivilgesellschaft fehlt. Angebot von IG einer Beratungsfunktion im Krisenstab </w:t>
            </w:r>
          </w:p>
          <w:p>
            <w:pPr>
              <w:pStyle w:val="Listenabsatz"/>
              <w:numPr>
                <w:ilvl w:val="0"/>
                <w:numId w:val="35"/>
              </w:numPr>
            </w:pPr>
            <w:r>
              <w:t xml:space="preserve">Nichteinbeziehung kann zu Nichtverständnis oder Protesten führen (Göttingen, Gütersloh) &gt; Teilnahme der IG an Ausbruchsteam von Vorteil  </w:t>
            </w:r>
          </w:p>
          <w:p>
            <w:pPr>
              <w:pStyle w:val="Listenabsatz"/>
              <w:numPr>
                <w:ilvl w:val="0"/>
                <w:numId w:val="35"/>
              </w:numPr>
            </w:pPr>
            <w:r>
              <w:t xml:space="preserve">Anregung: Auswertung der Direktanfragen von Einzelpersonen an das RKI (bspw. via Presse) zwecks Rückspieglung in die Gesellschaft </w:t>
            </w:r>
          </w:p>
          <w:p>
            <w:pPr>
              <w:pStyle w:val="Listenabsatz"/>
              <w:numPr>
                <w:ilvl w:val="0"/>
                <w:numId w:val="35"/>
              </w:numPr>
            </w:pPr>
            <w:r>
              <w:t xml:space="preserve">Partizipative Umsetzung durch Gesundheitsämter gewünscht, ebenfalls hinsichtlich serologischer Studien. &gt; Bei Ausbuchsbekämpfung und Studienplanung soll Partizipation berücksichtigt werden </w:t>
            </w: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do: Kontaktherstellung Frau Haderer - BZgA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Allgemein</w:t>
            </w:r>
          </w:p>
          <w:p>
            <w:pPr>
              <w:rPr>
                <w:b/>
              </w:rPr>
            </w:pPr>
            <w:r>
              <w:t>Konzept „marginalisierte Gruppen“ (</w:t>
            </w:r>
            <w:hyperlink r:id="rId12" w:history="1">
              <w:r>
                <w:rPr>
                  <w:rStyle w:val="Hyperlink"/>
                </w:rPr>
                <w:t>Folien hier – Sinti und Roma</w:t>
              </w:r>
            </w:hyperlink>
            <w:r>
              <w:t>)</w:t>
            </w:r>
          </w:p>
          <w:p>
            <w:pPr>
              <w:pStyle w:val="Listenabsatz"/>
              <w:numPr>
                <w:ilvl w:val="0"/>
                <w:numId w:val="36"/>
              </w:numPr>
            </w:pPr>
            <w:r>
              <w:t xml:space="preserve">Fokus sollte auf marginalisierte Populationen erweitert werden, um Stigmatisierung zu vermeiden </w:t>
            </w:r>
          </w:p>
          <w:p>
            <w:pPr>
              <w:pStyle w:val="Listenabsatz"/>
              <w:numPr>
                <w:ilvl w:val="0"/>
                <w:numId w:val="36"/>
              </w:numPr>
            </w:pPr>
            <w:r>
              <w:t>Gezielte Ansätze nötig, Effektivität von AHA-Regeln maßgeblich von Mitwirkung marginalisierter Gruppen bestimmt</w:t>
            </w:r>
          </w:p>
          <w:p>
            <w:pPr>
              <w:pStyle w:val="Listenabsatz"/>
              <w:numPr>
                <w:ilvl w:val="0"/>
                <w:numId w:val="36"/>
              </w:numPr>
            </w:pPr>
            <w:r>
              <w:t xml:space="preserve">Identifikation von Herausforderungen in Ausbruchsgeschehen: Sprachbarriere, Informationsdefizit, bilaterales Misstrauen (Community </w:t>
            </w:r>
            <w:r>
              <w:rPr>
                <w:i/>
              </w:rPr>
              <w:t xml:space="preserve">versus </w:t>
            </w:r>
            <w:r>
              <w:t>Behörde), sozioökonomische (beengte Wohnverhältnisse, informelle Beschäftigungstätigkeit) und religiöse Faktoren.</w:t>
            </w:r>
          </w:p>
          <w:p>
            <w:pPr>
              <w:pStyle w:val="Listenabsatz"/>
              <w:numPr>
                <w:ilvl w:val="0"/>
                <w:numId w:val="36"/>
              </w:numPr>
            </w:pPr>
            <w:r>
              <w:t xml:space="preserve">Zwei Konzeptaspekte: effektive Kommunikation und Berücksichtigung der Lebenssituation, dazu Analyse </w:t>
            </w:r>
          </w:p>
          <w:p>
            <w:pPr>
              <w:pStyle w:val="Listenabsatz"/>
              <w:numPr>
                <w:ilvl w:val="0"/>
                <w:numId w:val="36"/>
              </w:numPr>
            </w:pPr>
            <w:r>
              <w:t xml:space="preserve">Konkrete Handlungsvorschläge: Überwindung Informationsdefizit und Sprachbarriere, Selbstorganisation, antidiskriminierende Berichterstattung -&gt; Schlüsselkomponenten in Pandemieeindämmung </w:t>
            </w:r>
          </w:p>
          <w:p>
            <w:pPr>
              <w:pStyle w:val="Listenabsatz"/>
              <w:numPr>
                <w:ilvl w:val="0"/>
                <w:numId w:val="36"/>
              </w:numPr>
            </w:pPr>
            <w:r>
              <w:t>Handlung: Umsetzung des erweiterten Fokus, Veröffentlichung einer konzertierten Fassung des Konzeptpapiers (Entwurf bis Ende der Woche) nach Abstimmung mit AGI, BMG und BZgA</w:t>
            </w:r>
          </w:p>
          <w:p>
            <w:pPr>
              <w:pStyle w:val="Listenabsatz"/>
              <w:numPr>
                <w:ilvl w:val="0"/>
                <w:numId w:val="36"/>
              </w:numPr>
            </w:pPr>
            <w:r>
              <w:t>Erweiterung wird auch beim BMG promotet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F. Haderer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 Sarma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Informationen zu Arbeitsschutz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Aktualisierte Infografik (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Folien hier – Einsatzkräfte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vollständige Überarbeitung der Empfehlung für nicht-medizinisches Personal, auch hinsichtl. Aerosolen -&gt; Empfehlungen grundsätzlich gleich, </w:t>
            </w:r>
            <w:proofErr w:type="spellStart"/>
            <w:r>
              <w:rPr>
                <w:sz w:val="22"/>
                <w:szCs w:val="22"/>
              </w:rPr>
              <w:t>zusätzl</w:t>
            </w:r>
            <w:proofErr w:type="spellEnd"/>
            <w:r>
              <w:rPr>
                <w:sz w:val="22"/>
                <w:szCs w:val="22"/>
              </w:rPr>
              <w:t xml:space="preserve">. Hinweis Belüftung im Freien und MNS ohne Ausatemventil. Unkalkulierbare Situation: alternativ Vollmaske bei Einsatzkräften statt FFPE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Unstimmigkeit </w:t>
            </w:r>
            <w:proofErr w:type="gramStart"/>
            <w:r>
              <w:rPr>
                <w:i/>
                <w:sz w:val="22"/>
                <w:szCs w:val="22"/>
              </w:rPr>
              <w:t>hinsichtlich Einfluss</w:t>
            </w:r>
            <w:proofErr w:type="gramEnd"/>
            <w:r>
              <w:rPr>
                <w:i/>
                <w:sz w:val="22"/>
                <w:szCs w:val="22"/>
              </w:rPr>
              <w:t xml:space="preserve"> des Ausatemventils muss geklärt werden (kein Fremdschutz durch Fehlende Filterfunktion versus gewisser Abscheidungseffekt des Ventils).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Icon unten rechts auf Flyer soll ggf.  überarbeitet werden (suggeriert Augen-Nasen-Schutz statt Nasen-Mund-Schutz)</w:t>
            </w:r>
          </w:p>
          <w:p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IBBS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Paper zur Definition von Reinfektionen an Lage zugearbeitet, Ergänzung zu T-Zell-Immunität folgt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Hintergrund: Fälle wurden nach nicht unerheblichem Zeitraum erneut AK-positiv getestet: Reinfektion </w:t>
            </w:r>
            <w:r>
              <w:rPr>
                <w:i/>
                <w:sz w:val="22"/>
                <w:szCs w:val="22"/>
              </w:rPr>
              <w:t xml:space="preserve">versus </w:t>
            </w:r>
            <w:r>
              <w:rPr>
                <w:sz w:val="22"/>
                <w:szCs w:val="22"/>
              </w:rPr>
              <w:t xml:space="preserve">Persistenz.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 zweiter Welle muss der </w:t>
            </w:r>
            <w:proofErr w:type="spellStart"/>
            <w:r>
              <w:rPr>
                <w:sz w:val="22"/>
                <w:szCs w:val="22"/>
              </w:rPr>
              <w:t>cutoff</w:t>
            </w:r>
            <w:proofErr w:type="spellEnd"/>
            <w:r>
              <w:rPr>
                <w:sz w:val="22"/>
                <w:szCs w:val="22"/>
              </w:rPr>
              <w:t xml:space="preserve"> zum Anlegen eines zweiten Falls geklärt werden (Meldewesen nicht  personen-, sondern fallbezogen)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Klärung über Herrn Mielke, ob molekularbiologische Unterscheidung mittels Rückstellproben zwischen Persistenz oder Neuinfektion möglich (Evidenzgrundlage erweitern, bei ZBS bei Probeneinsendung darauf hinweisen) &gt; im Krisenstab zu diskutieren, derzeit seltenes Ereignis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Datenlage zu Reinfektion derzeit dürftig (Anm.: anhaltende Positivität in PCR vermutlich auf  Reste genetischen Materials der Primärinfektion in zellulären Vesikeln zurückzuführen)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Nachweise von </w:t>
            </w: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  <w:r>
              <w:rPr>
                <w:sz w:val="22"/>
                <w:szCs w:val="22"/>
              </w:rPr>
              <w:t xml:space="preserve"> rückläufig (siehe oben)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Nicht besprochen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t>FG36/IBBS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 xml:space="preserve">Stand zum DEMIS-Rollout. Von 378 Kreisen ca. 50 %  aktuelle Software UND Zertifikat vorhanden (= grün, Voraussetzung, um elektronische Meldung von positiven Nachweisen zu erhalten), Teile nur Software (gelb), nur Zertifikat (= blau) oder  weder noch (= grau, Anm.: Berlin grau, da Aufteilung nach Bezirken in dieser Auswertung mit </w:t>
            </w:r>
            <w:proofErr w:type="spellStart"/>
            <w:r>
              <w:rPr>
                <w:sz w:val="22"/>
              </w:rPr>
              <w:t>Regiograph</w:t>
            </w:r>
            <w:proofErr w:type="spellEnd"/>
            <w:r>
              <w:rPr>
                <w:sz w:val="22"/>
              </w:rPr>
              <w:t xml:space="preserve"> nicht möglich).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 xml:space="preserve">Derzeit fehlen bei 20% der Gesundheitsämter Ansprechpartner für Bestellung und Zertifikaterhalt (Urlaubszeit).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Labore: 226, davon 87 angeschlossen. Weitere folgen.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Flächendeckende Funktion laut DEMIS Geschäftsstelle in kommenden Wochen. Meldung auch des Testungsgrundes möglich (auf Basis von Einreise oder Corona-Warn-App)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Geplante VO zur verpflichtenden Testung ausgesprochen.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proofErr w:type="spellStart"/>
            <w:r>
              <w:rPr>
                <w:sz w:val="22"/>
              </w:rPr>
              <w:t>Aussteigekarten</w:t>
            </w:r>
            <w:proofErr w:type="spellEnd"/>
            <w:r>
              <w:rPr>
                <w:sz w:val="22"/>
              </w:rPr>
              <w:t xml:space="preserve">: Digitalisierung unbedingt erforderlich, derzeit in Papierform, Zuordnung zu Gesundheitsamt erschwert, wird in Kritik geraten. </w:t>
            </w:r>
          </w:p>
          <w:p>
            <w:pPr>
              <w:pStyle w:val="Listenabsatz"/>
              <w:ind w:left="453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Derzeit </w:t>
            </w:r>
            <w:r>
              <w:rPr>
                <w:sz w:val="22"/>
                <w:szCs w:val="22"/>
              </w:rPr>
              <w:t xml:space="preserve">erhebliche Engpässe bei Besetzung, vermehrte Unterstützung anderer Abteilungen nötig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Verstärkte Automatisierung und Reduktion täglicher Inhalte des Lageberichts nötig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Ausführlichkeit und Frequenz dem BMG wichtig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Aktuelle Lösung: ausführlicher Bericht 1x/Woche; hingegen Reduktion der täglichen Inhalte, bei Redundanz Verweis auf Dashboard ausreichend und Auslassen des Berichts am Sonntag (Konzept ist vorzulegen)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Langfristige Lösung: alle Inhalte sollen automatisiert erstellt werden (siehe Konzept RKI 2025)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Komplette Auslagerung auf das Dashboard aus Datenschutzgründen nicht möglich </w:t>
            </w:r>
          </w:p>
          <w:p>
            <w:pPr>
              <w:ind w:left="11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Nicht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besprochen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07.08.2020, 11:00 Uhr – 13 Uhr, via </w:t>
            </w:r>
            <w:proofErr w:type="spellStart"/>
            <w:r>
              <w:rPr>
                <w:sz w:val="22"/>
                <w:szCs w:val="22"/>
              </w:rPr>
              <w:t>Vitero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  <w:sz w:val="16"/>
      </w:rPr>
      <w:t>VS - NUR FÜR DEN DIENSTGEBRAUCH</w:t>
    </w:r>
    <w:r>
      <w:rPr>
        <w:color w:val="1F497D" w:themeColor="text2"/>
      </w:rPr>
      <w:tab/>
    </w:r>
    <w:r>
      <w:rPr>
        <w:color w:val="1F497D" w:themeColor="text2"/>
      </w:rPr>
      <w:tab/>
    </w:r>
    <w:r>
      <w:rPr>
        <w:noProof/>
        <w:color w:val="1F497D" w:themeColor="text2"/>
        <w:lang w:eastAsia="de-DE"/>
      </w:rPr>
      <w:drawing>
        <wp:inline distT="0" distB="0" distL="0" distR="0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BBD"/>
    <w:multiLevelType w:val="hybridMultilevel"/>
    <w:tmpl w:val="F33E2324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6E7154"/>
    <w:multiLevelType w:val="hybridMultilevel"/>
    <w:tmpl w:val="04D22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80C93"/>
    <w:multiLevelType w:val="hybridMultilevel"/>
    <w:tmpl w:val="B3382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2588297E"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1DA4626E">
      <w:start w:val="6"/>
      <w:numFmt w:val="bullet"/>
      <w:lvlText w:val="-"/>
      <w:lvlJc w:val="left"/>
      <w:pPr>
        <w:ind w:left="4320" w:hanging="360"/>
      </w:pPr>
      <w:rPr>
        <w:rFonts w:ascii="Cambria" w:eastAsiaTheme="minorHAnsi" w:hAnsi="Cambria" w:cstheme="minorBidi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250E18"/>
    <w:multiLevelType w:val="hybridMultilevel"/>
    <w:tmpl w:val="A8343E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97807"/>
    <w:multiLevelType w:val="hybridMultilevel"/>
    <w:tmpl w:val="6E182EA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E1197"/>
    <w:multiLevelType w:val="hybridMultilevel"/>
    <w:tmpl w:val="C80E5A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F1D53"/>
    <w:multiLevelType w:val="hybridMultilevel"/>
    <w:tmpl w:val="135053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AB4B65"/>
    <w:multiLevelType w:val="hybridMultilevel"/>
    <w:tmpl w:val="4FDC4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C5EC8"/>
    <w:multiLevelType w:val="hybridMultilevel"/>
    <w:tmpl w:val="B91CF4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333CF3"/>
    <w:multiLevelType w:val="hybridMultilevel"/>
    <w:tmpl w:val="E2B49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758C2"/>
    <w:multiLevelType w:val="hybridMultilevel"/>
    <w:tmpl w:val="FDD68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453EF8"/>
    <w:multiLevelType w:val="hybridMultilevel"/>
    <w:tmpl w:val="3AC4CF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24"/>
  </w:num>
  <w:num w:numId="5">
    <w:abstractNumId w:val="10"/>
  </w:num>
  <w:num w:numId="6">
    <w:abstractNumId w:val="25"/>
  </w:num>
  <w:num w:numId="7">
    <w:abstractNumId w:val="32"/>
  </w:num>
  <w:num w:numId="8">
    <w:abstractNumId w:val="18"/>
  </w:num>
  <w:num w:numId="9">
    <w:abstractNumId w:val="7"/>
  </w:num>
  <w:num w:numId="10">
    <w:abstractNumId w:val="37"/>
  </w:num>
  <w:num w:numId="11">
    <w:abstractNumId w:val="31"/>
  </w:num>
  <w:num w:numId="12">
    <w:abstractNumId w:val="22"/>
  </w:num>
  <w:num w:numId="13">
    <w:abstractNumId w:val="17"/>
  </w:num>
  <w:num w:numId="14">
    <w:abstractNumId w:val="28"/>
  </w:num>
  <w:num w:numId="15">
    <w:abstractNumId w:val="23"/>
  </w:num>
  <w:num w:numId="16">
    <w:abstractNumId w:val="1"/>
  </w:num>
  <w:num w:numId="17">
    <w:abstractNumId w:val="16"/>
  </w:num>
  <w:num w:numId="18">
    <w:abstractNumId w:val="34"/>
  </w:num>
  <w:num w:numId="19">
    <w:abstractNumId w:val="14"/>
  </w:num>
  <w:num w:numId="20">
    <w:abstractNumId w:val="33"/>
  </w:num>
  <w:num w:numId="21">
    <w:abstractNumId w:val="9"/>
  </w:num>
  <w:num w:numId="22">
    <w:abstractNumId w:val="11"/>
  </w:num>
  <w:num w:numId="23">
    <w:abstractNumId w:val="3"/>
  </w:num>
  <w:num w:numId="24">
    <w:abstractNumId w:val="29"/>
  </w:num>
  <w:num w:numId="25">
    <w:abstractNumId w:val="20"/>
  </w:num>
  <w:num w:numId="26">
    <w:abstractNumId w:val="2"/>
  </w:num>
  <w:num w:numId="27">
    <w:abstractNumId w:val="30"/>
  </w:num>
  <w:num w:numId="28">
    <w:abstractNumId w:val="35"/>
  </w:num>
  <w:num w:numId="29">
    <w:abstractNumId w:val="12"/>
  </w:num>
  <w:num w:numId="30">
    <w:abstractNumId w:val="21"/>
  </w:num>
  <w:num w:numId="31">
    <w:abstractNumId w:val="13"/>
  </w:num>
  <w:num w:numId="32">
    <w:abstractNumId w:val="0"/>
  </w:num>
  <w:num w:numId="33">
    <w:abstractNumId w:val="4"/>
  </w:num>
  <w:num w:numId="34">
    <w:abstractNumId w:val="36"/>
  </w:num>
  <w:num w:numId="35">
    <w:abstractNumId w:val="27"/>
  </w:num>
  <w:num w:numId="36">
    <w:abstractNumId w:val="26"/>
  </w:num>
  <w:num w:numId="37">
    <w:abstractNumId w:val="19"/>
  </w:num>
  <w:num w:numId="3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5A3BFBA7-615C-4BD8-9756-4F2421DE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paragraph" w:customStyle="1" w:styleId="Default">
    <w:name w:val="Default"/>
    <w:pPr>
      <w:autoSpaceDE w:val="0"/>
      <w:autoSpaceDN w:val="0"/>
      <w:adjustRightInd w:val="0"/>
      <w:spacing w:after="0"/>
    </w:pPr>
    <w:rPr>
      <w:rFonts w:ascii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VID-19_International_Lage_2020-08-05.pptx" TargetMode="External"/><Relationship Id="rId13" Type="http://schemas.openxmlformats.org/officeDocument/2006/relationships/hyperlink" Target="Einsatzkraefte_V2.pdf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20200805_Krisenstab%20(ID1372_SintiRoma).ppt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ARS-CoV-2%20in%20ARS_20200805_Krisenstabssitzung.ppt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Entwurf_ARE-Arztbesuche_AGI_bis_KW31_2020_f&#252;r-Krisenstab.pptx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Lage-National_2020-08-05.pptx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9FEA8-0B21-4F3C-99E6-F08CCB39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2273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12</cp:revision>
  <cp:lastPrinted>2020-05-06T16:43:00Z</cp:lastPrinted>
  <dcterms:created xsi:type="dcterms:W3CDTF">2020-08-05T11:14:00Z</dcterms:created>
  <dcterms:modified xsi:type="dcterms:W3CDTF">2021-05-10T14:14:00Z</dcterms:modified>
</cp:coreProperties>
</file>