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line="204" w:lineRule="auto"/>
        <w:contextualSpacing w:val="0"/>
        <w:rPr>
          <w:sz w:val="22"/>
          <w:szCs w:val="22"/>
        </w:rPr>
      </w:pPr>
      <w:r>
        <w:rPr>
          <w:sz w:val="22"/>
          <w:szCs w:val="22"/>
        </w:rPr>
        <w:t>Institutsleitung</w:t>
      </w:r>
    </w:p>
    <w:p>
      <w:pPr>
        <w:pStyle w:val="Listenabsatz"/>
        <w:numPr>
          <w:ilvl w:val="1"/>
          <w:numId w:val="2"/>
        </w:numPr>
        <w:spacing w:after="0" w:line="204" w:lineRule="auto"/>
        <w:contextualSpacing w:val="0"/>
        <w:rPr>
          <w:sz w:val="22"/>
          <w:szCs w:val="22"/>
        </w:rPr>
      </w:pPr>
      <w:r>
        <w:rPr>
          <w:sz w:val="22"/>
          <w:szCs w:val="22"/>
        </w:rPr>
        <w:t>Lothar Wieler</w:t>
      </w:r>
    </w:p>
    <w:p>
      <w:pPr>
        <w:pStyle w:val="Listenabsatz"/>
        <w:numPr>
          <w:ilvl w:val="1"/>
          <w:numId w:val="2"/>
        </w:numPr>
        <w:spacing w:after="0" w:line="204" w:lineRule="auto"/>
        <w:contextualSpacing w:val="0"/>
        <w:rPr>
          <w:sz w:val="22"/>
          <w:szCs w:val="22"/>
        </w:rPr>
      </w:pPr>
      <w:r>
        <w:rPr>
          <w:sz w:val="22"/>
          <w:szCs w:val="22"/>
        </w:rPr>
        <w:t xml:space="preserve">Lars Schaade </w:t>
      </w:r>
    </w:p>
    <w:p>
      <w:pPr>
        <w:pStyle w:val="Listenabsatz"/>
        <w:numPr>
          <w:ilvl w:val="0"/>
          <w:numId w:val="2"/>
        </w:numPr>
        <w:spacing w:after="0" w:line="204" w:lineRule="auto"/>
        <w:ind w:hanging="357"/>
        <w:contextualSpacing w:val="0"/>
        <w:rPr>
          <w:sz w:val="22"/>
          <w:szCs w:val="22"/>
        </w:rPr>
      </w:pPr>
      <w:r>
        <w:rPr>
          <w:sz w:val="22"/>
          <w:szCs w:val="22"/>
        </w:rPr>
        <w:t>Abt. 1</w:t>
      </w:r>
    </w:p>
    <w:p>
      <w:pPr>
        <w:pStyle w:val="Listenabsatz"/>
        <w:numPr>
          <w:ilvl w:val="1"/>
          <w:numId w:val="2"/>
        </w:numPr>
        <w:spacing w:after="0" w:line="204" w:lineRule="auto"/>
        <w:contextualSpacing w:val="0"/>
        <w:rPr>
          <w:sz w:val="22"/>
          <w:szCs w:val="22"/>
        </w:rPr>
      </w:pPr>
      <w:r>
        <w:rPr>
          <w:sz w:val="22"/>
          <w:szCs w:val="22"/>
        </w:rPr>
        <w:t>Martin Mielke</w:t>
      </w:r>
    </w:p>
    <w:p>
      <w:pPr>
        <w:pStyle w:val="Listenabsatz"/>
        <w:numPr>
          <w:ilvl w:val="0"/>
          <w:numId w:val="2"/>
        </w:numPr>
        <w:spacing w:after="0" w:line="204" w:lineRule="auto"/>
        <w:ind w:hanging="357"/>
        <w:contextualSpacing w:val="0"/>
        <w:rPr>
          <w:sz w:val="22"/>
          <w:szCs w:val="22"/>
        </w:rPr>
      </w:pPr>
      <w:r>
        <w:rPr>
          <w:sz w:val="22"/>
          <w:szCs w:val="22"/>
        </w:rPr>
        <w:t>Abt. 2</w:t>
      </w:r>
    </w:p>
    <w:p>
      <w:pPr>
        <w:pStyle w:val="Listenabsatz"/>
        <w:numPr>
          <w:ilvl w:val="0"/>
          <w:numId w:val="2"/>
        </w:numPr>
        <w:spacing w:after="0" w:line="204" w:lineRule="auto"/>
        <w:ind w:hanging="357"/>
        <w:contextualSpacing w:val="0"/>
        <w:rPr>
          <w:sz w:val="22"/>
          <w:szCs w:val="22"/>
        </w:rPr>
      </w:pPr>
      <w:r>
        <w:rPr>
          <w:sz w:val="22"/>
          <w:szCs w:val="22"/>
        </w:rPr>
        <w:t>Abt. 3</w:t>
      </w:r>
    </w:p>
    <w:p>
      <w:pPr>
        <w:pStyle w:val="Listenabsatz"/>
        <w:numPr>
          <w:ilvl w:val="1"/>
          <w:numId w:val="2"/>
        </w:numPr>
        <w:spacing w:after="0" w:line="204" w:lineRule="auto"/>
        <w:contextualSpacing w:val="0"/>
        <w:rPr>
          <w:sz w:val="22"/>
          <w:szCs w:val="22"/>
        </w:rPr>
      </w:pPr>
      <w:r>
        <w:rPr>
          <w:sz w:val="22"/>
          <w:szCs w:val="22"/>
        </w:rPr>
        <w:t>Osamah Hamouda</w:t>
      </w:r>
    </w:p>
    <w:p>
      <w:pPr>
        <w:pStyle w:val="Listenabsatz"/>
        <w:numPr>
          <w:ilvl w:val="0"/>
          <w:numId w:val="2"/>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spacing w:after="0" w:line="204" w:lineRule="auto"/>
        <w:ind w:left="1440"/>
        <w:contextualSpacing w:val="0"/>
        <w:rPr>
          <w:sz w:val="22"/>
          <w:szCs w:val="22"/>
        </w:rPr>
      </w:pPr>
    </w:p>
    <w:p>
      <w:pPr>
        <w:pStyle w:val="Listenabsatz"/>
        <w:numPr>
          <w:ilvl w:val="0"/>
          <w:numId w:val="3"/>
        </w:numPr>
        <w:spacing w:after="0" w:line="204" w:lineRule="auto"/>
        <w:contextualSpacing w:val="0"/>
        <w:rPr>
          <w:sz w:val="22"/>
          <w:szCs w:val="22"/>
        </w:rPr>
      </w:pPr>
      <w:r>
        <w:rPr>
          <w:sz w:val="22"/>
          <w:szCs w:val="22"/>
        </w:rPr>
        <w:t>FG 14</w:t>
      </w:r>
    </w:p>
    <w:p>
      <w:pPr>
        <w:pStyle w:val="Listenabsatz"/>
        <w:numPr>
          <w:ilvl w:val="1"/>
          <w:numId w:val="2"/>
        </w:numPr>
        <w:spacing w:after="0" w:line="204" w:lineRule="auto"/>
        <w:contextualSpacing w:val="0"/>
        <w:rPr>
          <w:sz w:val="22"/>
          <w:szCs w:val="22"/>
        </w:rPr>
      </w:pPr>
      <w:r>
        <w:rPr>
          <w:sz w:val="22"/>
          <w:szCs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line="204" w:lineRule="auto"/>
        <w:contextualSpacing w:val="0"/>
        <w:rPr>
          <w:sz w:val="22"/>
          <w:szCs w:val="22"/>
        </w:rPr>
      </w:pPr>
      <w:r>
        <w:rPr>
          <w:sz w:val="22"/>
          <w:szCs w:val="22"/>
        </w:rPr>
        <w:t>FG 17</w:t>
      </w:r>
    </w:p>
    <w:p>
      <w:pPr>
        <w:pStyle w:val="Listenabsatz"/>
        <w:numPr>
          <w:ilvl w:val="1"/>
          <w:numId w:val="3"/>
        </w:numPr>
        <w:spacing w:after="0" w:line="204" w:lineRule="auto"/>
        <w:contextualSpacing w:val="0"/>
        <w:rPr>
          <w:sz w:val="22"/>
          <w:szCs w:val="22"/>
        </w:rPr>
      </w:pPr>
      <w:r>
        <w:rPr>
          <w:sz w:val="22"/>
          <w:szCs w:val="22"/>
        </w:rPr>
        <w:t xml:space="preserve">Thorsten Wolff </w:t>
      </w:r>
    </w:p>
    <w:p>
      <w:pPr>
        <w:pStyle w:val="Listenabsatz"/>
        <w:numPr>
          <w:ilvl w:val="0"/>
          <w:numId w:val="4"/>
        </w:numPr>
        <w:spacing w:after="0" w:line="204" w:lineRule="auto"/>
        <w:contextualSpacing w:val="0"/>
        <w:rPr>
          <w:sz w:val="22"/>
          <w:szCs w:val="22"/>
        </w:rPr>
      </w:pPr>
      <w:r>
        <w:rPr>
          <w:sz w:val="22"/>
          <w:szCs w:val="22"/>
        </w:rPr>
        <w:t>FG 32</w:t>
      </w:r>
    </w:p>
    <w:p>
      <w:pPr>
        <w:pStyle w:val="Listenabsatz"/>
        <w:numPr>
          <w:ilvl w:val="1"/>
          <w:numId w:val="2"/>
        </w:numPr>
        <w:spacing w:after="0" w:line="204" w:lineRule="auto"/>
        <w:contextualSpacing w:val="0"/>
        <w:rPr>
          <w:sz w:val="22"/>
          <w:szCs w:val="22"/>
        </w:rPr>
      </w:pPr>
      <w:r>
        <w:rPr>
          <w:sz w:val="22"/>
          <w:szCs w:val="22"/>
        </w:rPr>
        <w:t>Maria an der Heiden</w:t>
      </w:r>
    </w:p>
    <w:p>
      <w:pPr>
        <w:pStyle w:val="Listenabsatz"/>
        <w:numPr>
          <w:ilvl w:val="1"/>
          <w:numId w:val="2"/>
        </w:numPr>
        <w:spacing w:after="0" w:line="204" w:lineRule="auto"/>
        <w:contextualSpacing w:val="0"/>
        <w:rPr>
          <w:sz w:val="22"/>
          <w:szCs w:val="22"/>
        </w:rPr>
      </w:pPr>
      <w:r>
        <w:rPr>
          <w:sz w:val="22"/>
          <w:szCs w:val="22"/>
        </w:rPr>
        <w:t>Ute Rexroth</w:t>
      </w:r>
    </w:p>
    <w:p>
      <w:pPr>
        <w:pStyle w:val="Listenabsatz"/>
        <w:numPr>
          <w:ilvl w:val="1"/>
          <w:numId w:val="2"/>
        </w:numPr>
        <w:spacing w:after="0" w:line="204" w:lineRule="auto"/>
        <w:contextualSpacing w:val="0"/>
        <w:rPr>
          <w:sz w:val="22"/>
          <w:szCs w:val="22"/>
        </w:rPr>
      </w:pPr>
      <w:r>
        <w:rPr>
          <w:sz w:val="22"/>
          <w:szCs w:val="22"/>
        </w:rPr>
        <w:t>Inessa Markus (Protokoll)</w:t>
      </w:r>
    </w:p>
    <w:p>
      <w:pPr>
        <w:pStyle w:val="Listenabsatz"/>
        <w:numPr>
          <w:ilvl w:val="0"/>
          <w:numId w:val="4"/>
        </w:numPr>
        <w:spacing w:after="0" w:line="204" w:lineRule="auto"/>
        <w:contextualSpacing w:val="0"/>
        <w:rPr>
          <w:sz w:val="22"/>
          <w:szCs w:val="22"/>
        </w:rPr>
      </w:pPr>
      <w:r>
        <w:rPr>
          <w:sz w:val="22"/>
          <w:szCs w:val="22"/>
        </w:rPr>
        <w:t>FG 33</w:t>
      </w:r>
    </w:p>
    <w:p>
      <w:pPr>
        <w:pStyle w:val="Listenabsatz"/>
        <w:numPr>
          <w:ilvl w:val="0"/>
          <w:numId w:val="4"/>
        </w:numPr>
        <w:spacing w:after="0" w:line="204" w:lineRule="auto"/>
        <w:contextualSpacing w:val="0"/>
        <w:rPr>
          <w:sz w:val="22"/>
          <w:szCs w:val="22"/>
        </w:rPr>
      </w:pPr>
      <w:r>
        <w:rPr>
          <w:sz w:val="22"/>
          <w:szCs w:val="22"/>
        </w:rPr>
        <w:t>FG 34</w:t>
      </w:r>
    </w:p>
    <w:p>
      <w:pPr>
        <w:pStyle w:val="Listenabsatz"/>
        <w:numPr>
          <w:ilvl w:val="0"/>
          <w:numId w:val="2"/>
        </w:numPr>
        <w:spacing w:after="0" w:line="204" w:lineRule="auto"/>
        <w:contextualSpacing w:val="0"/>
        <w:rPr>
          <w:sz w:val="22"/>
          <w:szCs w:val="22"/>
        </w:rPr>
      </w:pPr>
      <w:r>
        <w:rPr>
          <w:sz w:val="22"/>
          <w:szCs w:val="22"/>
        </w:rPr>
        <w:t>FG 36</w:t>
      </w:r>
    </w:p>
    <w:p>
      <w:pPr>
        <w:pStyle w:val="Listenabsatz"/>
        <w:numPr>
          <w:ilvl w:val="1"/>
          <w:numId w:val="2"/>
        </w:numPr>
        <w:spacing w:after="0" w:line="204" w:lineRule="auto"/>
        <w:contextualSpacing w:val="0"/>
        <w:rPr>
          <w:sz w:val="22"/>
          <w:szCs w:val="22"/>
        </w:rPr>
      </w:pPr>
      <w:r>
        <w:rPr>
          <w:sz w:val="22"/>
          <w:szCs w:val="22"/>
        </w:rPr>
        <w:t xml:space="preserve">Silke Buda </w:t>
      </w:r>
    </w:p>
    <w:p>
      <w:pPr>
        <w:pStyle w:val="Listenabsatz"/>
        <w:numPr>
          <w:ilvl w:val="0"/>
          <w:numId w:val="2"/>
        </w:numPr>
        <w:spacing w:after="0" w:line="204" w:lineRule="auto"/>
        <w:contextualSpacing w:val="0"/>
        <w:rPr>
          <w:sz w:val="22"/>
          <w:szCs w:val="22"/>
        </w:rPr>
      </w:pPr>
      <w:r>
        <w:rPr>
          <w:sz w:val="22"/>
          <w:szCs w:val="22"/>
        </w:rPr>
        <w:t>FG 37</w:t>
      </w:r>
    </w:p>
    <w:p>
      <w:pPr>
        <w:pStyle w:val="Listenabsatz"/>
        <w:numPr>
          <w:ilvl w:val="1"/>
          <w:numId w:val="2"/>
        </w:numPr>
        <w:spacing w:after="0" w:line="204" w:lineRule="auto"/>
        <w:contextualSpacing w:val="0"/>
        <w:rPr>
          <w:sz w:val="22"/>
          <w:szCs w:val="22"/>
        </w:rPr>
      </w:pPr>
      <w:r>
        <w:rPr>
          <w:sz w:val="22"/>
          <w:szCs w:val="22"/>
        </w:rPr>
        <w:t xml:space="preserve">Tim Eckmanns </w:t>
      </w:r>
    </w:p>
    <w:p>
      <w:pPr>
        <w:pStyle w:val="Listenabsatz"/>
        <w:numPr>
          <w:ilvl w:val="0"/>
          <w:numId w:val="3"/>
        </w:numPr>
        <w:spacing w:after="0" w:line="204" w:lineRule="auto"/>
        <w:contextualSpacing w:val="0"/>
        <w:rPr>
          <w:sz w:val="22"/>
          <w:szCs w:val="22"/>
        </w:rPr>
      </w:pPr>
      <w:r>
        <w:rPr>
          <w:sz w:val="22"/>
          <w:szCs w:val="22"/>
        </w:rPr>
        <w:t>IBBS</w:t>
      </w:r>
    </w:p>
    <w:p>
      <w:pPr>
        <w:pStyle w:val="Listenabsatz"/>
        <w:numPr>
          <w:ilvl w:val="1"/>
          <w:numId w:val="3"/>
        </w:numPr>
        <w:spacing w:after="0" w:line="204" w:lineRule="auto"/>
        <w:contextualSpacing w:val="0"/>
        <w:rPr>
          <w:sz w:val="22"/>
          <w:szCs w:val="22"/>
        </w:rPr>
      </w:pPr>
      <w:r>
        <w:rPr>
          <w:sz w:val="22"/>
          <w:szCs w:val="22"/>
        </w:rPr>
        <w:t>Christian Herzog</w:t>
      </w:r>
    </w:p>
    <w:p>
      <w:pPr>
        <w:pStyle w:val="Listenabsatz"/>
        <w:numPr>
          <w:ilvl w:val="0"/>
          <w:numId w:val="3"/>
        </w:numPr>
        <w:spacing w:after="0" w:line="204" w:lineRule="auto"/>
        <w:contextualSpacing w:val="0"/>
        <w:rPr>
          <w:sz w:val="22"/>
          <w:szCs w:val="22"/>
        </w:rPr>
      </w:pPr>
      <w:r>
        <w:rPr>
          <w:sz w:val="22"/>
          <w:szCs w:val="22"/>
        </w:rPr>
        <w:t>Presse</w:t>
      </w:r>
    </w:p>
    <w:p>
      <w:pPr>
        <w:pStyle w:val="Listenabsatz"/>
        <w:numPr>
          <w:ilvl w:val="1"/>
          <w:numId w:val="3"/>
        </w:numPr>
        <w:spacing w:after="0" w:line="204" w:lineRule="auto"/>
        <w:contextualSpacing w:val="0"/>
        <w:rPr>
          <w:sz w:val="22"/>
          <w:szCs w:val="22"/>
        </w:rPr>
      </w:pPr>
      <w:r>
        <w:rPr>
          <w:sz w:val="22"/>
          <w:szCs w:val="22"/>
        </w:rPr>
        <w:t>Ronja Wenchel</w:t>
      </w:r>
    </w:p>
    <w:p>
      <w:pPr>
        <w:pStyle w:val="Listenabsatz"/>
        <w:numPr>
          <w:ilvl w:val="0"/>
          <w:numId w:val="2"/>
        </w:numPr>
        <w:spacing w:after="0" w:line="204" w:lineRule="auto"/>
        <w:contextualSpacing w:val="0"/>
        <w:rPr>
          <w:sz w:val="22"/>
          <w:szCs w:val="22"/>
        </w:rPr>
      </w:pPr>
      <w:r>
        <w:rPr>
          <w:sz w:val="22"/>
          <w:szCs w:val="22"/>
        </w:rPr>
        <w:t>ZBS1</w:t>
      </w:r>
    </w:p>
    <w:p>
      <w:pPr>
        <w:pStyle w:val="Listenabsatz"/>
        <w:numPr>
          <w:ilvl w:val="1"/>
          <w:numId w:val="2"/>
        </w:numPr>
        <w:spacing w:after="0" w:line="204" w:lineRule="auto"/>
        <w:contextualSpacing w:val="0"/>
        <w:rPr>
          <w:sz w:val="22"/>
          <w:szCs w:val="22"/>
        </w:rPr>
      </w:pPr>
      <w:r>
        <w:rPr>
          <w:sz w:val="22"/>
          <w:szCs w:val="22"/>
        </w:rPr>
        <w:t xml:space="preserve">Eva Krause </w:t>
      </w:r>
    </w:p>
    <w:p>
      <w:pPr>
        <w:pStyle w:val="Listenabsatz"/>
        <w:numPr>
          <w:ilvl w:val="1"/>
          <w:numId w:val="2"/>
        </w:numPr>
        <w:spacing w:after="0"/>
        <w:contextualSpacing w:val="0"/>
        <w:rPr>
          <w:sz w:val="22"/>
        </w:rPr>
      </w:pPr>
      <w:r>
        <w:rPr>
          <w:sz w:val="22"/>
        </w:rPr>
        <w:t>Marcia Grossegesse</w:t>
      </w:r>
    </w:p>
    <w:p>
      <w:pPr>
        <w:pStyle w:val="Listenabsatz"/>
        <w:numPr>
          <w:ilvl w:val="0"/>
          <w:numId w:val="2"/>
        </w:numPr>
        <w:spacing w:after="0" w:line="204" w:lineRule="auto"/>
        <w:contextualSpacing w:val="0"/>
        <w:rPr>
          <w:sz w:val="22"/>
          <w:szCs w:val="22"/>
        </w:rPr>
      </w:pPr>
      <w:r>
        <w:rPr>
          <w:sz w:val="22"/>
          <w:szCs w:val="22"/>
        </w:rPr>
        <w:t>ZIG</w:t>
      </w:r>
    </w:p>
    <w:p>
      <w:pPr>
        <w:pStyle w:val="Listenabsatz"/>
        <w:numPr>
          <w:ilvl w:val="1"/>
          <w:numId w:val="2"/>
        </w:numPr>
        <w:spacing w:after="0" w:line="204" w:lineRule="auto"/>
        <w:contextualSpacing w:val="0"/>
        <w:rPr>
          <w:sz w:val="22"/>
          <w:szCs w:val="22"/>
        </w:rPr>
      </w:pPr>
      <w:r>
        <w:rPr>
          <w:sz w:val="22"/>
          <w:szCs w:val="22"/>
        </w:rPr>
        <w:t>Johanna Hanefeld</w:t>
      </w:r>
    </w:p>
    <w:p>
      <w:pPr>
        <w:pStyle w:val="Listenabsatz"/>
        <w:numPr>
          <w:ilvl w:val="0"/>
          <w:numId w:val="2"/>
        </w:numPr>
        <w:spacing w:after="0" w:line="204" w:lineRule="auto"/>
        <w:contextualSpacing w:val="0"/>
        <w:rPr>
          <w:sz w:val="22"/>
          <w:szCs w:val="22"/>
        </w:rPr>
      </w:pPr>
      <w:r>
        <w:rPr>
          <w:sz w:val="22"/>
          <w:szCs w:val="22"/>
        </w:rPr>
        <w:t>ZIG1</w:t>
      </w:r>
    </w:p>
    <w:p>
      <w:pPr>
        <w:pStyle w:val="Listenabsatz"/>
        <w:numPr>
          <w:ilvl w:val="1"/>
          <w:numId w:val="2"/>
        </w:numPr>
        <w:spacing w:after="0" w:line="204" w:lineRule="auto"/>
        <w:contextualSpacing w:val="0"/>
        <w:rPr>
          <w:sz w:val="22"/>
          <w:szCs w:val="22"/>
        </w:rPr>
      </w:pPr>
      <w:r>
        <w:rPr>
          <w:sz w:val="22"/>
          <w:szCs w:val="22"/>
        </w:rPr>
        <w:t xml:space="preserve">Andreas Jansen </w:t>
      </w:r>
    </w:p>
    <w:p>
      <w:pPr>
        <w:pStyle w:val="Listenabsatz"/>
        <w:numPr>
          <w:ilvl w:val="1"/>
          <w:numId w:val="2"/>
        </w:numPr>
        <w:spacing w:after="0" w:line="204" w:lineRule="auto"/>
        <w:contextualSpacing w:val="0"/>
        <w:rPr>
          <w:sz w:val="22"/>
          <w:szCs w:val="22"/>
        </w:rPr>
      </w:pPr>
      <w:r>
        <w:rPr>
          <w:sz w:val="22"/>
          <w:szCs w:val="22"/>
        </w:rPr>
        <w:t>Luisa Denkel</w:t>
      </w:r>
    </w:p>
    <w:p>
      <w:pPr>
        <w:pStyle w:val="Listenabsatz"/>
        <w:numPr>
          <w:ilvl w:val="0"/>
          <w:numId w:val="2"/>
        </w:numPr>
        <w:spacing w:after="0" w:line="204" w:lineRule="auto"/>
        <w:contextualSpacing w:val="0"/>
        <w:rPr>
          <w:sz w:val="22"/>
          <w:szCs w:val="22"/>
        </w:rPr>
      </w:pPr>
      <w:r>
        <w:rPr>
          <w:sz w:val="22"/>
          <w:szCs w:val="22"/>
        </w:rPr>
        <w:t xml:space="preserve">BZgA </w:t>
      </w:r>
    </w:p>
    <w:p>
      <w:pPr>
        <w:pStyle w:val="Listenabsatz"/>
        <w:numPr>
          <w:ilvl w:val="0"/>
          <w:numId w:val="2"/>
        </w:numPr>
        <w:spacing w:after="0" w:line="204" w:lineRule="auto"/>
        <w:ind w:left="714" w:hanging="357"/>
        <w:rPr>
          <w:sz w:val="22"/>
          <w:szCs w:val="22"/>
        </w:rPr>
      </w:pPr>
      <w:r>
        <w:rPr>
          <w:sz w:val="22"/>
          <w:szCs w:val="22"/>
        </w:rPr>
        <w:t>BMG</w:t>
      </w:r>
    </w:p>
    <w:p>
      <w:pPr>
        <w:pStyle w:val="Listenabsatz"/>
        <w:numPr>
          <w:ilvl w:val="1"/>
          <w:numId w:val="2"/>
        </w:numPr>
        <w:spacing w:after="0" w:line="204" w:lineRule="auto"/>
        <w:contextualSpacing w:val="0"/>
        <w:rPr>
          <w:sz w:val="22"/>
          <w:szCs w:val="22"/>
        </w:rPr>
      </w:pPr>
      <w:r>
        <w:rPr>
          <w:sz w:val="22"/>
          <w:szCs w:val="22"/>
        </w:rPr>
        <w:lastRenderedPageBreak/>
        <w:t>Iris Andernach</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rPr>
            </w:pPr>
            <w:r>
              <w:rPr>
                <w:b/>
              </w:rPr>
              <w:t xml:space="preserve">International </w:t>
            </w:r>
          </w:p>
          <w:p>
            <w:r>
              <w:t xml:space="preserve">Trendanalyse international, Maßnahmen (Folien hier: </w:t>
            </w:r>
            <w:hyperlink r:id="rId8" w:history="1">
              <w:r>
                <w:rPr>
                  <w:rStyle w:val="Hyperlink"/>
                </w:rPr>
                <w:t>COVID-19 International</w:t>
              </w:r>
            </w:hyperlink>
            <w:r>
              <w:t>)</w:t>
            </w:r>
          </w:p>
          <w:p>
            <w:pPr>
              <w:pStyle w:val="Listenabsatz"/>
              <w:numPr>
                <w:ilvl w:val="0"/>
                <w:numId w:val="3"/>
              </w:numPr>
            </w:pPr>
            <w:r>
              <w:t>Ca. 19,6 Mio. Fälle und  ca. 727.000 Verstorbene (3,87%) weltweit (Stand 09.08.2020)</w:t>
            </w:r>
          </w:p>
          <w:p>
            <w:pPr>
              <w:pStyle w:val="Listenabsatz"/>
              <w:numPr>
                <w:ilvl w:val="0"/>
                <w:numId w:val="3"/>
              </w:numPr>
              <w:rPr>
                <w:b/>
              </w:rPr>
            </w:pPr>
            <w:r>
              <w:rPr>
                <w:b/>
              </w:rPr>
              <w:t>Top 10 Länder nach Anzahl neuer Fälle in den letzten 7 Tagen:</w:t>
            </w:r>
          </w:p>
          <w:p>
            <w:pPr>
              <w:pStyle w:val="Listenabsatz"/>
              <w:numPr>
                <w:ilvl w:val="1"/>
                <w:numId w:val="3"/>
              </w:numPr>
            </w:pPr>
            <w:r>
              <w:t xml:space="preserve">Indien ist auf Platz 1 und hat USA überholt </w:t>
            </w:r>
          </w:p>
          <w:p>
            <w:pPr>
              <w:pStyle w:val="Listenabsatz"/>
              <w:numPr>
                <w:ilvl w:val="1"/>
                <w:numId w:val="3"/>
              </w:numPr>
            </w:pPr>
            <w:r>
              <w:t>Sonst gleichbleibende Reihenfolge</w:t>
            </w:r>
          </w:p>
          <w:p>
            <w:pPr>
              <w:pStyle w:val="Listenabsatz"/>
              <w:numPr>
                <w:ilvl w:val="1"/>
                <w:numId w:val="3"/>
              </w:numPr>
              <w:rPr>
                <w:b/>
              </w:rPr>
            </w:pPr>
            <w:r>
              <w:t xml:space="preserve">Sinkender Trend in Brasilien, USA, Südafrika, Mexiko und Russland </w:t>
            </w:r>
          </w:p>
          <w:p>
            <w:pPr>
              <w:pStyle w:val="Listenabsatz"/>
              <w:numPr>
                <w:ilvl w:val="0"/>
                <w:numId w:val="3"/>
              </w:numPr>
              <w:rPr>
                <w:b/>
              </w:rPr>
            </w:pPr>
            <w:r>
              <w:rPr>
                <w:b/>
              </w:rPr>
              <w:t xml:space="preserve">7-Tages-Inzidenz pro 100.000 nationaler Ebene </w:t>
            </w:r>
          </w:p>
          <w:p>
            <w:pPr>
              <w:pStyle w:val="Listenabsatz"/>
              <w:numPr>
                <w:ilvl w:val="1"/>
                <w:numId w:val="3"/>
              </w:numPr>
            </w:pPr>
            <w:r>
              <w:t>34 Länder (+3 im Vgl. zu 07.08.)</w:t>
            </w:r>
          </w:p>
          <w:p>
            <w:pPr>
              <w:pStyle w:val="Listenabsatz"/>
              <w:numPr>
                <w:ilvl w:val="1"/>
                <w:numId w:val="3"/>
              </w:numPr>
            </w:pPr>
            <w:r>
              <w:t>Afrika: Südafrika und Cabo Verde</w:t>
            </w:r>
          </w:p>
          <w:p>
            <w:pPr>
              <w:pStyle w:val="Listenabsatz"/>
              <w:numPr>
                <w:ilvl w:val="1"/>
                <w:numId w:val="3"/>
              </w:numPr>
            </w:pPr>
            <w:r>
              <w:t xml:space="preserve">Amerika (neu): Aruba (509 Fälle insg., 113 neue Fälle in den letzten 7 Tagen) </w:t>
            </w:r>
          </w:p>
          <w:p>
            <w:pPr>
              <w:pStyle w:val="Listenabsatz"/>
              <w:numPr>
                <w:ilvl w:val="1"/>
                <w:numId w:val="3"/>
              </w:numPr>
            </w:pPr>
            <w:r>
              <w:t>Asien (neu): Irak ( 147.389 Fälle insg., 20.685 neue Fälle in den letzten 7 Tagen)</w:t>
            </w:r>
          </w:p>
          <w:p>
            <w:pPr>
              <w:pStyle w:val="Listenabsatz"/>
              <w:numPr>
                <w:ilvl w:val="1"/>
                <w:numId w:val="3"/>
              </w:numPr>
              <w:ind w:left="1080"/>
            </w:pPr>
            <w:r>
              <w:t xml:space="preserve">Europa (neu): </w:t>
            </w:r>
            <w:proofErr w:type="spellStart"/>
            <w:r>
              <w:t>Faröer</w:t>
            </w:r>
            <w:proofErr w:type="spellEnd"/>
            <w:r>
              <w:t xml:space="preserve"> Insel (291 Fälle </w:t>
            </w:r>
            <w:proofErr w:type="spellStart"/>
            <w:r>
              <w:t>insg</w:t>
            </w:r>
            <w:proofErr w:type="spellEnd"/>
            <w:r>
              <w:t xml:space="preserve">, 66 neue Fälle in den letzten 7 Tagen), San Marino (717 Fälle </w:t>
            </w:r>
            <w:proofErr w:type="spellStart"/>
            <w:r>
              <w:t>insg</w:t>
            </w:r>
            <w:proofErr w:type="spellEnd"/>
            <w:r>
              <w:t>, 18 neue Fälle in den letzten 7 Tagen)</w:t>
            </w:r>
          </w:p>
          <w:p>
            <w:pPr>
              <w:pStyle w:val="Listenabsatz"/>
              <w:ind w:left="1080"/>
            </w:pPr>
            <w:r>
              <w:t>Spanien (n = 314 362 Fälle , 25 840 neue Fälle in den letzten 7 Tagen)</w:t>
            </w:r>
          </w:p>
          <w:p>
            <w:pPr>
              <w:pStyle w:val="Listenabsatz"/>
              <w:numPr>
                <w:ilvl w:val="0"/>
                <w:numId w:val="3"/>
              </w:numPr>
              <w:rPr>
                <w:b/>
              </w:rPr>
            </w:pPr>
            <w:r>
              <w:rPr>
                <w:b/>
              </w:rPr>
              <w:t xml:space="preserve">7-Tages-Inzidenz pro 100.000 auf subnationaler Ebene (WHO): </w:t>
            </w:r>
          </w:p>
          <w:p>
            <w:pPr>
              <w:pStyle w:val="Listenabsatz"/>
              <w:numPr>
                <w:ilvl w:val="1"/>
                <w:numId w:val="3"/>
              </w:numPr>
            </w:pPr>
            <w:r>
              <w:t>Spanien  mit mehreren Regionen, Luxemburg ganz, Osteuropa zahlreiche Länder wie Bosnien-Herzegowina , Bulgarien, Rumänien, Moldawien, Ukraine</w:t>
            </w:r>
          </w:p>
          <w:p>
            <w:pPr>
              <w:pStyle w:val="Listenabsatz"/>
              <w:numPr>
                <w:ilvl w:val="0"/>
                <w:numId w:val="3"/>
              </w:numPr>
              <w:rPr>
                <w:b/>
              </w:rPr>
            </w:pPr>
            <w:r>
              <w:rPr>
                <w:b/>
              </w:rPr>
              <w:t xml:space="preserve">7-Tages-Inzidenz pro 100.000 auf EU/EEA/UK Subregionen: </w:t>
            </w:r>
          </w:p>
          <w:p>
            <w:pPr>
              <w:pStyle w:val="Listenabsatz"/>
              <w:numPr>
                <w:ilvl w:val="1"/>
                <w:numId w:val="3"/>
              </w:numPr>
            </w:pPr>
            <w:r>
              <w:t>Bulgarien (</w:t>
            </w:r>
            <w:proofErr w:type="spellStart"/>
            <w:r>
              <w:t>Blagoevgrad</w:t>
            </w:r>
            <w:proofErr w:type="spellEnd"/>
            <w:r>
              <w:t xml:space="preserve">, Varna), Luxemburg, Rumänien (4 Regionen), Spanien (Aragon, </w:t>
            </w:r>
            <w:proofErr w:type="spellStart"/>
            <w:r>
              <w:t>Cataluna</w:t>
            </w:r>
            <w:proofErr w:type="spellEnd"/>
            <w:r>
              <w:t>, Madrid, neu: Baskenland)</w:t>
            </w:r>
          </w:p>
          <w:p>
            <w:pPr>
              <w:pStyle w:val="Listenabsatz"/>
              <w:numPr>
                <w:ilvl w:val="0"/>
                <w:numId w:val="3"/>
              </w:numPr>
              <w:rPr>
                <w:b/>
              </w:rPr>
            </w:pPr>
            <w:r>
              <w:rPr>
                <w:b/>
              </w:rPr>
              <w:t>Länder mit über 70.000 neuen COVID-19 Fällen in den letzten 7 Tagen</w:t>
            </w:r>
          </w:p>
          <w:p>
            <w:pPr>
              <w:pStyle w:val="Listenabsatz"/>
              <w:numPr>
                <w:ilvl w:val="1"/>
                <w:numId w:val="3"/>
              </w:numPr>
            </w:pPr>
            <w:r>
              <w:t>Brasilien, Kolumbien, Indien,  USA (Trend abnehmend)</w:t>
            </w:r>
          </w:p>
          <w:p>
            <w:pPr>
              <w:pStyle w:val="Listenabsatz"/>
              <w:numPr>
                <w:ilvl w:val="0"/>
                <w:numId w:val="3"/>
              </w:numPr>
              <w:rPr>
                <w:b/>
              </w:rPr>
            </w:pPr>
            <w:r>
              <w:rPr>
                <w:b/>
              </w:rPr>
              <w:t xml:space="preserve">7-Tage-Trend nach Kontinenten: </w:t>
            </w:r>
          </w:p>
          <w:p>
            <w:pPr>
              <w:pStyle w:val="Listenabsatz"/>
              <w:numPr>
                <w:ilvl w:val="0"/>
                <w:numId w:val="3"/>
              </w:numPr>
              <w:rPr>
                <w:b/>
              </w:rPr>
            </w:pPr>
            <w:r>
              <w:rPr>
                <w:b/>
              </w:rPr>
              <w:t xml:space="preserve">Afrika </w:t>
            </w:r>
          </w:p>
          <w:p>
            <w:pPr>
              <w:pStyle w:val="Listenabsatz"/>
              <w:numPr>
                <w:ilvl w:val="1"/>
                <w:numId w:val="3"/>
              </w:numPr>
            </w:pPr>
            <w:r>
              <w:t xml:space="preserve">1 </w:t>
            </w:r>
            <w:proofErr w:type="spellStart"/>
            <w:r>
              <w:t>Mio</w:t>
            </w:r>
            <w:proofErr w:type="spellEnd"/>
            <w:r>
              <w:t xml:space="preserve"> Fälle (kumulativ) überschritten, 50% aus </w:t>
            </w:r>
            <w:r>
              <w:lastRenderedPageBreak/>
              <w:t xml:space="preserve">Südafrika, seit letzter Woche sind 17/43 insgesamt </w:t>
            </w:r>
          </w:p>
          <w:p>
            <w:pPr>
              <w:pStyle w:val="Listenabsatz"/>
              <w:ind w:left="1440"/>
            </w:pPr>
            <w:r>
              <w:t xml:space="preserve">Experten der WHO zur Unterstützung vor Ort. </w:t>
            </w:r>
          </w:p>
          <w:p>
            <w:pPr>
              <w:pStyle w:val="Listenabsatz"/>
              <w:ind w:left="1440"/>
            </w:pPr>
            <w:r>
              <w:t xml:space="preserve">Senegal (11.000 Fälle insg., 749 in den letzten 7 Tagen) und Libyen (5.000 Fälle insg. 1.458 neue Fälle in den letzten 7 Tagen, 35 % Steigerung) zeigen einen aufsteigenden Trend.  </w:t>
            </w:r>
          </w:p>
          <w:p>
            <w:pPr>
              <w:pStyle w:val="Listenabsatz"/>
              <w:numPr>
                <w:ilvl w:val="0"/>
                <w:numId w:val="3"/>
              </w:numPr>
              <w:rPr>
                <w:b/>
              </w:rPr>
            </w:pPr>
            <w:r>
              <w:rPr>
                <w:b/>
              </w:rPr>
              <w:t>Amerika</w:t>
            </w:r>
          </w:p>
          <w:p>
            <w:pPr>
              <w:pStyle w:val="Listenabsatz"/>
              <w:numPr>
                <w:ilvl w:val="1"/>
                <w:numId w:val="3"/>
              </w:numPr>
            </w:pPr>
            <w:r>
              <w:t>Argentinien und Kolumbien zeigen einen ansteigenden Trend, dieser besteht auch in Mexiko (sichtbar im 14-Tage-Trend)</w:t>
            </w:r>
          </w:p>
          <w:p>
            <w:pPr>
              <w:pStyle w:val="Listenabsatz"/>
              <w:numPr>
                <w:ilvl w:val="0"/>
                <w:numId w:val="3"/>
              </w:numPr>
              <w:rPr>
                <w:b/>
              </w:rPr>
            </w:pPr>
            <w:r>
              <w:rPr>
                <w:b/>
              </w:rPr>
              <w:t>Asien</w:t>
            </w:r>
          </w:p>
          <w:p>
            <w:pPr>
              <w:pStyle w:val="Listenabsatz"/>
              <w:numPr>
                <w:ilvl w:val="1"/>
                <w:numId w:val="3"/>
              </w:numPr>
            </w:pPr>
            <w:r>
              <w:t xml:space="preserve">Indien, Philippinen, Indonesien, Irak und Japan </w:t>
            </w:r>
          </w:p>
          <w:p>
            <w:pPr>
              <w:pStyle w:val="Listenabsatz"/>
              <w:numPr>
                <w:ilvl w:val="0"/>
                <w:numId w:val="3"/>
              </w:numPr>
              <w:rPr>
                <w:b/>
              </w:rPr>
            </w:pPr>
            <w:r>
              <w:rPr>
                <w:b/>
              </w:rPr>
              <w:t>Europa</w:t>
            </w:r>
          </w:p>
          <w:p>
            <w:pPr>
              <w:pStyle w:val="Listenabsatz"/>
              <w:numPr>
                <w:ilvl w:val="1"/>
                <w:numId w:val="3"/>
              </w:numPr>
            </w:pPr>
            <w:r>
              <w:t>Viele Länder mit einem steigenden Trend</w:t>
            </w:r>
          </w:p>
          <w:p>
            <w:pPr>
              <w:pStyle w:val="Listenabsatz"/>
              <w:numPr>
                <w:ilvl w:val="1"/>
                <w:numId w:val="3"/>
              </w:numPr>
            </w:pPr>
            <w:r>
              <w:t xml:space="preserve">Polen (51.000 Fälle insg., 4800 neue Fälle in den letzten 7 Tagen, 30% Steigerung), </w:t>
            </w:r>
          </w:p>
          <w:p>
            <w:pPr>
              <w:pStyle w:val="Listenabsatz"/>
              <w:numPr>
                <w:ilvl w:val="1"/>
                <w:numId w:val="3"/>
              </w:numPr>
            </w:pPr>
            <w:r>
              <w:t>Niederlande (58.000 Fälle insg. 3255 neue Fälle in den letzten 7 Tagen, 63 % Steigerung)</w:t>
            </w:r>
          </w:p>
          <w:p>
            <w:pPr>
              <w:pStyle w:val="Listenabsatz"/>
              <w:numPr>
                <w:ilvl w:val="1"/>
                <w:numId w:val="3"/>
              </w:numPr>
            </w:pPr>
            <w:r>
              <w:t>Griechenland (5.400 Fälle insg., 834 neue Fälle in den letzten 7 Tagen, 50% Steigerung)</w:t>
            </w:r>
          </w:p>
          <w:p>
            <w:pPr>
              <w:pStyle w:val="Listenabsatz"/>
              <w:numPr>
                <w:ilvl w:val="1"/>
                <w:numId w:val="3"/>
              </w:numPr>
              <w:rPr>
                <w:b/>
              </w:rPr>
            </w:pPr>
            <w:r>
              <w:rPr>
                <w:b/>
              </w:rPr>
              <w:t xml:space="preserve">ECDC: 11 Update des RRA für COVID-19 </w:t>
            </w:r>
          </w:p>
          <w:p>
            <w:pPr>
              <w:pStyle w:val="Listenabsatz"/>
              <w:ind w:left="1440"/>
            </w:pPr>
            <w:r>
              <w:t xml:space="preserve">Trends im </w:t>
            </w:r>
            <w:proofErr w:type="spellStart"/>
            <w:r>
              <w:t>Vgl</w:t>
            </w:r>
            <w:proofErr w:type="spellEnd"/>
            <w:r>
              <w:t xml:space="preserve"> zum vorhergehenden RRA/Zahlen </w:t>
            </w:r>
          </w:p>
          <w:p>
            <w:pPr>
              <w:pStyle w:val="Listenabsatz"/>
              <w:ind w:left="1440"/>
            </w:pPr>
            <w:r>
              <w:t xml:space="preserve">Rückläufiger Trend in Schweden, Portugal, Kroatien, Slowenien, restliche Länder steigen an  </w:t>
            </w:r>
          </w:p>
          <w:p>
            <w:pPr>
              <w:pStyle w:val="Listenabsatz"/>
              <w:numPr>
                <w:ilvl w:val="0"/>
                <w:numId w:val="3"/>
              </w:numPr>
            </w:pPr>
            <w:proofErr w:type="spellStart"/>
            <w:r>
              <w:t>Oceanien</w:t>
            </w:r>
            <w:proofErr w:type="spellEnd"/>
          </w:p>
          <w:p>
            <w:pPr>
              <w:pStyle w:val="Listenabsatz"/>
              <w:numPr>
                <w:ilvl w:val="1"/>
                <w:numId w:val="3"/>
              </w:numPr>
            </w:pPr>
            <w:r>
              <w:t xml:space="preserve">In Australien stabilisiert sich die Lage </w:t>
            </w:r>
          </w:p>
          <w:p>
            <w:pPr>
              <w:pStyle w:val="Listenabsatz"/>
              <w:numPr>
                <w:ilvl w:val="0"/>
                <w:numId w:val="3"/>
              </w:numPr>
              <w:rPr>
                <w:b/>
              </w:rPr>
            </w:pPr>
            <w:r>
              <w:t>Zusammenfassung (Folie 12)</w:t>
            </w:r>
          </w:p>
          <w:p>
            <w:pPr>
              <w:pStyle w:val="Listenabsatz"/>
              <w:numPr>
                <w:ilvl w:val="1"/>
                <w:numId w:val="3"/>
              </w:numPr>
            </w:pPr>
            <w:r>
              <w:t xml:space="preserve">&gt; 50 % der neuen Fälle und &gt; 60 % der neuen Todesfälle in den vergangenen 7 Tagen in Nord- Mittel- und Südamerika </w:t>
            </w:r>
          </w:p>
          <w:p>
            <w:pPr>
              <w:pStyle w:val="Listenabsatz"/>
              <w:numPr>
                <w:ilvl w:val="1"/>
                <w:numId w:val="3"/>
              </w:numPr>
              <w:rPr>
                <w:b/>
              </w:rPr>
            </w:pPr>
            <w:r>
              <w:t>Asien: Fokusländer Indien, Philippinen, Indonesien, Japan</w:t>
            </w:r>
          </w:p>
          <w:p>
            <w:pPr>
              <w:pStyle w:val="Listenabsatz"/>
              <w:numPr>
                <w:ilvl w:val="1"/>
                <w:numId w:val="3"/>
              </w:numPr>
            </w:pPr>
            <w:r>
              <w:t xml:space="preserve">&gt; 1 Mio. Fälle (kumulativ) in Afrika </w:t>
            </w:r>
          </w:p>
          <w:p>
            <w:pPr>
              <w:pStyle w:val="Listenabsatz"/>
              <w:numPr>
                <w:ilvl w:val="1"/>
                <w:numId w:val="3"/>
              </w:numPr>
              <w:rPr>
                <w:b/>
              </w:rPr>
            </w:pPr>
            <w:r>
              <w:t>Flächendeckender Anstieg in Europa, mögliche Erklärung ist das Hochfahren der Testung, erklärt jedoch nicht alles (Beispiel: Luxemburg )</w:t>
            </w:r>
          </w:p>
          <w:p>
            <w:pPr>
              <w:pStyle w:val="Listenabsatz"/>
              <w:numPr>
                <w:ilvl w:val="1"/>
                <w:numId w:val="3"/>
              </w:numPr>
            </w:pPr>
            <w:r>
              <w:t>Wichtige Maßnahmen: Nachhaltige Public Health-Maßnahmen zum Schutz vulnerabler Gruppen, extensive Teststrategien, Kontaktpersonennachverfolgung (+ Isolierung von Sars-CoV-2-Positiven und Kontaktpersonen</w:t>
            </w:r>
          </w:p>
          <w:p>
            <w:pPr>
              <w:pStyle w:val="Listenabsatz"/>
              <w:numPr>
                <w:ilvl w:val="1"/>
                <w:numId w:val="3"/>
              </w:numPr>
            </w:pPr>
            <w:r>
              <w:t>Nachhaltige Public Health-Maßnahmen zum Schutz vulnerabler Gruppen, extensive Teststrategien, Kontaktpersonennachverfolgung (+ Isolierung von Sars-CoV-2-Positiven und Kontaktpersonen</w:t>
            </w:r>
          </w:p>
          <w:p>
            <w:pPr>
              <w:pStyle w:val="Listenabsatz"/>
              <w:numPr>
                <w:ilvl w:val="1"/>
                <w:numId w:val="3"/>
              </w:numPr>
            </w:pPr>
            <w:r>
              <w:lastRenderedPageBreak/>
              <w:t>Maßgeschneiderte und anhaltende Risikokommunikation gegen sinkende Compliance sind enorm wichtig</w:t>
            </w:r>
          </w:p>
          <w:p>
            <w:pPr>
              <w:pStyle w:val="Listenabsatz"/>
              <w:numPr>
                <w:ilvl w:val="0"/>
                <w:numId w:val="3"/>
              </w:numPr>
            </w:pPr>
            <w:r>
              <w:t xml:space="preserve">Hinweise zu Belastung des Gesundheitswesen in den USA sowie Anzahl der Todesfälle in Indien wird das nächste Mal berichtet </w:t>
            </w:r>
          </w:p>
          <w:p>
            <w:pPr>
              <w:pStyle w:val="Listenabsatz"/>
              <w:numPr>
                <w:ilvl w:val="0"/>
                <w:numId w:val="3"/>
              </w:numPr>
            </w:pPr>
            <w:r>
              <w:t xml:space="preserve">Der Anstieg in Polen fokussiert sich vor allem auf urbane Ballungsräume (Großraum Krakau und Warschau) </w:t>
            </w:r>
          </w:p>
          <w:p>
            <w:pPr>
              <w:rPr>
                <w:b/>
              </w:rPr>
            </w:pPr>
          </w:p>
          <w:p>
            <w:pPr>
              <w:pStyle w:val="Listenabsatz"/>
              <w:numPr>
                <w:ilvl w:val="0"/>
                <w:numId w:val="3"/>
              </w:numPr>
            </w:pPr>
            <w:r>
              <w:t xml:space="preserve">BMG: </w:t>
            </w:r>
          </w:p>
          <w:p>
            <w:pPr>
              <w:pStyle w:val="Listenabsatz"/>
            </w:pPr>
            <w:r>
              <w:t>Der Fallzahlanstieg wird eine Nachfrage nach regionalen Daten  für weitere Länder im BMG nach sich bringen. Es besteht ein reger Austausch zu dem Thema zwischen BMG und ZIG. Es sind noch keine Rohdaten auf regionaler Ebene vorhanden (Anfrage an WHO EURO läuft)</w:t>
            </w:r>
          </w:p>
          <w:p>
            <w:pPr>
              <w:pStyle w:val="Listenabsatz"/>
            </w:pPr>
            <w:r>
              <w:t>Dazu gibt es bereits eine Aufgabe (Anfrage Hr. Bayer)  aus dem LZ bei ZIG (Deadline morgen 10Uhr)</w:t>
            </w:r>
          </w:p>
          <w:p>
            <w:pPr>
              <w:rPr>
                <w:b/>
              </w:rPr>
            </w:pPr>
          </w:p>
          <w:p>
            <w:pPr>
              <w:rPr>
                <w:b/>
              </w:rPr>
            </w:pPr>
            <w:r>
              <w:rPr>
                <w:b/>
              </w:rPr>
              <w:t xml:space="preserve">National </w:t>
            </w:r>
          </w:p>
          <w:p>
            <w:r>
              <w:t xml:space="preserve">Fallzahlen, Todesfälle, Trend (Folien hier: </w:t>
            </w:r>
            <w:hyperlink r:id="rId9" w:history="1">
              <w:r>
                <w:rPr>
                  <w:rStyle w:val="Hyperlink"/>
                </w:rPr>
                <w:t>Lage-National</w:t>
              </w:r>
            </w:hyperlink>
            <w:r>
              <w:t xml:space="preserve">) </w:t>
            </w:r>
          </w:p>
          <w:p>
            <w:pPr>
              <w:pStyle w:val="Listenabsatz"/>
              <w:numPr>
                <w:ilvl w:val="0"/>
                <w:numId w:val="3"/>
              </w:numPr>
            </w:pPr>
            <w:proofErr w:type="spellStart"/>
            <w:r>
              <w:t>SurvNet</w:t>
            </w:r>
            <w:proofErr w:type="spellEnd"/>
            <w:r>
              <w:t xml:space="preserve"> übermittelt: 216.327 (+436), davon 9.197 (1 %) Todesfälle (+ 1), Inzidenz  260/100.000 </w:t>
            </w:r>
            <w:proofErr w:type="spellStart"/>
            <w:r>
              <w:t>Einw</w:t>
            </w:r>
            <w:proofErr w:type="spellEnd"/>
            <w:r>
              <w:t xml:space="preserve">., ca. 197.400 Genesene, Sonntag haben nicht alle BL übermittelt </w:t>
            </w:r>
          </w:p>
          <w:p>
            <w:pPr>
              <w:pStyle w:val="Listenabsatz"/>
            </w:pPr>
            <w:r>
              <w:t xml:space="preserve">Reff=1,09; 7T Reff=1,05; Bewegt sich um 1, PI schließ 1 mit ein. </w:t>
            </w:r>
          </w:p>
          <w:p>
            <w:pPr>
              <w:pStyle w:val="Listenabsatz"/>
            </w:pPr>
            <w:r>
              <w:t xml:space="preserve">Fallzahlen steigen; NRW hat 200 Fälle übermittelt, einige BL keine oder sehr wenige Fälle. </w:t>
            </w:r>
          </w:p>
          <w:p>
            <w:pPr>
              <w:pStyle w:val="Listenabsatz"/>
              <w:numPr>
                <w:ilvl w:val="0"/>
                <w:numId w:val="3"/>
              </w:numPr>
            </w:pPr>
            <w:proofErr w:type="spellStart"/>
            <w:r>
              <w:t>Nowcasting</w:t>
            </w:r>
            <w:proofErr w:type="spellEnd"/>
            <w:r>
              <w:t xml:space="preserve">: Rückwärtstrend (März/April) nicht mehr sichtbar. </w:t>
            </w:r>
          </w:p>
          <w:p>
            <w:pPr>
              <w:pStyle w:val="Listenabsatz"/>
              <w:numPr>
                <w:ilvl w:val="0"/>
                <w:numId w:val="3"/>
              </w:numPr>
            </w:pPr>
            <w:r>
              <w:t xml:space="preserve">7-Tages-Inzidenz nach Bundesländer: </w:t>
            </w:r>
          </w:p>
          <w:p>
            <w:pPr>
              <w:ind w:left="720"/>
            </w:pPr>
            <w:r>
              <w:t xml:space="preserve">Allgemeiner Trend: steigend. </w:t>
            </w:r>
          </w:p>
          <w:p>
            <w:pPr>
              <w:ind w:left="720"/>
            </w:pPr>
            <w:r>
              <w:t xml:space="preserve">Viele BL betroffen, NRW führend. Extremer Anstieg in Hamburg mit heterogenen Ursachen (Ausbrüche in einer Werft dabei mehrere LK beteiligt, Einreisende </w:t>
            </w:r>
            <w:proofErr w:type="spellStart"/>
            <w:r>
              <w:t>etc</w:t>
            </w:r>
            <w:proofErr w:type="spellEnd"/>
            <w:r>
              <w:t>), hoher Anstieg auch in Berlin und Rheinland-Pfalz (Ausbrüche in einem Gurkenanbaubetrieb, in einer Konservenfabrik mit mehreren Standorten)</w:t>
            </w:r>
          </w:p>
          <w:p>
            <w:pPr>
              <w:pStyle w:val="Listenabsatz"/>
              <w:numPr>
                <w:ilvl w:val="0"/>
                <w:numId w:val="3"/>
              </w:numPr>
            </w:pPr>
            <w:r>
              <w:t xml:space="preserve">Ausbrüche: </w:t>
            </w:r>
          </w:p>
          <w:p>
            <w:pPr>
              <w:pStyle w:val="Listenabsatz"/>
            </w:pPr>
            <w:r>
              <w:t xml:space="preserve">Kontext sehr heterogen. Klassen- und </w:t>
            </w:r>
            <w:proofErr w:type="spellStart"/>
            <w:r>
              <w:t>Abireisen</w:t>
            </w:r>
            <w:proofErr w:type="spellEnd"/>
            <w:r>
              <w:t xml:space="preserve"> eines Busveranstalters MANGO Tours mit Busreisen nach Kroatien mehrmals die Woche.  </w:t>
            </w:r>
          </w:p>
          <w:p>
            <w:pPr>
              <w:pStyle w:val="Listenabsatz"/>
            </w:pPr>
            <w:r>
              <w:t xml:space="preserve">Ausbrüche im Zusammenhang mit Protestveranstaltungen wurden bisher nicht gemeldet.  </w:t>
            </w:r>
          </w:p>
          <w:p>
            <w:pPr>
              <w:pStyle w:val="Listenabsatz"/>
              <w:numPr>
                <w:ilvl w:val="0"/>
                <w:numId w:val="3"/>
              </w:numPr>
            </w:pPr>
            <w:r>
              <w:t xml:space="preserve">Zahlreiche Einreisende (Begriff Reiserückkehrer kann </w:t>
            </w:r>
            <w:r>
              <w:lastRenderedPageBreak/>
              <w:t xml:space="preserve">missverständlich sein), damit viel Kontakt mit Kosovo </w:t>
            </w:r>
          </w:p>
          <w:p>
            <w:pPr>
              <w:pStyle w:val="Listenabsatz"/>
              <w:numPr>
                <w:ilvl w:val="0"/>
                <w:numId w:val="3"/>
              </w:numPr>
            </w:pPr>
            <w:r>
              <w:t xml:space="preserve">Anteil der Symptomlosen über die Zeit: </w:t>
            </w:r>
          </w:p>
          <w:p>
            <w:pPr>
              <w:pStyle w:val="Listenabsatz"/>
              <w:numPr>
                <w:ilvl w:val="1"/>
                <w:numId w:val="3"/>
              </w:numPr>
            </w:pPr>
            <w:r>
              <w:t xml:space="preserve">Anteil nimmt über die Wochen zu, da sensitiver getestet wird. Es gibt Unterschiede/unterschiedliche Entwicklungen zwischen den BL. </w:t>
            </w:r>
          </w:p>
          <w:p>
            <w:pPr>
              <w:pStyle w:val="Listenabsatz"/>
              <w:numPr>
                <w:ilvl w:val="1"/>
                <w:numId w:val="3"/>
              </w:numPr>
            </w:pPr>
            <w:r>
              <w:t xml:space="preserve">Die letzte zwei Wochen nicht auswertbar, da diese noch Symptome entwickeln können. </w:t>
            </w:r>
          </w:p>
          <w:p>
            <w:pPr>
              <w:pStyle w:val="Listenabsatz"/>
              <w:numPr>
                <w:ilvl w:val="1"/>
                <w:numId w:val="3"/>
              </w:numPr>
            </w:pPr>
            <w:r>
              <w:t xml:space="preserve">Variable sehr schwer auswertbar (nicht intuitiv) und vergleichbar, da die unterschiedlichen Kategorien je nach BL/GA unterschiedliche verstanden und genutzt werden.  </w:t>
            </w:r>
          </w:p>
          <w:p>
            <w:pPr>
              <w:pStyle w:val="Listenabsatz"/>
              <w:numPr>
                <w:ilvl w:val="1"/>
                <w:numId w:val="3"/>
              </w:numPr>
            </w:pPr>
            <w:r>
              <w:t xml:space="preserve">Es ist nicht möglich nachträglich Symptome einzufügen/ zu verändern, auch unklar ob allen alle Symptome bekannt sind. </w:t>
            </w:r>
          </w:p>
          <w:p>
            <w:pPr>
              <w:pStyle w:val="Listenabsatz"/>
              <w:numPr>
                <w:ilvl w:val="1"/>
                <w:numId w:val="3"/>
              </w:numPr>
            </w:pPr>
            <w:r>
              <w:t xml:space="preserve">Die Auswertung ist intern und soll eher ein Anhaltspunkt sein. </w:t>
            </w:r>
          </w:p>
          <w:p>
            <w:pPr>
              <w:pStyle w:val="Listenabsatz"/>
              <w:numPr>
                <w:ilvl w:val="1"/>
                <w:numId w:val="3"/>
              </w:numPr>
            </w:pPr>
            <w:r>
              <w:t xml:space="preserve">Daten aus Italien zeigen, dass es ein Anteil zwischen 20-30% asymptomatisch ist. Das ist natürlich abhängig von Alter etc., scheint jedoch realistisch zu sein (ähnlicher Anteil bei Influenza) </w:t>
            </w:r>
          </w:p>
          <w:p>
            <w:pPr>
              <w:pStyle w:val="Listenabsatz"/>
              <w:numPr>
                <w:ilvl w:val="1"/>
                <w:numId w:val="3"/>
              </w:numPr>
            </w:pPr>
            <w:proofErr w:type="spellStart"/>
            <w:r>
              <w:t>Coronamonitoring</w:t>
            </w:r>
            <w:proofErr w:type="spellEnd"/>
            <w:r>
              <w:t xml:space="preserve"> ist sinnvoller als Referenz für diese Frage </w:t>
            </w:r>
          </w:p>
          <w:p>
            <w:pPr>
              <w:pStyle w:val="Listenabsatz"/>
              <w:numPr>
                <w:ilvl w:val="0"/>
                <w:numId w:val="3"/>
              </w:numPr>
            </w:pPr>
            <w:r>
              <w:rPr>
                <w:bCs/>
              </w:rPr>
              <w:t>Internationale Expositionsorte (Datenstand 09.08.2020)</w:t>
            </w:r>
          </w:p>
          <w:p>
            <w:pPr>
              <w:pStyle w:val="Listenabsatz"/>
              <w:numPr>
                <w:ilvl w:val="1"/>
                <w:numId w:val="3"/>
              </w:numPr>
            </w:pPr>
            <w:r>
              <w:rPr>
                <w:bCs/>
              </w:rPr>
              <w:t xml:space="preserve">Änderung der Expositionsorte im zeitlichen Verlauf gut sichtbar; Von Italien über Österreich zu aktuell Kosovo und Türkei </w:t>
            </w:r>
          </w:p>
          <w:p>
            <w:pPr>
              <w:pStyle w:val="Listenabsatz"/>
              <w:numPr>
                <w:ilvl w:val="0"/>
                <w:numId w:val="3"/>
              </w:numPr>
              <w:rPr>
                <w:sz w:val="22"/>
                <w:szCs w:val="22"/>
              </w:rPr>
            </w:pPr>
            <w:proofErr w:type="spellStart"/>
            <w:r>
              <w:rPr>
                <w:bCs/>
              </w:rPr>
              <w:t>Sike</w:t>
            </w:r>
            <w:proofErr w:type="spellEnd"/>
            <w:r>
              <w:rPr>
                <w:bCs/>
              </w:rPr>
              <w:t xml:space="preserve"> Buda arbeitet derzeit an der Auswertung der Ausbrüche und stellt es zeitnah vor</w:t>
            </w:r>
            <w:r>
              <w:rPr>
                <w:bCs/>
                <w:sz w:val="22"/>
                <w:szCs w:val="22"/>
              </w:rPr>
              <w:t xml:space="preserve"> </w:t>
            </w:r>
          </w:p>
          <w:p>
            <w:pPr>
              <w:rPr>
                <w:sz w:val="22"/>
                <w:szCs w:val="22"/>
              </w:rPr>
            </w:pPr>
          </w:p>
        </w:tc>
        <w:tc>
          <w:tcPr>
            <w:tcW w:w="1492" w:type="dxa"/>
          </w:tcPr>
          <w:p>
            <w:pPr>
              <w:rPr>
                <w:sz w:val="22"/>
                <w:szCs w:val="22"/>
              </w:rPr>
            </w:pPr>
          </w:p>
          <w:p>
            <w:pPr>
              <w:rPr>
                <w:sz w:val="22"/>
                <w:szCs w:val="22"/>
              </w:rPr>
            </w:pPr>
            <w:r>
              <w:rPr>
                <w:sz w:val="22"/>
                <w:szCs w:val="22"/>
              </w:rPr>
              <w:t>INIG</w:t>
            </w:r>
          </w:p>
        </w:tc>
      </w:tr>
      <w:tr>
        <w:tc>
          <w:tcPr>
            <w:tcW w:w="684" w:type="dxa"/>
          </w:tcPr>
          <w:p>
            <w:pPr>
              <w:rPr>
                <w:b/>
              </w:rPr>
            </w:pPr>
            <w:r>
              <w:rPr>
                <w:b/>
              </w:rPr>
              <w:lastRenderedPageBreak/>
              <w:t>2</w:t>
            </w:r>
          </w:p>
        </w:tc>
        <w:tc>
          <w:tcPr>
            <w:tcW w:w="6795" w:type="dxa"/>
          </w:tcPr>
          <w:p>
            <w:pPr>
              <w:spacing w:line="276" w:lineRule="auto"/>
              <w:rPr>
                <w:b/>
                <w:color w:val="FF0000"/>
              </w:rPr>
            </w:pPr>
            <w:r>
              <w:rPr>
                <w:b/>
                <w:sz w:val="28"/>
              </w:rPr>
              <w:t>Internationales</w:t>
            </w:r>
            <w:r>
              <w:rPr>
                <w:b/>
                <w:color w:val="FF0000"/>
              </w:rPr>
              <w:t xml:space="preserve"> (nur freitags)</w:t>
            </w:r>
          </w:p>
          <w:p>
            <w:pPr>
              <w:pStyle w:val="Listenabsatz"/>
              <w:numPr>
                <w:ilvl w:val="0"/>
                <w:numId w:val="45"/>
              </w:numPr>
              <w:spacing w:line="276" w:lineRule="auto"/>
              <w:rPr>
                <w:b/>
                <w:sz w:val="22"/>
              </w:rPr>
            </w:pPr>
            <w:r>
              <w:rPr>
                <w:b/>
                <w:sz w:val="22"/>
              </w:rPr>
              <w:t xml:space="preserve">Nicht besprochen </w:t>
            </w:r>
          </w:p>
          <w:p>
            <w:pPr>
              <w:rPr>
                <w:sz w:val="22"/>
                <w:szCs w:val="22"/>
              </w:rPr>
            </w:pP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Cs w:val="22"/>
              </w:rPr>
              <w:t>Ansprechpartner nicht anwesend</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45"/>
              </w:numPr>
              <w:spacing w:line="276" w:lineRule="auto"/>
              <w:rPr>
                <w:b/>
                <w:sz w:val="22"/>
              </w:rPr>
            </w:pPr>
            <w:r>
              <w:rPr>
                <w:b/>
                <w:sz w:val="22"/>
              </w:rPr>
              <w:t xml:space="preserve">Nicht besprochen </w:t>
            </w:r>
          </w:p>
          <w:p>
            <w:pPr>
              <w:pStyle w:val="Listenabsatz"/>
              <w:rPr>
                <w:sz w:val="22"/>
                <w:szCs w:val="22"/>
              </w:rPr>
            </w:pP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rPr>
            </w:pPr>
            <w:r>
              <w:rPr>
                <w:b/>
              </w:rPr>
              <w:t xml:space="preserve">BZgA </w:t>
            </w:r>
          </w:p>
          <w:p>
            <w:pPr>
              <w:pStyle w:val="Listenabsatz"/>
              <w:numPr>
                <w:ilvl w:val="0"/>
                <w:numId w:val="31"/>
              </w:numPr>
            </w:pPr>
            <w:r>
              <w:t xml:space="preserve">Nicht anwesend </w:t>
            </w:r>
          </w:p>
          <w:p>
            <w:pPr>
              <w:pStyle w:val="Listenabsatz"/>
              <w:ind w:left="360"/>
            </w:pPr>
          </w:p>
          <w:p>
            <w:pPr>
              <w:rPr>
                <w:b/>
                <w:szCs w:val="22"/>
              </w:rPr>
            </w:pPr>
            <w:r>
              <w:rPr>
                <w:b/>
                <w:szCs w:val="22"/>
              </w:rPr>
              <w:t>Presse</w:t>
            </w:r>
          </w:p>
          <w:p>
            <w:pPr>
              <w:pStyle w:val="Listenabsatz"/>
              <w:numPr>
                <w:ilvl w:val="0"/>
                <w:numId w:val="31"/>
              </w:numPr>
            </w:pPr>
            <w:r>
              <w:t xml:space="preserve">Fr. Degen hat heute Morgen mit BZgA bzgl. des Vorgehens um </w:t>
            </w:r>
          </w:p>
          <w:p>
            <w:pPr>
              <w:pStyle w:val="Listenabsatz"/>
              <w:ind w:left="360"/>
            </w:pPr>
            <w:r>
              <w:lastRenderedPageBreak/>
              <w:t xml:space="preserve">mehr emotionale Geschichten in die Narrative zu COVID-19 einzubringen. Auf WHO EURO (Seite auch auf Deutsch verfügbar) sind solche Inhalte bereits verfügbar. </w:t>
            </w:r>
          </w:p>
          <w:p/>
          <w:p>
            <w:pPr>
              <w:rPr>
                <w:i/>
              </w:rPr>
            </w:pPr>
            <w:r>
              <w:rPr>
                <w:i/>
              </w:rPr>
              <w:t xml:space="preserve">TODO: Presse verlinkt die WHO EURO  Webseite mit der RKI-Seite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31"/>
              </w:numPr>
              <w:spacing w:after="120"/>
              <w:ind w:left="357" w:hanging="357"/>
            </w:pPr>
            <w:r>
              <w:t xml:space="preserve">Zahlen für regionale Ausweisung oben besprochen </w:t>
            </w:r>
          </w:p>
        </w:tc>
        <w:tc>
          <w:tcPr>
            <w:tcW w:w="1492" w:type="dxa"/>
          </w:tcPr>
          <w:p>
            <w:pPr>
              <w:rPr>
                <w:sz w:val="22"/>
                <w:szCs w:val="22"/>
              </w:rPr>
            </w:pPr>
          </w:p>
          <w:p>
            <w:pPr>
              <w:rPr>
                <w:sz w:val="22"/>
                <w:szCs w:val="22"/>
              </w:rPr>
            </w:pPr>
            <w:r>
              <w:rPr>
                <w:sz w:val="22"/>
                <w:szCs w:val="22"/>
              </w:rPr>
              <w:t>BMG-Liaison</w:t>
            </w:r>
          </w:p>
        </w:tc>
      </w:tr>
      <w:tr>
        <w:tc>
          <w:tcPr>
            <w:tcW w:w="684" w:type="dxa"/>
          </w:tcPr>
          <w:p>
            <w:pPr>
              <w:rPr>
                <w:b/>
              </w:rPr>
            </w:pPr>
            <w:r>
              <w:rPr>
                <w:b/>
              </w:rPr>
              <w:t>7</w:t>
            </w:r>
          </w:p>
        </w:tc>
        <w:tc>
          <w:tcPr>
            <w:tcW w:w="6795" w:type="dxa"/>
          </w:tcPr>
          <w:p>
            <w:pPr>
              <w:rPr>
                <w:b/>
              </w:rPr>
            </w:pPr>
            <w:r>
              <w:rPr>
                <w:b/>
              </w:rPr>
              <w:t>Strategie Fragen</w:t>
            </w:r>
          </w:p>
          <w:p>
            <w:pPr>
              <w:rPr>
                <w:b/>
              </w:rPr>
            </w:pPr>
            <w:r>
              <w:rPr>
                <w:b/>
              </w:rPr>
              <w:t>RKI-intern</w:t>
            </w:r>
          </w:p>
          <w:p>
            <w:pPr>
              <w:pStyle w:val="Listenabsatz"/>
              <w:numPr>
                <w:ilvl w:val="0"/>
                <w:numId w:val="39"/>
              </w:numPr>
              <w:spacing w:after="120"/>
              <w:ind w:left="470" w:hanging="357"/>
            </w:pPr>
            <w:r>
              <w:t xml:space="preserve">Themenbereiche/Kontext, dass vom RKI noch nicht genügend bearbeitet wurde und wo es noch notwendig wäre: </w:t>
            </w:r>
          </w:p>
          <w:p>
            <w:pPr>
              <w:pStyle w:val="Listenabsatz"/>
              <w:numPr>
                <w:ilvl w:val="0"/>
                <w:numId w:val="47"/>
              </w:numPr>
              <w:spacing w:after="120"/>
            </w:pPr>
            <w:r>
              <w:t xml:space="preserve">Frage, ob das RKI bei </w:t>
            </w:r>
            <w:r>
              <w:rPr>
                <w:b/>
              </w:rPr>
              <w:t>Theater und Konzert</w:t>
            </w:r>
            <w:r>
              <w:t xml:space="preserve"> hinsichtlich der Strategie bei Wiederaufnahme der Kulturleben tätig werden muss. Kulturministerium ist zuständig und es ist nicht klar, ob es dort genügend Aktivitäten zu dieser Frage/diesem Kontext gibt. Hygieneregelungen bestehen bereits. </w:t>
            </w:r>
          </w:p>
          <w:p>
            <w:pPr>
              <w:pStyle w:val="Listenabsatz"/>
              <w:spacing w:after="120"/>
              <w:ind w:left="470"/>
            </w:pPr>
            <w:r>
              <w:t>Es soll geprüft werden, ob da man tätig werden sollte.</w:t>
            </w:r>
          </w:p>
          <w:p>
            <w:pPr>
              <w:pStyle w:val="Listenabsatz"/>
              <w:spacing w:after="120"/>
              <w:ind w:left="470"/>
            </w:pPr>
          </w:p>
          <w:p>
            <w:pPr>
              <w:pStyle w:val="Listenabsatz"/>
              <w:numPr>
                <w:ilvl w:val="0"/>
                <w:numId w:val="47"/>
              </w:numPr>
              <w:spacing w:after="120"/>
            </w:pPr>
            <w:r>
              <w:t xml:space="preserve">Seniorentagesstätten: Im Rahmen der Auswertung der Ausbrüche sind </w:t>
            </w:r>
            <w:r>
              <w:rPr>
                <w:b/>
              </w:rPr>
              <w:t>Seniorentagesstätten</w:t>
            </w:r>
            <w:r>
              <w:t xml:space="preserve"> als ein Risikosetting für vulnerable Gruppen aufgefallen. Es ist schwierig hier dauerhaft Einschränkungen umzusetzen.  Unklar, ob dieses Setting genügend bei den bereits bestehenden Empfehlungen berücksichtig wird. </w:t>
            </w:r>
          </w:p>
          <w:p>
            <w:pPr>
              <w:spacing w:after="120"/>
              <w:rPr>
                <w:i/>
              </w:rPr>
            </w:pPr>
            <w:r>
              <w:rPr>
                <w:i/>
              </w:rPr>
              <w:t xml:space="preserve">TODO: Tim Eckmanns tauscht sich mit Silke Buda zu einer Berücksichtig dieses Settings in aktuell bestehenden Empfehlungen aus und passt diese ggf. an. </w:t>
            </w:r>
          </w:p>
          <w:p>
            <w:pPr>
              <w:spacing w:after="120"/>
              <w:rPr>
                <w:i/>
              </w:rPr>
            </w:pPr>
          </w:p>
          <w:p>
            <w:pPr>
              <w:pStyle w:val="Listenabsatz"/>
              <w:numPr>
                <w:ilvl w:val="0"/>
                <w:numId w:val="39"/>
              </w:numPr>
              <w:spacing w:after="120"/>
            </w:pPr>
            <w:r>
              <w:t xml:space="preserve">Modellierung für den weiteren Verlauf: </w:t>
            </w:r>
          </w:p>
          <w:p>
            <w:pPr>
              <w:pStyle w:val="Listenabsatz"/>
              <w:numPr>
                <w:ilvl w:val="0"/>
                <w:numId w:val="48"/>
              </w:numPr>
              <w:spacing w:after="120"/>
            </w:pPr>
            <w:r>
              <w:t>Die im März erstellten Modellierungen sollen aktualisiert/angepasst werden. Es sind mehr Parameter und neuere Erkenntnisse, die darin berücksichtig werden können und sollten, hinzugekommen.</w:t>
            </w:r>
          </w:p>
          <w:p>
            <w:pPr>
              <w:pStyle w:val="Listenabsatz"/>
              <w:spacing w:after="120"/>
            </w:pPr>
            <w:r>
              <w:t xml:space="preserve">Das Ziel ist es basierend auf aktuellen Daten aus Deutschland neue Interventionen (Masken </w:t>
            </w:r>
            <w:proofErr w:type="spellStart"/>
            <w:r>
              <w:t>etc</w:t>
            </w:r>
            <w:proofErr w:type="spellEnd"/>
            <w:r>
              <w:t xml:space="preserve">) einzubeziehen und besser abbilden zu können und Trends für den Zeitpunkt von Empfehlungen für striktere Maßnahmen ableiten zu können.  Im März wurde vor allem Kontaktreduktion berücksichtigen. Der Effekt einzelner Maßnahmen ist schwierig abzubilden. </w:t>
            </w:r>
          </w:p>
          <w:p>
            <w:pPr>
              <w:pStyle w:val="Listenabsatz"/>
              <w:numPr>
                <w:ilvl w:val="0"/>
                <w:numId w:val="48"/>
              </w:numPr>
              <w:spacing w:after="120"/>
            </w:pPr>
            <w:r>
              <w:t xml:space="preserve">Es besteht eine Aufgabe an M. an der Heiden mit Unterstützung von FG36 für Hr. Spahn über Hr. Wieler. </w:t>
            </w:r>
            <w:r>
              <w:lastRenderedPageBreak/>
              <w:t xml:space="preserve">Hr. Spahn wünscht sich beispielhaft eine grobe Schätzung, welcher Anteil von 1000 infizierten Menschen hospitalisiert wird, wie groß der Anteil ist, der intensiv medizinische versorgt werden muss etc. </w:t>
            </w:r>
          </w:p>
          <w:p>
            <w:pPr>
              <w:pStyle w:val="Listenabsatz"/>
              <w:numPr>
                <w:ilvl w:val="0"/>
                <w:numId w:val="48"/>
              </w:numPr>
              <w:spacing w:after="120"/>
            </w:pPr>
            <w:r>
              <w:t xml:space="preserve">Es gab bereits einen Austausch zwischen M. an der Heiden mit Wissenschaftlern aus LSHTM zu dem Thema. Dieses Vorhaben wäre eher längerfristig und sollte ein großer Output idealerweise im Rahmen einer  internationalen Zusammenarbeit  international publiziert werden. </w:t>
            </w:r>
          </w:p>
          <w:p>
            <w:pPr>
              <w:pStyle w:val="Listenabsatz"/>
              <w:numPr>
                <w:ilvl w:val="0"/>
                <w:numId w:val="48"/>
              </w:numPr>
              <w:spacing w:after="120"/>
            </w:pPr>
            <w:r>
              <w:t xml:space="preserve">Eine Diskussion mit M. an der Heiden dazu nötig. </w:t>
            </w:r>
          </w:p>
          <w:p>
            <w:pPr>
              <w:spacing w:after="120"/>
            </w:pPr>
          </w:p>
          <w:p>
            <w:pPr>
              <w:pStyle w:val="Listenabsatz"/>
              <w:numPr>
                <w:ilvl w:val="0"/>
                <w:numId w:val="39"/>
              </w:numPr>
              <w:spacing w:after="120"/>
            </w:pPr>
            <w:r>
              <w:rPr>
                <w:b/>
              </w:rPr>
              <w:t>Modellierungen von Intensivkapazitäten</w:t>
            </w:r>
            <w:r>
              <w:t xml:space="preserve"> werden von FG 37 dem BMG wöchentlich bereitgestellt. Diese werden von Hr. Zacher gemacht. Da er aktuell nicht verfügbar ist, können keine Weiterentwicklungen/Anpassungen gemacht werden, aber die Berechnungen werden weiterhin wöchentlich generiert. </w:t>
            </w:r>
          </w:p>
          <w:p>
            <w:pPr>
              <w:pStyle w:val="Listenabsatz"/>
              <w:spacing w:after="120"/>
            </w:pPr>
            <w:r>
              <w:t xml:space="preserve">Diese sind wichtig um abzuschätzen wann restriktiverer Umgang damit empfohlen werden soll. </w:t>
            </w:r>
          </w:p>
          <w:p>
            <w:pPr>
              <w:spacing w:after="120"/>
            </w:pPr>
            <w:r>
              <w:rPr>
                <w:i/>
              </w:rPr>
              <w:t xml:space="preserve">TODO: LZ/FG37 teilt die Berichte mit </w:t>
            </w:r>
            <w:proofErr w:type="spellStart"/>
            <w:r>
              <w:rPr>
                <w:i/>
              </w:rPr>
              <w:t>Präs</w:t>
            </w:r>
            <w:proofErr w:type="spellEnd"/>
            <w:r>
              <w:rPr>
                <w:i/>
              </w:rPr>
              <w:t>/</w:t>
            </w:r>
            <w:proofErr w:type="spellStart"/>
            <w:r>
              <w:rPr>
                <w:i/>
              </w:rPr>
              <w:t>VPräs</w:t>
            </w:r>
            <w:proofErr w:type="spellEnd"/>
            <w:r>
              <w:rPr>
                <w:i/>
              </w:rPr>
              <w:t xml:space="preserve"> teilen</w:t>
            </w:r>
            <w:r>
              <w:t xml:space="preserve">. </w:t>
            </w:r>
          </w:p>
          <w:p>
            <w:pPr>
              <w:spacing w:after="120"/>
            </w:pPr>
          </w:p>
          <w:p>
            <w:pPr>
              <w:pStyle w:val="Listenabsatz"/>
              <w:numPr>
                <w:ilvl w:val="0"/>
                <w:numId w:val="46"/>
              </w:numPr>
              <w:spacing w:after="120"/>
            </w:pPr>
            <w:r>
              <w:t xml:space="preserve">Gibt es Daten zum </w:t>
            </w:r>
            <w:r>
              <w:rPr>
                <w:b/>
              </w:rPr>
              <w:t>Zusammenhang zwischen 7-Tagesinzidenz und Grad der Hospitalisierung sowie der Zeitpunkt der Zunahme der Belastung</w:t>
            </w:r>
            <w:r>
              <w:t xml:space="preserve">? </w:t>
            </w:r>
          </w:p>
          <w:p>
            <w:pPr>
              <w:pStyle w:val="Listenabsatz"/>
              <w:spacing w:after="120"/>
            </w:pPr>
            <w:r>
              <w:t xml:space="preserve">Es gibt eine gewisse Latenz. Hospitalisierung wird durch die demographische Zusammensetzung beeinflusst. Aktuell sind viele junge Menschen betroffen, somit sieht man einen unterschiedlichen Krankheitsverlauf. Im Winter war hauptsächlich ältere Bevölkerung mit Eintragung in Altenpflegeheime betroffen.  Der Anteil der Älteren ist aktuell stabil. </w:t>
            </w:r>
          </w:p>
          <w:p>
            <w:pPr>
              <w:pStyle w:val="Listenabsatz"/>
              <w:spacing w:after="120"/>
            </w:pPr>
          </w:p>
          <w:p>
            <w:pPr>
              <w:pStyle w:val="Listenabsatz"/>
              <w:numPr>
                <w:ilvl w:val="0"/>
                <w:numId w:val="46"/>
              </w:numPr>
              <w:spacing w:after="120"/>
            </w:pPr>
            <w:r>
              <w:t xml:space="preserve">Sind die aktuellen </w:t>
            </w:r>
            <w:r>
              <w:rPr>
                <w:b/>
              </w:rPr>
              <w:t>Maskenempfehlungen</w:t>
            </w:r>
            <w:r>
              <w:t xml:space="preserve"> noch </w:t>
            </w:r>
            <w:proofErr w:type="spellStart"/>
            <w:r>
              <w:t>up</w:t>
            </w:r>
            <w:proofErr w:type="spellEnd"/>
            <w:r>
              <w:t>-</w:t>
            </w:r>
            <w:proofErr w:type="spellStart"/>
            <w:r>
              <w:t>to</w:t>
            </w:r>
            <w:proofErr w:type="spellEnd"/>
            <w:r>
              <w:t xml:space="preserve">-date? Es herrscht Verwirrung, in welchen Kontext (drin/draußen) ob und welche Masken getragen werden sollen. </w:t>
            </w:r>
          </w:p>
          <w:p>
            <w:pPr>
              <w:pStyle w:val="Listenabsatz"/>
              <w:spacing w:after="120"/>
            </w:pPr>
            <w:r>
              <w:t>Aktuell gibt es keine wissenschaftliche Evidenz für Empfehlung von Masken für draußen (</w:t>
            </w:r>
            <w:proofErr w:type="spellStart"/>
            <w:r>
              <w:t>bsp.</w:t>
            </w:r>
            <w:proofErr w:type="spellEnd"/>
            <w:r>
              <w:t xml:space="preserve"> Paris) bzw. Situationen, in denen 1,5 m Abstand eingehalten werden kann (</w:t>
            </w:r>
            <w:proofErr w:type="spellStart"/>
            <w:r>
              <w:t>bsp.</w:t>
            </w:r>
            <w:proofErr w:type="spellEnd"/>
            <w:r>
              <w:t xml:space="preserve"> Klassenzimmer), aber man von eine höheren Wahrscheinlichkeit der Aerosol/</w:t>
            </w:r>
            <w:proofErr w:type="spellStart"/>
            <w:r>
              <w:t>Tröpfchenbildung</w:t>
            </w:r>
            <w:proofErr w:type="spellEnd"/>
            <w:r>
              <w:t xml:space="preserve"> ausgehen muss. Es erscheint jedoch plausibel. </w:t>
            </w:r>
          </w:p>
          <w:p>
            <w:pPr>
              <w:pStyle w:val="Listenabsatz"/>
              <w:spacing w:after="120"/>
            </w:pPr>
            <w:r>
              <w:t xml:space="preserve">Bei den aktuellen Empfehlungen zum Tragen von </w:t>
            </w:r>
            <w:r>
              <w:lastRenderedPageBreak/>
              <w:t xml:space="preserve">Masken spielt stets der Mindestabstand eine Rolle. Eine Empfehlung ohne Berücksichtigung des Mindestabstandes wäre eine Veränderung der aktuellen Empfehlungen und aktuell wissenschaftlich nicht begründbar. </w:t>
            </w:r>
          </w:p>
          <w:p>
            <w:pPr>
              <w:pStyle w:val="Listenabsatz"/>
              <w:spacing w:after="120"/>
            </w:pPr>
            <w:r>
              <w:t>Diese Empfehlungen könnten potentiell zu großen Einschnitten in das tägliche Leben (</w:t>
            </w:r>
            <w:proofErr w:type="spellStart"/>
            <w:r>
              <w:t>bsp.</w:t>
            </w:r>
            <w:proofErr w:type="spellEnd"/>
            <w:r>
              <w:t xml:space="preserve"> Restaurantbesuch, Unterricht) führen und sind schwer umsetzbar.</w:t>
            </w:r>
          </w:p>
          <w:p>
            <w:pPr>
              <w:pStyle w:val="Listenabsatz"/>
              <w:spacing w:after="120"/>
              <w:rPr>
                <w:lang w:val="en-US"/>
              </w:rPr>
            </w:pPr>
            <w:r>
              <w:t xml:space="preserve">Empfehlung von MNS statt MNB hängt von den Produktionskapazitäten ab (aktuell scheint die Verfügbarkeit gegeben zu sein) und der korrekten Anwendung.  </w:t>
            </w:r>
            <w:r>
              <w:rPr>
                <w:lang w:val="en-US"/>
              </w:rPr>
              <w:t xml:space="preserve">Es </w:t>
            </w:r>
            <w:proofErr w:type="spellStart"/>
            <w:r>
              <w:rPr>
                <w:lang w:val="en-US"/>
              </w:rPr>
              <w:t>sollte</w:t>
            </w:r>
            <w:proofErr w:type="spellEnd"/>
            <w:r>
              <w:rPr>
                <w:lang w:val="en-US"/>
              </w:rPr>
              <w:t xml:space="preserve"> </w:t>
            </w:r>
            <w:proofErr w:type="spellStart"/>
            <w:r>
              <w:rPr>
                <w:lang w:val="en-US"/>
              </w:rPr>
              <w:t>Infektionsrisikoreduktion</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Vordergrund</w:t>
            </w:r>
            <w:proofErr w:type="spellEnd"/>
            <w:r>
              <w:rPr>
                <w:lang w:val="en-US"/>
              </w:rPr>
              <w:t xml:space="preserve"> </w:t>
            </w:r>
            <w:proofErr w:type="spellStart"/>
            <w:r>
              <w:rPr>
                <w:lang w:val="en-US"/>
              </w:rPr>
              <w:t>stehen</w:t>
            </w:r>
            <w:proofErr w:type="spellEnd"/>
            <w:r>
              <w:rPr>
                <w:lang w:val="en-US"/>
              </w:rPr>
              <w:t xml:space="preserve">. </w:t>
            </w:r>
          </w:p>
          <w:p>
            <w:pPr>
              <w:pStyle w:val="Listenabsatz"/>
              <w:spacing w:after="120"/>
              <w:rPr>
                <w:lang w:val="en-US"/>
              </w:rPr>
            </w:pPr>
            <w:r>
              <w:rPr>
                <w:lang w:val="en-US"/>
              </w:rPr>
              <w:t xml:space="preserve">“Physical distancing, face masks, and eye protection to prevent person-to-person transmission of SARS-CoV-2 and COVID-19: a systematic review (Chu, </w:t>
            </w:r>
            <w:proofErr w:type="spellStart"/>
            <w:r>
              <w:rPr>
                <w:lang w:val="en-US"/>
              </w:rPr>
              <w:t>Schünemann</w:t>
            </w:r>
            <w:proofErr w:type="spellEnd"/>
            <w:r>
              <w:rPr>
                <w:lang w:val="en-US"/>
              </w:rPr>
              <w:t xml:space="preserve"> et al., </w:t>
            </w:r>
            <w:proofErr w:type="spellStart"/>
            <w:r>
              <w:rPr>
                <w:lang w:val="en-US"/>
              </w:rPr>
              <w:t>Juni</w:t>
            </w:r>
            <w:proofErr w:type="spellEnd"/>
            <w:r>
              <w:rPr>
                <w:lang w:val="en-US"/>
              </w:rPr>
              <w:t xml:space="preserve"> 2020, Lancet)” 2003- Mai 2020, SARS (55 included), MERS (25), SARS-CoV-2 (7);  </w:t>
            </w:r>
            <w:hyperlink r:id="rId10" w:history="1">
              <w:r>
                <w:rPr>
                  <w:rStyle w:val="Hyperlink"/>
                  <w:lang w:val="en-US"/>
                </w:rPr>
                <w:t>Link</w:t>
              </w:r>
            </w:hyperlink>
          </w:p>
          <w:p>
            <w:pPr>
              <w:pStyle w:val="Listenabsatz"/>
              <w:spacing w:after="120"/>
            </w:pPr>
            <w:r>
              <w:t>Vorwiegend Studien im Gesundheitswesen einbezogen und stützt bisherigen Erkenntnisse. Atemschutz (N95) größerer protektiver Effekt als</w:t>
            </w:r>
          </w:p>
          <w:p>
            <w:pPr>
              <w:pStyle w:val="Listenabsatz"/>
              <w:spacing w:after="120"/>
            </w:pPr>
            <w:r>
              <w:t xml:space="preserve">medizinischer MNS bzw. 12-16 lagige Baumwollmasken. </w:t>
            </w:r>
          </w:p>
          <w:p>
            <w:pPr>
              <w:pStyle w:val="Listenabsatz"/>
              <w:spacing w:after="120"/>
            </w:pPr>
            <w:r>
              <w:t xml:space="preserve">Die hier genannte MND ist nicht mit der gängigen in Dt. vergleichbar und Expositionsdauer muss berücksichtig werden. </w:t>
            </w:r>
          </w:p>
          <w:p>
            <w:pPr>
              <w:pStyle w:val="Listenabsatz"/>
              <w:spacing w:after="120"/>
            </w:pPr>
            <w:r>
              <w:t xml:space="preserve">Eine weitere Meta-Analyse durchzuführen ist insgesamt schwierig auf Grund der unterschiedlichen Maskenarten, die genutzt werden.  Bei Bedarf kann ZIG2 über LZIG einbezogen werden </w:t>
            </w:r>
          </w:p>
          <w:p>
            <w:pPr>
              <w:pStyle w:val="Listenabsatz"/>
              <w:spacing w:after="120"/>
            </w:pPr>
            <w:r>
              <w:t xml:space="preserve">Lediglich Fremdschutz bietet das Argument Masken für alle zu empfehlen. Eigenschutz würde dazu führen, dass Menschen das Tragen ablehnen könnten mit dem Argument, dass Gegenüber sich mit einer Maske schützen könnte. </w:t>
            </w:r>
          </w:p>
          <w:p>
            <w:pPr>
              <w:pStyle w:val="Listenabsatz"/>
              <w:spacing w:after="120"/>
            </w:pPr>
            <w:r>
              <w:t xml:space="preserve">Ergebnis: Bessere Umsetzung der aktuellen Empfehlungen durch besseres Verständnis und einfache Botschaften fördern statt neuen Empfehlungen. </w:t>
            </w:r>
          </w:p>
          <w:p>
            <w:pPr>
              <w:spacing w:after="120"/>
              <w:rPr>
                <w:i/>
              </w:rPr>
            </w:pPr>
            <w:r>
              <w:rPr>
                <w:i/>
              </w:rPr>
              <w:t xml:space="preserve">TODO: FG14/FG36 sollen wichtigste Messages der aktuellen Empfehlungen klar rausheben und pointierter Aufbereiten.  </w:t>
            </w:r>
          </w:p>
          <w:p>
            <w:pPr>
              <w:spacing w:after="120"/>
            </w:pPr>
          </w:p>
          <w:p>
            <w:pPr>
              <w:spacing w:after="120"/>
              <w:rPr>
                <w:i/>
                <w:lang w:val="en-US"/>
              </w:rPr>
            </w:pPr>
            <w:r>
              <w:rPr>
                <w:i/>
                <w:lang w:val="en-US"/>
              </w:rPr>
              <w:t xml:space="preserve">TODO: Das Paper “Wrong person, place and time: viral load and contact network predict SARS-CoV-2 transmission and super- spreading events” (Preprint) von Hr. Wieler am WE </w:t>
            </w:r>
            <w:proofErr w:type="spellStart"/>
            <w:r>
              <w:rPr>
                <w:i/>
                <w:lang w:val="en-US"/>
              </w:rPr>
              <w:t>geteilt</w:t>
            </w:r>
            <w:proofErr w:type="spellEnd"/>
            <w:r>
              <w:rPr>
                <w:i/>
                <w:lang w:val="en-US"/>
              </w:rPr>
              <w:t xml:space="preserve"> und </w:t>
            </w:r>
            <w:proofErr w:type="spellStart"/>
            <w:r>
              <w:rPr>
                <w:i/>
                <w:lang w:val="en-US"/>
              </w:rPr>
              <w:t>soll</w:t>
            </w:r>
            <w:proofErr w:type="spellEnd"/>
            <w:r>
              <w:rPr>
                <w:i/>
                <w:lang w:val="en-US"/>
              </w:rPr>
              <w:t xml:space="preserve"> </w:t>
            </w:r>
            <w:proofErr w:type="spellStart"/>
            <w:r>
              <w:rPr>
                <w:i/>
                <w:lang w:val="en-US"/>
              </w:rPr>
              <w:t>durch</w:t>
            </w:r>
            <w:proofErr w:type="spellEnd"/>
            <w:r>
              <w:rPr>
                <w:i/>
                <w:lang w:val="en-US"/>
              </w:rPr>
              <w:t xml:space="preserve"> </w:t>
            </w:r>
            <w:proofErr w:type="spellStart"/>
            <w:r>
              <w:rPr>
                <w:i/>
                <w:lang w:val="en-US"/>
              </w:rPr>
              <w:t>Modellierer</w:t>
            </w:r>
            <w:proofErr w:type="spellEnd"/>
            <w:r>
              <w:rPr>
                <w:i/>
                <w:lang w:val="en-US"/>
              </w:rPr>
              <w:t xml:space="preserve"> </w:t>
            </w:r>
            <w:proofErr w:type="spellStart"/>
            <w:r>
              <w:rPr>
                <w:i/>
                <w:lang w:val="en-US"/>
              </w:rPr>
              <w:t>bewertet</w:t>
            </w:r>
            <w:proofErr w:type="spellEnd"/>
            <w:r>
              <w:rPr>
                <w:i/>
                <w:lang w:val="en-US"/>
              </w:rPr>
              <w:t xml:space="preserve"> </w:t>
            </w:r>
            <w:proofErr w:type="spellStart"/>
            <w:r>
              <w:rPr>
                <w:i/>
                <w:lang w:val="en-US"/>
              </w:rPr>
              <w:t>werden</w:t>
            </w:r>
            <w:proofErr w:type="spellEnd"/>
            <w:r>
              <w:rPr>
                <w:i/>
                <w:lang w:val="en-US"/>
              </w:rPr>
              <w:t xml:space="preserve">. </w:t>
            </w:r>
          </w:p>
          <w:p>
            <w:pPr>
              <w:spacing w:after="120"/>
              <w:rPr>
                <w:i/>
                <w:lang w:val="en-US"/>
              </w:rPr>
            </w:pPr>
          </w:p>
          <w:p>
            <w:pPr>
              <w:pStyle w:val="Listenabsatz"/>
              <w:numPr>
                <w:ilvl w:val="0"/>
                <w:numId w:val="46"/>
              </w:numPr>
              <w:spacing w:after="120"/>
            </w:pPr>
            <w:r>
              <w:rPr>
                <w:b/>
              </w:rPr>
              <w:t>Die Liste mit Auslandtätigkeiten und Hilfeersuchen</w:t>
            </w:r>
            <w:r>
              <w:t xml:space="preserve">, die an die ZIG gerichtet werden ist sehr umfangreich. Das soll nach außen sichtbar gemacht werden. </w:t>
            </w:r>
          </w:p>
          <w:p>
            <w:pPr>
              <w:pStyle w:val="Listenabsatz"/>
              <w:spacing w:after="120"/>
            </w:pPr>
            <w:r>
              <w:t xml:space="preserve">Es findet bereits ein Austausch mit der Presse statt und wird auf die Homepage gesetzt </w:t>
            </w:r>
          </w:p>
          <w:p>
            <w:pPr>
              <w:pStyle w:val="Listenabsatz"/>
              <w:ind w:left="470"/>
            </w:pPr>
          </w:p>
        </w:tc>
        <w:tc>
          <w:tcPr>
            <w:tcW w:w="1492" w:type="dxa"/>
          </w:tcPr>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r>
              <w:rPr>
                <w:sz w:val="22"/>
                <w:szCs w:val="22"/>
              </w:rPr>
              <w:t>Abt. 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40"/>
              </w:numPr>
              <w:ind w:left="470" w:hanging="357"/>
            </w:pPr>
            <w:r>
              <w:t>Aktuell kein Bedarf</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Informationen zu Arbeitsschutz</w:t>
            </w:r>
          </w:p>
          <w:p>
            <w:pPr>
              <w:pStyle w:val="Listenabsatz"/>
              <w:numPr>
                <w:ilvl w:val="0"/>
                <w:numId w:val="38"/>
              </w:numPr>
              <w:ind w:left="470" w:hanging="357"/>
            </w:pPr>
            <w:r>
              <w:t>Nicht besprochen</w:t>
            </w:r>
          </w:p>
          <w:p>
            <w:pPr>
              <w:spacing w:after="120"/>
              <w:ind w:left="113"/>
              <w:rPr>
                <w:sz w:val="22"/>
                <w:szCs w:val="22"/>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spacing w:after="120"/>
              <w:ind w:left="453" w:hanging="340"/>
              <w:rPr>
                <w:szCs w:val="22"/>
              </w:rPr>
            </w:pPr>
            <w:r>
              <w:rPr>
                <w:szCs w:val="22"/>
              </w:rPr>
              <w:t>FG17</w:t>
            </w:r>
          </w:p>
          <w:p>
            <w:pPr>
              <w:pStyle w:val="Listenabsatz"/>
              <w:spacing w:after="120"/>
              <w:ind w:left="453"/>
              <w:rPr>
                <w:szCs w:val="22"/>
              </w:rPr>
            </w:pPr>
            <w:r>
              <w:rPr>
                <w:szCs w:val="22"/>
              </w:rPr>
              <w:t xml:space="preserve">In den letzten Wochen wurden 60 Proben an das NRZ Influenza eingeschickt. Bei 50% konnte </w:t>
            </w:r>
            <w:proofErr w:type="spellStart"/>
            <w:r>
              <w:rPr>
                <w:szCs w:val="22"/>
              </w:rPr>
              <w:t>Rhinovirus</w:t>
            </w:r>
            <w:proofErr w:type="spellEnd"/>
            <w:r>
              <w:rPr>
                <w:szCs w:val="22"/>
              </w:rPr>
              <w:t xml:space="preserve"> nachgewiesen werden. Das ist die normale Situation.  </w:t>
            </w:r>
          </w:p>
          <w:p>
            <w:pPr>
              <w:pStyle w:val="Listenabsatz"/>
              <w:spacing w:after="120"/>
              <w:ind w:left="453"/>
              <w:rPr>
                <w:szCs w:val="22"/>
              </w:rPr>
            </w:pPr>
          </w:p>
          <w:p>
            <w:pPr>
              <w:pStyle w:val="Listenabsatz"/>
              <w:numPr>
                <w:ilvl w:val="0"/>
                <w:numId w:val="5"/>
              </w:numPr>
              <w:spacing w:after="120"/>
              <w:ind w:left="453" w:hanging="340"/>
              <w:rPr>
                <w:szCs w:val="22"/>
              </w:rPr>
            </w:pPr>
            <w:r>
              <w:rPr>
                <w:szCs w:val="22"/>
              </w:rPr>
              <w:t>ZBS1</w:t>
            </w:r>
          </w:p>
          <w:p>
            <w:pPr>
              <w:spacing w:after="120"/>
              <w:ind w:left="453"/>
              <w:rPr>
                <w:szCs w:val="22"/>
              </w:rPr>
            </w:pPr>
            <w:r>
              <w:rPr>
                <w:szCs w:val="22"/>
              </w:rPr>
              <w:t>Letzte Woche waren  72/ 561 (12,8%) Proben positiv für SARS-CoV-2.</w:t>
            </w:r>
          </w:p>
          <w:p>
            <w:pPr>
              <w:spacing w:after="120"/>
              <w:ind w:left="453"/>
              <w:rPr>
                <w:szCs w:val="22"/>
              </w:rPr>
            </w:pPr>
            <w:r>
              <w:rPr>
                <w:szCs w:val="22"/>
              </w:rPr>
              <w:t>Aktuell läuft die Vorbereitung Studie Corona Monitoring bundesweit</w:t>
            </w:r>
          </w:p>
        </w:tc>
        <w:tc>
          <w:tcPr>
            <w:tcW w:w="1492" w:type="dxa"/>
          </w:tcPr>
          <w:p>
            <w:pPr>
              <w:rPr>
                <w:sz w:val="22"/>
                <w:szCs w:val="22"/>
              </w:rPr>
            </w:pPr>
          </w:p>
          <w:p>
            <w:pPr>
              <w:rPr>
                <w:sz w:val="22"/>
                <w:szCs w:val="22"/>
              </w:rPr>
            </w:pPr>
            <w:r>
              <w:rPr>
                <w:sz w:val="22"/>
                <w:szCs w:val="22"/>
              </w:rPr>
              <w:t xml:space="preserve">FG17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Cs w:val="22"/>
              </w:rPr>
            </w:pPr>
            <w:r>
              <w:rPr>
                <w:szCs w:val="22"/>
              </w:rPr>
              <w:t xml:space="preserve">Anleitung zu An/Ablegung von PSA mit 3 Kurzvideos sind online, weitere Sprachen sind in Arbeit. Link wird geteilt.   </w:t>
            </w:r>
          </w:p>
          <w:p>
            <w:pPr>
              <w:pStyle w:val="Listenabsatz"/>
              <w:ind w:left="453"/>
              <w:rPr>
                <w:sz w:val="22"/>
                <w:szCs w:val="22"/>
              </w:rPr>
            </w:pPr>
          </w:p>
        </w:tc>
        <w:tc>
          <w:tcPr>
            <w:tcW w:w="1492" w:type="dxa"/>
          </w:tcPr>
          <w:p>
            <w:pPr>
              <w:rPr>
                <w:sz w:val="22"/>
                <w:szCs w:val="22"/>
              </w:rPr>
            </w:pPr>
          </w:p>
          <w:p>
            <w:pPr>
              <w:rPr>
                <w:sz w:val="22"/>
                <w:szCs w:val="22"/>
              </w:rPr>
            </w:pPr>
            <w:r>
              <w:t>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0"/>
              </w:numPr>
              <w:spacing w:after="120"/>
              <w:ind w:left="357" w:hanging="357"/>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rPr>
            </w:pPr>
            <w:r>
              <w:rPr>
                <w:b/>
              </w:rPr>
              <w:t>Surveillance</w:t>
            </w:r>
          </w:p>
          <w:p>
            <w:pPr>
              <w:pStyle w:val="Listenabsatz"/>
              <w:numPr>
                <w:ilvl w:val="0"/>
                <w:numId w:val="5"/>
              </w:numPr>
              <w:ind w:left="453" w:hanging="340"/>
            </w:pPr>
            <w:r>
              <w:t xml:space="preserve">DEMIS Rollout geht weiter </w:t>
            </w:r>
          </w:p>
          <w:p>
            <w:pPr>
              <w:pStyle w:val="Listenabsatz"/>
              <w:numPr>
                <w:ilvl w:val="0"/>
                <w:numId w:val="5"/>
              </w:numPr>
              <w:ind w:left="453" w:hanging="340"/>
            </w:pPr>
            <w:r>
              <w:t xml:space="preserve">Arbeitsbelastung bei Internationale Kommunikation  steigt weiter </w:t>
            </w:r>
          </w:p>
          <w:p>
            <w:pPr>
              <w:pStyle w:val="Listenabsatz"/>
              <w:numPr>
                <w:ilvl w:val="0"/>
                <w:numId w:val="5"/>
              </w:numPr>
              <w:ind w:left="453" w:hanging="340"/>
            </w:pPr>
            <w:r>
              <w:t xml:space="preserve">Anfrage bei GMLZ zu Unterstützung benötigt Präzisierung, da dort Ressourcen ebenfalls kann sind und aktuell viel zu tun (Libanon </w:t>
            </w:r>
            <w:proofErr w:type="spellStart"/>
            <w:r>
              <w:t>etc</w:t>
            </w:r>
            <w:proofErr w:type="spellEnd"/>
            <w:r>
              <w:t xml:space="preserve">) ist. </w:t>
            </w:r>
          </w:p>
          <w:p>
            <w:pPr>
              <w:pStyle w:val="Listenabsatz"/>
              <w:numPr>
                <w:ilvl w:val="0"/>
                <w:numId w:val="5"/>
              </w:numPr>
              <w:ind w:left="453" w:hanging="340"/>
            </w:pPr>
            <w:proofErr w:type="spellStart"/>
            <w:r>
              <w:t>SurvNet</w:t>
            </w:r>
            <w:proofErr w:type="spellEnd"/>
            <w:r>
              <w:t xml:space="preserve"> Update ist diese Woche beendet</w:t>
            </w:r>
          </w:p>
          <w:p>
            <w:pPr>
              <w:pStyle w:val="Listenabsatz"/>
              <w:numPr>
                <w:ilvl w:val="0"/>
                <w:numId w:val="5"/>
              </w:numPr>
              <w:ind w:left="453" w:hanging="340"/>
            </w:pPr>
            <w:r>
              <w:t xml:space="preserve">LZ Konzept zu Berichterstattung (einmal in der Woche ein umfangreicher Bericht und unter der Woche eher kürzere Berichte) wird bearbeitet </w:t>
            </w:r>
          </w:p>
          <w:p>
            <w:pPr>
              <w:pStyle w:val="Listenabsatz"/>
              <w:numPr>
                <w:ilvl w:val="0"/>
                <w:numId w:val="5"/>
              </w:numPr>
              <w:ind w:left="453" w:hanging="340"/>
            </w:pPr>
            <w:r>
              <w:t xml:space="preserve">Heute konnten erneut Tabellen nicht ordnungsgemäß </w:t>
            </w:r>
            <w:r>
              <w:lastRenderedPageBreak/>
              <w:t xml:space="preserve">abgerufen werden. Serverprobleme von letzter Woche wurden </w:t>
            </w:r>
            <w:proofErr w:type="spellStart"/>
            <w:r>
              <w:t>beonde</w:t>
            </w:r>
            <w:proofErr w:type="spellEnd"/>
            <w:r>
              <w:t xml:space="preserve">, das war ein neues (manuelles) Problem. </w:t>
            </w:r>
          </w:p>
          <w:p>
            <w:pPr>
              <w:pStyle w:val="Listenabsatz"/>
              <w:numPr>
                <w:ilvl w:val="0"/>
                <w:numId w:val="5"/>
              </w:numPr>
              <w:ind w:left="453" w:hanging="340"/>
            </w:pPr>
            <w:r>
              <w:t>Ansprechpartner am BMG Hr. Holzer ist Referent im Referat 661.</w:t>
            </w:r>
          </w:p>
          <w:p>
            <w:pPr>
              <w:pStyle w:val="Listenabsatz"/>
              <w:ind w:left="453"/>
            </w:pPr>
            <w:r>
              <w:t xml:space="preserve">BMG konnte am Ende die Daten bei ESRI selbst abrufen, es wird angestrebt, dass das ab jetzt so gemacht wird.  Nicht alle MA auf der Position Lagebericht haben ein Diensttelefon. Das Hinterlegen der privaten Nummer ist freiwillig. Weitere Besprechung der aktuellen Situation in der Leitungsrunde. </w:t>
            </w:r>
          </w:p>
          <w:p/>
        </w:tc>
        <w:tc>
          <w:tcPr>
            <w:tcW w:w="1492" w:type="dxa"/>
          </w:tcPr>
          <w:p/>
          <w:p>
            <w:r>
              <w:t>FG32</w:t>
            </w:r>
          </w:p>
          <w:p/>
          <w:p/>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p>
          <w:p>
            <w:pPr>
              <w:pStyle w:val="Listenabsatz"/>
              <w:numPr>
                <w:ilvl w:val="0"/>
                <w:numId w:val="5"/>
              </w:numPr>
              <w:ind w:left="453" w:hanging="340"/>
              <w:rPr>
                <w:sz w:val="22"/>
              </w:rPr>
            </w:pPr>
            <w: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spacing w:after="120"/>
              <w:ind w:left="453" w:hanging="340"/>
              <w:rPr>
                <w:sz w:val="22"/>
                <w:szCs w:val="22"/>
              </w:rPr>
            </w:pPr>
            <w:r>
              <w:rPr>
                <w:szCs w:val="22"/>
              </w:rPr>
              <w:t xml:space="preserve">Siehe Surveillance </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453" w:hanging="340"/>
              <w:rPr>
                <w:sz w:val="22"/>
                <w:szCs w:val="22"/>
              </w:rPr>
            </w:pPr>
            <w:r>
              <w:rPr>
                <w:szCs w:val="22"/>
              </w:rPr>
              <w:t>Nicht besprochen</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Cs w:val="22"/>
              </w:rPr>
              <w:t xml:space="preserve">Nächste Sitzung: Mittwoch, 12.08.2020, 11:00 Uhr , via </w:t>
            </w:r>
            <w:proofErr w:type="spellStart"/>
            <w:r>
              <w:rPr>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BBD"/>
    <w:multiLevelType w:val="hybridMultilevel"/>
    <w:tmpl w:val="F33E2324"/>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91587A"/>
    <w:multiLevelType w:val="hybridMultilevel"/>
    <w:tmpl w:val="2672347A"/>
    <w:lvl w:ilvl="0" w:tplc="04090003">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06E7154"/>
    <w:multiLevelType w:val="hybridMultilevel"/>
    <w:tmpl w:val="04D22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80C93"/>
    <w:multiLevelType w:val="hybridMultilevel"/>
    <w:tmpl w:val="D1401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2588297E">
      <w:numFmt w:val="bullet"/>
      <w:lvlText w:val=""/>
      <w:lvlJc w:val="left"/>
      <w:pPr>
        <w:ind w:left="3600" w:hanging="360"/>
      </w:pPr>
      <w:rPr>
        <w:rFonts w:ascii="Wingdings" w:eastAsiaTheme="minorHAnsi" w:hAnsi="Wingdings" w:cstheme="minorBidi" w:hint="default"/>
      </w:rPr>
    </w:lvl>
    <w:lvl w:ilvl="5" w:tplc="1DA4626E">
      <w:start w:val="6"/>
      <w:numFmt w:val="bullet"/>
      <w:lvlText w:val="-"/>
      <w:lvlJc w:val="left"/>
      <w:pPr>
        <w:ind w:left="4320" w:hanging="360"/>
      </w:pPr>
      <w:rPr>
        <w:rFonts w:ascii="Cambria" w:eastAsiaTheme="minorHAnsi" w:hAnsi="Cambria"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B05275"/>
    <w:multiLevelType w:val="hybridMultilevel"/>
    <w:tmpl w:val="3522A174"/>
    <w:lvl w:ilvl="0" w:tplc="5D446D20">
      <w:start w:val="1"/>
      <w:numFmt w:val="bullet"/>
      <w:lvlText w:val=""/>
      <w:lvlJc w:val="left"/>
      <w:pPr>
        <w:tabs>
          <w:tab w:val="num" w:pos="720"/>
        </w:tabs>
        <w:ind w:left="720" w:hanging="360"/>
      </w:pPr>
      <w:rPr>
        <w:rFonts w:ascii="Wingdings" w:hAnsi="Wingdings" w:hint="default"/>
      </w:rPr>
    </w:lvl>
    <w:lvl w:ilvl="1" w:tplc="06B6B19C" w:tentative="1">
      <w:start w:val="1"/>
      <w:numFmt w:val="bullet"/>
      <w:lvlText w:val=""/>
      <w:lvlJc w:val="left"/>
      <w:pPr>
        <w:tabs>
          <w:tab w:val="num" w:pos="1440"/>
        </w:tabs>
        <w:ind w:left="1440" w:hanging="360"/>
      </w:pPr>
      <w:rPr>
        <w:rFonts w:ascii="Wingdings" w:hAnsi="Wingdings" w:hint="default"/>
      </w:rPr>
    </w:lvl>
    <w:lvl w:ilvl="2" w:tplc="5F9C6936" w:tentative="1">
      <w:start w:val="1"/>
      <w:numFmt w:val="bullet"/>
      <w:lvlText w:val=""/>
      <w:lvlJc w:val="left"/>
      <w:pPr>
        <w:tabs>
          <w:tab w:val="num" w:pos="2160"/>
        </w:tabs>
        <w:ind w:left="2160" w:hanging="360"/>
      </w:pPr>
      <w:rPr>
        <w:rFonts w:ascii="Wingdings" w:hAnsi="Wingdings" w:hint="default"/>
      </w:rPr>
    </w:lvl>
    <w:lvl w:ilvl="3" w:tplc="A858CCE4" w:tentative="1">
      <w:start w:val="1"/>
      <w:numFmt w:val="bullet"/>
      <w:lvlText w:val=""/>
      <w:lvlJc w:val="left"/>
      <w:pPr>
        <w:tabs>
          <w:tab w:val="num" w:pos="2880"/>
        </w:tabs>
        <w:ind w:left="2880" w:hanging="360"/>
      </w:pPr>
      <w:rPr>
        <w:rFonts w:ascii="Wingdings" w:hAnsi="Wingdings" w:hint="default"/>
      </w:rPr>
    </w:lvl>
    <w:lvl w:ilvl="4" w:tplc="F96C6CA4" w:tentative="1">
      <w:start w:val="1"/>
      <w:numFmt w:val="bullet"/>
      <w:lvlText w:val=""/>
      <w:lvlJc w:val="left"/>
      <w:pPr>
        <w:tabs>
          <w:tab w:val="num" w:pos="3600"/>
        </w:tabs>
        <w:ind w:left="3600" w:hanging="360"/>
      </w:pPr>
      <w:rPr>
        <w:rFonts w:ascii="Wingdings" w:hAnsi="Wingdings" w:hint="default"/>
      </w:rPr>
    </w:lvl>
    <w:lvl w:ilvl="5" w:tplc="3C3E934E" w:tentative="1">
      <w:start w:val="1"/>
      <w:numFmt w:val="bullet"/>
      <w:lvlText w:val=""/>
      <w:lvlJc w:val="left"/>
      <w:pPr>
        <w:tabs>
          <w:tab w:val="num" w:pos="4320"/>
        </w:tabs>
        <w:ind w:left="4320" w:hanging="360"/>
      </w:pPr>
      <w:rPr>
        <w:rFonts w:ascii="Wingdings" w:hAnsi="Wingdings" w:hint="default"/>
      </w:rPr>
    </w:lvl>
    <w:lvl w:ilvl="6" w:tplc="BA7CCCC6" w:tentative="1">
      <w:start w:val="1"/>
      <w:numFmt w:val="bullet"/>
      <w:lvlText w:val=""/>
      <w:lvlJc w:val="left"/>
      <w:pPr>
        <w:tabs>
          <w:tab w:val="num" w:pos="5040"/>
        </w:tabs>
        <w:ind w:left="5040" w:hanging="360"/>
      </w:pPr>
      <w:rPr>
        <w:rFonts w:ascii="Wingdings" w:hAnsi="Wingdings" w:hint="default"/>
      </w:rPr>
    </w:lvl>
    <w:lvl w:ilvl="7" w:tplc="56F43BB4" w:tentative="1">
      <w:start w:val="1"/>
      <w:numFmt w:val="bullet"/>
      <w:lvlText w:val=""/>
      <w:lvlJc w:val="left"/>
      <w:pPr>
        <w:tabs>
          <w:tab w:val="num" w:pos="5760"/>
        </w:tabs>
        <w:ind w:left="5760" w:hanging="360"/>
      </w:pPr>
      <w:rPr>
        <w:rFonts w:ascii="Wingdings" w:hAnsi="Wingdings" w:hint="default"/>
      </w:rPr>
    </w:lvl>
    <w:lvl w:ilvl="8" w:tplc="B92A2A4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C535FCB"/>
    <w:multiLevelType w:val="hybridMultilevel"/>
    <w:tmpl w:val="97261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60558A"/>
    <w:multiLevelType w:val="hybridMultilevel"/>
    <w:tmpl w:val="C60E8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250E18"/>
    <w:multiLevelType w:val="hybridMultilevel"/>
    <w:tmpl w:val="9482B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03271F"/>
    <w:multiLevelType w:val="hybridMultilevel"/>
    <w:tmpl w:val="82580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397807"/>
    <w:multiLevelType w:val="hybridMultilevel"/>
    <w:tmpl w:val="8A52D03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2F1D53"/>
    <w:multiLevelType w:val="hybridMultilevel"/>
    <w:tmpl w:val="667C3F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9053681"/>
    <w:multiLevelType w:val="hybridMultilevel"/>
    <w:tmpl w:val="6A42C4A4"/>
    <w:lvl w:ilvl="0" w:tplc="753AA5FE">
      <w:start w:val="1"/>
      <w:numFmt w:val="bullet"/>
      <w:lvlText w:val=""/>
      <w:lvlJc w:val="left"/>
      <w:pPr>
        <w:tabs>
          <w:tab w:val="num" w:pos="720"/>
        </w:tabs>
        <w:ind w:left="720" w:hanging="360"/>
      </w:pPr>
      <w:rPr>
        <w:rFonts w:ascii="Wingdings" w:hAnsi="Wingdings" w:hint="default"/>
      </w:rPr>
    </w:lvl>
    <w:lvl w:ilvl="1" w:tplc="7DB4F6D4" w:tentative="1">
      <w:start w:val="1"/>
      <w:numFmt w:val="bullet"/>
      <w:lvlText w:val=""/>
      <w:lvlJc w:val="left"/>
      <w:pPr>
        <w:tabs>
          <w:tab w:val="num" w:pos="1440"/>
        </w:tabs>
        <w:ind w:left="1440" w:hanging="360"/>
      </w:pPr>
      <w:rPr>
        <w:rFonts w:ascii="Wingdings" w:hAnsi="Wingdings" w:hint="default"/>
      </w:rPr>
    </w:lvl>
    <w:lvl w:ilvl="2" w:tplc="DBFA8A9A" w:tentative="1">
      <w:start w:val="1"/>
      <w:numFmt w:val="bullet"/>
      <w:lvlText w:val=""/>
      <w:lvlJc w:val="left"/>
      <w:pPr>
        <w:tabs>
          <w:tab w:val="num" w:pos="2160"/>
        </w:tabs>
        <w:ind w:left="2160" w:hanging="360"/>
      </w:pPr>
      <w:rPr>
        <w:rFonts w:ascii="Wingdings" w:hAnsi="Wingdings" w:hint="default"/>
      </w:rPr>
    </w:lvl>
    <w:lvl w:ilvl="3" w:tplc="A9221296" w:tentative="1">
      <w:start w:val="1"/>
      <w:numFmt w:val="bullet"/>
      <w:lvlText w:val=""/>
      <w:lvlJc w:val="left"/>
      <w:pPr>
        <w:tabs>
          <w:tab w:val="num" w:pos="2880"/>
        </w:tabs>
        <w:ind w:left="2880" w:hanging="360"/>
      </w:pPr>
      <w:rPr>
        <w:rFonts w:ascii="Wingdings" w:hAnsi="Wingdings" w:hint="default"/>
      </w:rPr>
    </w:lvl>
    <w:lvl w:ilvl="4" w:tplc="80D03EBC" w:tentative="1">
      <w:start w:val="1"/>
      <w:numFmt w:val="bullet"/>
      <w:lvlText w:val=""/>
      <w:lvlJc w:val="left"/>
      <w:pPr>
        <w:tabs>
          <w:tab w:val="num" w:pos="3600"/>
        </w:tabs>
        <w:ind w:left="3600" w:hanging="360"/>
      </w:pPr>
      <w:rPr>
        <w:rFonts w:ascii="Wingdings" w:hAnsi="Wingdings" w:hint="default"/>
      </w:rPr>
    </w:lvl>
    <w:lvl w:ilvl="5" w:tplc="36E66D64" w:tentative="1">
      <w:start w:val="1"/>
      <w:numFmt w:val="bullet"/>
      <w:lvlText w:val=""/>
      <w:lvlJc w:val="left"/>
      <w:pPr>
        <w:tabs>
          <w:tab w:val="num" w:pos="4320"/>
        </w:tabs>
        <w:ind w:left="4320" w:hanging="360"/>
      </w:pPr>
      <w:rPr>
        <w:rFonts w:ascii="Wingdings" w:hAnsi="Wingdings" w:hint="default"/>
      </w:rPr>
    </w:lvl>
    <w:lvl w:ilvl="6" w:tplc="F5D82A14" w:tentative="1">
      <w:start w:val="1"/>
      <w:numFmt w:val="bullet"/>
      <w:lvlText w:val=""/>
      <w:lvlJc w:val="left"/>
      <w:pPr>
        <w:tabs>
          <w:tab w:val="num" w:pos="5040"/>
        </w:tabs>
        <w:ind w:left="5040" w:hanging="360"/>
      </w:pPr>
      <w:rPr>
        <w:rFonts w:ascii="Wingdings" w:hAnsi="Wingdings" w:hint="default"/>
      </w:rPr>
    </w:lvl>
    <w:lvl w:ilvl="7" w:tplc="CB40E504" w:tentative="1">
      <w:start w:val="1"/>
      <w:numFmt w:val="bullet"/>
      <w:lvlText w:val=""/>
      <w:lvlJc w:val="left"/>
      <w:pPr>
        <w:tabs>
          <w:tab w:val="num" w:pos="5760"/>
        </w:tabs>
        <w:ind w:left="5760" w:hanging="360"/>
      </w:pPr>
      <w:rPr>
        <w:rFonts w:ascii="Wingdings" w:hAnsi="Wingdings" w:hint="default"/>
      </w:rPr>
    </w:lvl>
    <w:lvl w:ilvl="8" w:tplc="7BCCCF0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43AB4B65"/>
    <w:multiLevelType w:val="hybridMultilevel"/>
    <w:tmpl w:val="4FDC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8C5EC8"/>
    <w:multiLevelType w:val="hybridMultilevel"/>
    <w:tmpl w:val="B91CF4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E5468E"/>
    <w:multiLevelType w:val="hybridMultilevel"/>
    <w:tmpl w:val="E3F866CA"/>
    <w:lvl w:ilvl="0" w:tplc="6F1E3822">
      <w:start w:val="1"/>
      <w:numFmt w:val="decimal"/>
      <w:lvlText w:val="%1."/>
      <w:lvlJc w:val="left"/>
      <w:pPr>
        <w:ind w:left="830" w:hanging="360"/>
      </w:pPr>
      <w:rPr>
        <w:rFonts w:hint="default"/>
      </w:rPr>
    </w:lvl>
    <w:lvl w:ilvl="1" w:tplc="04070019" w:tentative="1">
      <w:start w:val="1"/>
      <w:numFmt w:val="lowerLetter"/>
      <w:lvlText w:val="%2."/>
      <w:lvlJc w:val="left"/>
      <w:pPr>
        <w:ind w:left="1550" w:hanging="360"/>
      </w:pPr>
    </w:lvl>
    <w:lvl w:ilvl="2" w:tplc="0407001B" w:tentative="1">
      <w:start w:val="1"/>
      <w:numFmt w:val="lowerRoman"/>
      <w:lvlText w:val="%3."/>
      <w:lvlJc w:val="right"/>
      <w:pPr>
        <w:ind w:left="2270" w:hanging="180"/>
      </w:pPr>
    </w:lvl>
    <w:lvl w:ilvl="3" w:tplc="0407000F" w:tentative="1">
      <w:start w:val="1"/>
      <w:numFmt w:val="decimal"/>
      <w:lvlText w:val="%4."/>
      <w:lvlJc w:val="left"/>
      <w:pPr>
        <w:ind w:left="2990" w:hanging="360"/>
      </w:pPr>
    </w:lvl>
    <w:lvl w:ilvl="4" w:tplc="04070019" w:tentative="1">
      <w:start w:val="1"/>
      <w:numFmt w:val="lowerLetter"/>
      <w:lvlText w:val="%5."/>
      <w:lvlJc w:val="left"/>
      <w:pPr>
        <w:ind w:left="3710" w:hanging="360"/>
      </w:pPr>
    </w:lvl>
    <w:lvl w:ilvl="5" w:tplc="0407001B" w:tentative="1">
      <w:start w:val="1"/>
      <w:numFmt w:val="lowerRoman"/>
      <w:lvlText w:val="%6."/>
      <w:lvlJc w:val="right"/>
      <w:pPr>
        <w:ind w:left="4430" w:hanging="180"/>
      </w:pPr>
    </w:lvl>
    <w:lvl w:ilvl="6" w:tplc="0407000F" w:tentative="1">
      <w:start w:val="1"/>
      <w:numFmt w:val="decimal"/>
      <w:lvlText w:val="%7."/>
      <w:lvlJc w:val="left"/>
      <w:pPr>
        <w:ind w:left="5150" w:hanging="360"/>
      </w:pPr>
    </w:lvl>
    <w:lvl w:ilvl="7" w:tplc="04070019" w:tentative="1">
      <w:start w:val="1"/>
      <w:numFmt w:val="lowerLetter"/>
      <w:lvlText w:val="%8."/>
      <w:lvlJc w:val="left"/>
      <w:pPr>
        <w:ind w:left="5870" w:hanging="360"/>
      </w:pPr>
    </w:lvl>
    <w:lvl w:ilvl="8" w:tplc="0407001B" w:tentative="1">
      <w:start w:val="1"/>
      <w:numFmt w:val="lowerRoman"/>
      <w:lvlText w:val="%9."/>
      <w:lvlJc w:val="right"/>
      <w:pPr>
        <w:ind w:left="6590" w:hanging="180"/>
      </w:pPr>
    </w:lvl>
  </w:abstractNum>
  <w:abstractNum w:abstractNumId="3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5333CF3"/>
    <w:multiLevelType w:val="hybridMultilevel"/>
    <w:tmpl w:val="E2B4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58758C2"/>
    <w:multiLevelType w:val="hybridMultilevel"/>
    <w:tmpl w:val="FDD6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9596263"/>
    <w:multiLevelType w:val="hybridMultilevel"/>
    <w:tmpl w:val="DF566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2754356"/>
    <w:multiLevelType w:val="hybridMultilevel"/>
    <w:tmpl w:val="124A08F6"/>
    <w:lvl w:ilvl="0" w:tplc="2B8C19EE">
      <w:start w:val="1"/>
      <w:numFmt w:val="bullet"/>
      <w:lvlText w:val=""/>
      <w:lvlJc w:val="left"/>
      <w:pPr>
        <w:tabs>
          <w:tab w:val="num" w:pos="720"/>
        </w:tabs>
        <w:ind w:left="720" w:hanging="360"/>
      </w:pPr>
      <w:rPr>
        <w:rFonts w:ascii="Wingdings" w:hAnsi="Wingdings" w:hint="default"/>
      </w:rPr>
    </w:lvl>
    <w:lvl w:ilvl="1" w:tplc="3C6C64BE" w:tentative="1">
      <w:start w:val="1"/>
      <w:numFmt w:val="bullet"/>
      <w:lvlText w:val=""/>
      <w:lvlJc w:val="left"/>
      <w:pPr>
        <w:tabs>
          <w:tab w:val="num" w:pos="1440"/>
        </w:tabs>
        <w:ind w:left="1440" w:hanging="360"/>
      </w:pPr>
      <w:rPr>
        <w:rFonts w:ascii="Wingdings" w:hAnsi="Wingdings" w:hint="default"/>
      </w:rPr>
    </w:lvl>
    <w:lvl w:ilvl="2" w:tplc="5D90C598" w:tentative="1">
      <w:start w:val="1"/>
      <w:numFmt w:val="bullet"/>
      <w:lvlText w:val=""/>
      <w:lvlJc w:val="left"/>
      <w:pPr>
        <w:tabs>
          <w:tab w:val="num" w:pos="2160"/>
        </w:tabs>
        <w:ind w:left="2160" w:hanging="360"/>
      </w:pPr>
      <w:rPr>
        <w:rFonts w:ascii="Wingdings" w:hAnsi="Wingdings" w:hint="default"/>
      </w:rPr>
    </w:lvl>
    <w:lvl w:ilvl="3" w:tplc="0A000906" w:tentative="1">
      <w:start w:val="1"/>
      <w:numFmt w:val="bullet"/>
      <w:lvlText w:val=""/>
      <w:lvlJc w:val="left"/>
      <w:pPr>
        <w:tabs>
          <w:tab w:val="num" w:pos="2880"/>
        </w:tabs>
        <w:ind w:left="2880" w:hanging="360"/>
      </w:pPr>
      <w:rPr>
        <w:rFonts w:ascii="Wingdings" w:hAnsi="Wingdings" w:hint="default"/>
      </w:rPr>
    </w:lvl>
    <w:lvl w:ilvl="4" w:tplc="76CCD206" w:tentative="1">
      <w:start w:val="1"/>
      <w:numFmt w:val="bullet"/>
      <w:lvlText w:val=""/>
      <w:lvlJc w:val="left"/>
      <w:pPr>
        <w:tabs>
          <w:tab w:val="num" w:pos="3600"/>
        </w:tabs>
        <w:ind w:left="3600" w:hanging="360"/>
      </w:pPr>
      <w:rPr>
        <w:rFonts w:ascii="Wingdings" w:hAnsi="Wingdings" w:hint="default"/>
      </w:rPr>
    </w:lvl>
    <w:lvl w:ilvl="5" w:tplc="B1EE72F0" w:tentative="1">
      <w:start w:val="1"/>
      <w:numFmt w:val="bullet"/>
      <w:lvlText w:val=""/>
      <w:lvlJc w:val="left"/>
      <w:pPr>
        <w:tabs>
          <w:tab w:val="num" w:pos="4320"/>
        </w:tabs>
        <w:ind w:left="4320" w:hanging="360"/>
      </w:pPr>
      <w:rPr>
        <w:rFonts w:ascii="Wingdings" w:hAnsi="Wingdings" w:hint="default"/>
      </w:rPr>
    </w:lvl>
    <w:lvl w:ilvl="6" w:tplc="D004DC14" w:tentative="1">
      <w:start w:val="1"/>
      <w:numFmt w:val="bullet"/>
      <w:lvlText w:val=""/>
      <w:lvlJc w:val="left"/>
      <w:pPr>
        <w:tabs>
          <w:tab w:val="num" w:pos="5040"/>
        </w:tabs>
        <w:ind w:left="5040" w:hanging="360"/>
      </w:pPr>
      <w:rPr>
        <w:rFonts w:ascii="Wingdings" w:hAnsi="Wingdings" w:hint="default"/>
      </w:rPr>
    </w:lvl>
    <w:lvl w:ilvl="7" w:tplc="9CD892B6" w:tentative="1">
      <w:start w:val="1"/>
      <w:numFmt w:val="bullet"/>
      <w:lvlText w:val=""/>
      <w:lvlJc w:val="left"/>
      <w:pPr>
        <w:tabs>
          <w:tab w:val="num" w:pos="5760"/>
        </w:tabs>
        <w:ind w:left="5760" w:hanging="360"/>
      </w:pPr>
      <w:rPr>
        <w:rFonts w:ascii="Wingdings" w:hAnsi="Wingdings" w:hint="default"/>
      </w:rPr>
    </w:lvl>
    <w:lvl w:ilvl="8" w:tplc="F2542EC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4453EF8"/>
    <w:multiLevelType w:val="hybridMultilevel"/>
    <w:tmpl w:val="3AC4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5A57CD4"/>
    <w:multiLevelType w:val="hybridMultilevel"/>
    <w:tmpl w:val="3A5A15F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1"/>
  </w:num>
  <w:num w:numId="2">
    <w:abstractNumId w:val="8"/>
  </w:num>
  <w:num w:numId="3">
    <w:abstractNumId w:val="6"/>
  </w:num>
  <w:num w:numId="4">
    <w:abstractNumId w:val="30"/>
  </w:num>
  <w:num w:numId="5">
    <w:abstractNumId w:val="15"/>
  </w:num>
  <w:num w:numId="6">
    <w:abstractNumId w:val="32"/>
  </w:num>
  <w:num w:numId="7">
    <w:abstractNumId w:val="40"/>
  </w:num>
  <w:num w:numId="8">
    <w:abstractNumId w:val="24"/>
  </w:num>
  <w:num w:numId="9">
    <w:abstractNumId w:val="9"/>
  </w:num>
  <w:num w:numId="10">
    <w:abstractNumId w:val="47"/>
  </w:num>
  <w:num w:numId="11">
    <w:abstractNumId w:val="39"/>
  </w:num>
  <w:num w:numId="12">
    <w:abstractNumId w:val="28"/>
  </w:num>
  <w:num w:numId="13">
    <w:abstractNumId w:val="23"/>
  </w:num>
  <w:num w:numId="14">
    <w:abstractNumId w:val="36"/>
  </w:num>
  <w:num w:numId="15">
    <w:abstractNumId w:val="29"/>
  </w:num>
  <w:num w:numId="16">
    <w:abstractNumId w:val="1"/>
  </w:num>
  <w:num w:numId="17">
    <w:abstractNumId w:val="22"/>
  </w:num>
  <w:num w:numId="18">
    <w:abstractNumId w:val="43"/>
  </w:num>
  <w:num w:numId="19">
    <w:abstractNumId w:val="20"/>
  </w:num>
  <w:num w:numId="20">
    <w:abstractNumId w:val="41"/>
  </w:num>
  <w:num w:numId="21">
    <w:abstractNumId w:val="13"/>
  </w:num>
  <w:num w:numId="22">
    <w:abstractNumId w:val="16"/>
  </w:num>
  <w:num w:numId="23">
    <w:abstractNumId w:val="4"/>
  </w:num>
  <w:num w:numId="24">
    <w:abstractNumId w:val="37"/>
  </w:num>
  <w:num w:numId="25">
    <w:abstractNumId w:val="26"/>
  </w:num>
  <w:num w:numId="26">
    <w:abstractNumId w:val="2"/>
  </w:num>
  <w:num w:numId="27">
    <w:abstractNumId w:val="38"/>
  </w:num>
  <w:num w:numId="28">
    <w:abstractNumId w:val="44"/>
  </w:num>
  <w:num w:numId="29">
    <w:abstractNumId w:val="17"/>
  </w:num>
  <w:num w:numId="30">
    <w:abstractNumId w:val="27"/>
  </w:num>
  <w:num w:numId="31">
    <w:abstractNumId w:val="18"/>
  </w:num>
  <w:num w:numId="32">
    <w:abstractNumId w:val="0"/>
  </w:num>
  <w:num w:numId="33">
    <w:abstractNumId w:val="5"/>
  </w:num>
  <w:num w:numId="34">
    <w:abstractNumId w:val="45"/>
  </w:num>
  <w:num w:numId="35">
    <w:abstractNumId w:val="34"/>
  </w:num>
  <w:num w:numId="36">
    <w:abstractNumId w:val="33"/>
  </w:num>
  <w:num w:numId="37">
    <w:abstractNumId w:val="25"/>
  </w:num>
  <w:num w:numId="38">
    <w:abstractNumId w:val="12"/>
  </w:num>
  <w:num w:numId="39">
    <w:abstractNumId w:val="14"/>
  </w:num>
  <w:num w:numId="40">
    <w:abstractNumId w:val="11"/>
  </w:num>
  <w:num w:numId="41">
    <w:abstractNumId w:val="46"/>
  </w:num>
  <w:num w:numId="42">
    <w:abstractNumId w:val="42"/>
  </w:num>
  <w:num w:numId="43">
    <w:abstractNumId w:val="19"/>
  </w:num>
  <w:num w:numId="44">
    <w:abstractNumId w:val="7"/>
  </w:num>
  <w:num w:numId="45">
    <w:abstractNumId w:val="10"/>
  </w:num>
  <w:num w:numId="46">
    <w:abstractNumId w:val="35"/>
  </w:num>
  <w:num w:numId="47">
    <w:abstractNumId w:val="31"/>
  </w:num>
  <w:num w:numId="4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D9F46275-3FCD-4D9C-90EF-61F1FC74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2196">
      <w:bodyDiv w:val="1"/>
      <w:marLeft w:val="0"/>
      <w:marRight w:val="0"/>
      <w:marTop w:val="0"/>
      <w:marBottom w:val="0"/>
      <w:divBdr>
        <w:top w:val="none" w:sz="0" w:space="0" w:color="auto"/>
        <w:left w:val="none" w:sz="0" w:space="0" w:color="auto"/>
        <w:bottom w:val="none" w:sz="0" w:space="0" w:color="auto"/>
        <w:right w:val="none" w:sz="0" w:space="0" w:color="auto"/>
      </w:divBdr>
      <w:divsChild>
        <w:div w:id="27679480">
          <w:marLeft w:val="446"/>
          <w:marRight w:val="0"/>
          <w:marTop w:val="86"/>
          <w:marBottom w:val="120"/>
          <w:divBdr>
            <w:top w:val="none" w:sz="0" w:space="0" w:color="auto"/>
            <w:left w:val="none" w:sz="0" w:space="0" w:color="auto"/>
            <w:bottom w:val="none" w:sz="0" w:space="0" w:color="auto"/>
            <w:right w:val="none" w:sz="0" w:space="0" w:color="auto"/>
          </w:divBdr>
        </w:div>
      </w:divsChild>
    </w:div>
    <w:div w:id="12045890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3681730">
      <w:bodyDiv w:val="1"/>
      <w:marLeft w:val="0"/>
      <w:marRight w:val="0"/>
      <w:marTop w:val="0"/>
      <w:marBottom w:val="0"/>
      <w:divBdr>
        <w:top w:val="none" w:sz="0" w:space="0" w:color="auto"/>
        <w:left w:val="none" w:sz="0" w:space="0" w:color="auto"/>
        <w:bottom w:val="none" w:sz="0" w:space="0" w:color="auto"/>
        <w:right w:val="none" w:sz="0" w:space="0" w:color="auto"/>
      </w:divBdr>
      <w:divsChild>
        <w:div w:id="1616523799">
          <w:marLeft w:val="446"/>
          <w:marRight w:val="0"/>
          <w:marTop w:val="86"/>
          <w:marBottom w:val="12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18011885">
      <w:bodyDiv w:val="1"/>
      <w:marLeft w:val="0"/>
      <w:marRight w:val="0"/>
      <w:marTop w:val="0"/>
      <w:marBottom w:val="0"/>
      <w:divBdr>
        <w:top w:val="none" w:sz="0" w:space="0" w:color="auto"/>
        <w:left w:val="none" w:sz="0" w:space="0" w:color="auto"/>
        <w:bottom w:val="none" w:sz="0" w:space="0" w:color="auto"/>
        <w:right w:val="none" w:sz="0" w:space="0" w:color="auto"/>
      </w:divBdr>
    </w:div>
    <w:div w:id="1407190826">
      <w:bodyDiv w:val="1"/>
      <w:marLeft w:val="0"/>
      <w:marRight w:val="0"/>
      <w:marTop w:val="0"/>
      <w:marBottom w:val="0"/>
      <w:divBdr>
        <w:top w:val="none" w:sz="0" w:space="0" w:color="auto"/>
        <w:left w:val="none" w:sz="0" w:space="0" w:color="auto"/>
        <w:bottom w:val="none" w:sz="0" w:space="0" w:color="auto"/>
        <w:right w:val="none" w:sz="0" w:space="0" w:color="auto"/>
      </w:divBdr>
      <w:divsChild>
        <w:div w:id="1659923923">
          <w:marLeft w:val="446"/>
          <w:marRight w:val="0"/>
          <w:marTop w:val="86"/>
          <w:marBottom w:val="120"/>
          <w:divBdr>
            <w:top w:val="none" w:sz="0" w:space="0" w:color="auto"/>
            <w:left w:val="none" w:sz="0" w:space="0" w:color="auto"/>
            <w:bottom w:val="none" w:sz="0" w:space="0" w:color="auto"/>
            <w:right w:val="none" w:sz="0" w:space="0" w:color="auto"/>
          </w:divBdr>
        </w:div>
      </w:divsChild>
    </w:div>
    <w:div w:id="1686007783">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89211303">
      <w:bodyDiv w:val="1"/>
      <w:marLeft w:val="0"/>
      <w:marRight w:val="0"/>
      <w:marTop w:val="0"/>
      <w:marBottom w:val="0"/>
      <w:divBdr>
        <w:top w:val="none" w:sz="0" w:space="0" w:color="auto"/>
        <w:left w:val="none" w:sz="0" w:space="0" w:color="auto"/>
        <w:bottom w:val="none" w:sz="0" w:space="0" w:color="auto"/>
        <w:right w:val="none" w:sz="0" w:space="0" w:color="auto"/>
      </w:divBdr>
    </w:div>
    <w:div w:id="1776822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8-10_Lage_AG\COVID-19_International_Lage_2020-08-10.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etaanalyse%20Physical%20distancing%20face%20masks%20and%20eye%20V2.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8-10_Lage_AG\Lage-National_2020-08-10.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F7AF4-0BC3-4C5E-88E4-27599C23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2165</Words>
  <Characters>13642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cp:revision>
  <cp:lastPrinted>2020-08-10T09:47:00Z</cp:lastPrinted>
  <dcterms:created xsi:type="dcterms:W3CDTF">2020-08-10T18:46:00Z</dcterms:created>
  <dcterms:modified xsi:type="dcterms:W3CDTF">2021-05-10T14:15:00Z</dcterms:modified>
</cp:coreProperties>
</file>