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12.08.2020,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Virtueller Konferenzraum Vitero</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2"/>
        </w:numPr>
        <w:spacing w:after="0"/>
        <w:contextualSpacing w:val="0"/>
        <w:rPr>
          <w:sz w:val="22"/>
        </w:rPr>
      </w:pPr>
      <w:r>
        <w:rPr>
          <w:sz w:val="22"/>
        </w:rPr>
        <w:t>FG21</w:t>
      </w:r>
    </w:p>
    <w:p>
      <w:pPr>
        <w:pStyle w:val="Listenabsatz"/>
        <w:numPr>
          <w:ilvl w:val="1"/>
          <w:numId w:val="2"/>
        </w:numPr>
        <w:spacing w:after="0"/>
        <w:contextualSpacing w:val="0"/>
        <w:rPr>
          <w:sz w:val="22"/>
        </w:rPr>
      </w:pPr>
      <w:r>
        <w:rPr>
          <w:sz w:val="22"/>
        </w:rPr>
        <w:t>Patrick Schmich</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MF1</w:t>
      </w:r>
    </w:p>
    <w:p>
      <w:pPr>
        <w:pStyle w:val="Listenabsatz"/>
        <w:numPr>
          <w:ilvl w:val="1"/>
          <w:numId w:val="4"/>
        </w:numPr>
        <w:spacing w:after="0"/>
        <w:contextualSpacing w:val="0"/>
        <w:rPr>
          <w:sz w:val="22"/>
        </w:rPr>
      </w:pPr>
      <w:r>
        <w:rPr>
          <w:sz w:val="22"/>
        </w:rPr>
        <w:t>Max von Kleist</w:t>
      </w:r>
    </w:p>
    <w:p>
      <w:pPr>
        <w:pStyle w:val="Listenabsatz"/>
        <w:numPr>
          <w:ilvl w:val="0"/>
          <w:numId w:val="4"/>
        </w:numPr>
        <w:spacing w:after="0"/>
        <w:contextualSpacing w:val="0"/>
        <w:rPr>
          <w:sz w:val="22"/>
        </w:rPr>
      </w:pPr>
      <w:r>
        <w:rPr>
          <w:sz w:val="22"/>
        </w:rPr>
        <w:t>P1</w:t>
      </w:r>
    </w:p>
    <w:p>
      <w:pPr>
        <w:pStyle w:val="Listenabsatz"/>
        <w:numPr>
          <w:ilvl w:val="1"/>
          <w:numId w:val="4"/>
        </w:numPr>
        <w:spacing w:after="0"/>
        <w:contextualSpacing w:val="0"/>
        <w:rPr>
          <w:sz w:val="22"/>
        </w:rPr>
      </w:pPr>
      <w:r>
        <w:rPr>
          <w:sz w:val="22"/>
        </w:rPr>
        <w:t>Christina Leuker</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lastRenderedPageBreak/>
        <w:t>Eugenia Romo Ventura</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BMG</w:t>
      </w:r>
    </w:p>
    <w:p>
      <w:pPr>
        <w:pStyle w:val="Listenabsatz"/>
        <w:numPr>
          <w:ilvl w:val="1"/>
          <w:numId w:val="2"/>
        </w:numPr>
        <w:spacing w:after="0"/>
        <w:contextualSpacing w:val="0"/>
        <w:rPr>
          <w:sz w:val="22"/>
        </w:rPr>
      </w:pPr>
      <w:r>
        <w:rPr>
          <w:sz w:val="22"/>
        </w:rPr>
        <w:t>Iris Andernach</w:t>
      </w:r>
    </w:p>
    <w:p>
      <w:pPr>
        <w:pStyle w:val="Listenabsatz"/>
        <w:numPr>
          <w:ilvl w:val="1"/>
          <w:numId w:val="2"/>
        </w:numPr>
        <w:spacing w:after="0"/>
        <w:contextualSpacing w:val="0"/>
        <w:rPr>
          <w:sz w:val="22"/>
        </w:rPr>
      </w:pPr>
      <w:r>
        <w:rPr>
          <w:sz w:val="22"/>
        </w:rPr>
        <w:t>Christophe Bayer</w:t>
      </w:r>
    </w:p>
    <w:p>
      <w:pPr>
        <w:spacing w:after="0"/>
        <w:rPr>
          <w:sz w:val="22"/>
          <w:highlight w:val="yellow"/>
        </w:rPr>
      </w:pPr>
    </w:p>
    <w:tbl>
      <w:tblPr>
        <w:tblStyle w:val="Tabellenraster"/>
        <w:tblW w:w="8897" w:type="dxa"/>
        <w:tblLayout w:type="fixed"/>
        <w:tblLook w:val="04A0" w:firstRow="1" w:lastRow="0" w:firstColumn="1" w:lastColumn="0" w:noHBand="0" w:noVBand="1"/>
      </w:tblPr>
      <w:tblGrid>
        <w:gridCol w:w="684"/>
        <w:gridCol w:w="6795"/>
        <w:gridCol w:w="1418"/>
      </w:tblGrid>
      <w:tr>
        <w:tc>
          <w:tcPr>
            <w:tcW w:w="684" w:type="dxa"/>
          </w:tcPr>
          <w:p>
            <w:pPr>
              <w:rPr>
                <w:b/>
              </w:rPr>
            </w:pPr>
            <w:r>
              <w:br w:type="page"/>
            </w:r>
            <w:r>
              <w:rPr>
                <w:b/>
              </w:rPr>
              <w:t>TOP</w:t>
            </w:r>
          </w:p>
        </w:tc>
        <w:tc>
          <w:tcPr>
            <w:tcW w:w="6795" w:type="dxa"/>
          </w:tcPr>
          <w:p>
            <w:pPr>
              <w:rPr>
                <w:b/>
              </w:rPr>
            </w:pPr>
            <w:r>
              <w:rPr>
                <w:b/>
              </w:rPr>
              <w:t>Beitrag/Thema</w:t>
            </w:r>
          </w:p>
        </w:tc>
        <w:tc>
          <w:tcPr>
            <w:tcW w:w="1418" w:type="dxa"/>
          </w:tcPr>
          <w:p>
            <w:pPr>
              <w:rPr>
                <w:b/>
                <w:sz w:val="22"/>
                <w:szCs w:val="22"/>
              </w:rPr>
            </w:pPr>
            <w:r>
              <w:rPr>
                <w:b/>
                <w:sz w:val="20"/>
                <w:szCs w:val="22"/>
              </w:rPr>
              <w:t>eingebracht von</w:t>
            </w:r>
          </w:p>
        </w:tc>
      </w:tr>
      <w:tr>
        <w:tblPrEx>
          <w:tblLook w:val="00A0" w:firstRow="1" w:lastRow="0" w:firstColumn="1" w:lastColumn="0" w:noHBand="0" w:noVBand="0"/>
        </w:tblPrEx>
        <w:tc>
          <w:tcPr>
            <w:tcW w:w="684" w:type="dxa"/>
          </w:tcPr>
          <w:p>
            <w:r>
              <w:rPr>
                <w:b/>
              </w:rPr>
              <w:t>1</w:t>
            </w:r>
          </w:p>
        </w:tc>
        <w:tc>
          <w:tcPr>
            <w:tcW w:w="6795" w:type="dxa"/>
          </w:tcPr>
          <w:p>
            <w:pPr>
              <w:spacing w:line="276" w:lineRule="auto"/>
              <w:rPr>
                <w:b/>
              </w:rPr>
            </w:pPr>
            <w:r>
              <w:rPr>
                <w:b/>
              </w:rPr>
              <w:t xml:space="preserve">Aktuelle Lage - International </w:t>
            </w:r>
          </w:p>
          <w:p>
            <w:pPr>
              <w:pStyle w:val="Listenabsatz"/>
              <w:numPr>
                <w:ilvl w:val="0"/>
                <w:numId w:val="44"/>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 xml:space="preserve">Meiste Fälle in USA, Brasilien, Indien </w:t>
            </w:r>
          </w:p>
          <w:p>
            <w:pPr>
              <w:pStyle w:val="Listenabsatz"/>
              <w:numPr>
                <w:ilvl w:val="2"/>
                <w:numId w:val="44"/>
              </w:numPr>
              <w:ind w:left="1443"/>
              <w:rPr>
                <w:sz w:val="22"/>
                <w:szCs w:val="22"/>
              </w:rPr>
            </w:pPr>
            <w:r>
              <w:rPr>
                <w:sz w:val="22"/>
                <w:szCs w:val="22"/>
              </w:rPr>
              <w:t>Steigende Tendenz in Indien, Russland, Peru</w:t>
            </w:r>
          </w:p>
          <w:p>
            <w:pPr>
              <w:pStyle w:val="Listenabsatz"/>
              <w:numPr>
                <w:ilvl w:val="1"/>
                <w:numId w:val="44"/>
              </w:numPr>
              <w:ind w:left="876"/>
              <w:rPr>
                <w:sz w:val="22"/>
                <w:szCs w:val="22"/>
              </w:rPr>
            </w:pPr>
            <w:r>
              <w:rPr>
                <w:sz w:val="22"/>
                <w:szCs w:val="22"/>
              </w:rPr>
              <w:t>Länder mit &gt;70.000 neuen Fällen/letzte 7 Tage</w:t>
            </w:r>
          </w:p>
          <w:p>
            <w:pPr>
              <w:pStyle w:val="Listenabsatz"/>
              <w:numPr>
                <w:ilvl w:val="1"/>
                <w:numId w:val="44"/>
              </w:numPr>
              <w:ind w:left="876"/>
              <w:rPr>
                <w:sz w:val="22"/>
                <w:szCs w:val="22"/>
              </w:rPr>
            </w:pPr>
            <w:r>
              <w:rPr>
                <w:sz w:val="22"/>
                <w:szCs w:val="22"/>
              </w:rPr>
              <w:t xml:space="preserve">Länder mit 7-T.-Inzidenz &gt;50/100.000 Einw. </w:t>
            </w:r>
            <w:r>
              <w:rPr>
                <w:sz w:val="22"/>
                <w:szCs w:val="22"/>
              </w:rPr>
              <w:br/>
              <w:t>Weltweit 34 Länder, neu seit Montag ist Spanien</w:t>
            </w:r>
          </w:p>
          <w:p>
            <w:pPr>
              <w:pStyle w:val="Listenabsatz"/>
              <w:numPr>
                <w:ilvl w:val="1"/>
                <w:numId w:val="44"/>
              </w:numPr>
              <w:ind w:left="876"/>
              <w:rPr>
                <w:sz w:val="22"/>
                <w:szCs w:val="22"/>
              </w:rPr>
            </w:pPr>
            <w:r>
              <w:rPr>
                <w:sz w:val="22"/>
                <w:szCs w:val="22"/>
              </w:rPr>
              <w:t>Subnationale Regionen mit 7-T.-Inzidenz &gt;50/100.000 Einw. in der WHO EURO Region</w:t>
            </w:r>
          </w:p>
          <w:p>
            <w:pPr>
              <w:pStyle w:val="Listenabsatz"/>
              <w:numPr>
                <w:ilvl w:val="2"/>
                <w:numId w:val="44"/>
              </w:numPr>
              <w:ind w:left="1443"/>
              <w:rPr>
                <w:sz w:val="22"/>
                <w:szCs w:val="22"/>
              </w:rPr>
            </w:pPr>
            <w:r>
              <w:rPr>
                <w:sz w:val="22"/>
                <w:szCs w:val="22"/>
              </w:rPr>
              <w:t>Zunehmend mehr (subnationale) Regionen mit 7-T.-Inzidenzen &gt;50, z.B. Rumänien (von 4 hin zu nun 13), 3 in Bulgarien, Luxemburg, 5 Regionen in Spanien (Madrid und Pais Vasco neu), Schweden, Dänemark und Norwegen jeweils 1 Region</w:t>
            </w:r>
          </w:p>
          <w:p>
            <w:pPr>
              <w:pStyle w:val="Listenabsatz"/>
              <w:numPr>
                <w:ilvl w:val="2"/>
                <w:numId w:val="44"/>
              </w:numPr>
              <w:ind w:left="1443"/>
              <w:rPr>
                <w:sz w:val="22"/>
                <w:szCs w:val="22"/>
              </w:rPr>
            </w:pPr>
            <w:r>
              <w:rPr>
                <w:sz w:val="22"/>
                <w:szCs w:val="22"/>
              </w:rPr>
              <w:t>Veränderung 7T Inzidenz, ungefähr wie Montag</w:t>
            </w:r>
          </w:p>
          <w:p>
            <w:pPr>
              <w:pStyle w:val="Listenabsatz"/>
              <w:numPr>
                <w:ilvl w:val="1"/>
                <w:numId w:val="44"/>
              </w:numPr>
              <w:ind w:left="876"/>
              <w:rPr>
                <w:sz w:val="22"/>
                <w:szCs w:val="22"/>
              </w:rPr>
            </w:pPr>
            <w:r>
              <w:rPr>
                <w:sz w:val="22"/>
                <w:szCs w:val="22"/>
              </w:rPr>
              <w:t>Indien Todesfälle (Frage von AL1 letzten Montag)</w:t>
            </w:r>
          </w:p>
          <w:p>
            <w:pPr>
              <w:pStyle w:val="Listenabsatz"/>
              <w:numPr>
                <w:ilvl w:val="2"/>
                <w:numId w:val="44"/>
              </w:numPr>
              <w:ind w:left="1443"/>
              <w:rPr>
                <w:sz w:val="22"/>
                <w:szCs w:val="22"/>
              </w:rPr>
            </w:pPr>
            <w:r>
              <w:rPr>
                <w:sz w:val="22"/>
                <w:szCs w:val="22"/>
              </w:rPr>
              <w:t>Anzahl Todesfälle steigend</w:t>
            </w:r>
          </w:p>
          <w:p>
            <w:pPr>
              <w:pStyle w:val="Listenabsatz"/>
              <w:numPr>
                <w:ilvl w:val="2"/>
                <w:numId w:val="44"/>
              </w:numPr>
              <w:ind w:left="1443"/>
              <w:rPr>
                <w:sz w:val="22"/>
                <w:szCs w:val="22"/>
              </w:rPr>
            </w:pPr>
            <w:r>
              <w:rPr>
                <w:sz w:val="22"/>
                <w:szCs w:val="22"/>
              </w:rPr>
              <w:t>&gt;2 Mio. positive Testungen, in der letzten Woche wurden diese erheblich ausgeweitet, dies variiert allerdings von Staat zu Staat</w:t>
            </w:r>
          </w:p>
          <w:p>
            <w:pPr>
              <w:pStyle w:val="Listenabsatz"/>
              <w:numPr>
                <w:ilvl w:val="2"/>
                <w:numId w:val="44"/>
              </w:numPr>
              <w:ind w:left="1443"/>
              <w:rPr>
                <w:sz w:val="22"/>
                <w:szCs w:val="22"/>
              </w:rPr>
            </w:pPr>
            <w:r>
              <w:rPr>
                <w:sz w:val="22"/>
                <w:szCs w:val="22"/>
              </w:rPr>
              <w:t>Fall-Verstorbenen-Anteil und Inzidenz ist niedrig</w:t>
            </w:r>
          </w:p>
          <w:p>
            <w:pPr>
              <w:pStyle w:val="Listenabsatz"/>
              <w:numPr>
                <w:ilvl w:val="2"/>
                <w:numId w:val="44"/>
              </w:numPr>
              <w:ind w:left="1443"/>
              <w:rPr>
                <w:sz w:val="22"/>
                <w:szCs w:val="22"/>
              </w:rPr>
            </w:pPr>
            <w:r>
              <w:rPr>
                <w:sz w:val="22"/>
                <w:szCs w:val="22"/>
              </w:rPr>
              <w:t xml:space="preserve">Maßnahmen erfolgen lokal </w:t>
            </w:r>
          </w:p>
          <w:p>
            <w:pPr>
              <w:pStyle w:val="Listenabsatz"/>
              <w:numPr>
                <w:ilvl w:val="2"/>
                <w:numId w:val="44"/>
              </w:numPr>
              <w:ind w:left="1443"/>
              <w:rPr>
                <w:sz w:val="22"/>
                <w:szCs w:val="22"/>
              </w:rPr>
            </w:pPr>
            <w:r>
              <w:rPr>
                <w:sz w:val="22"/>
                <w:szCs w:val="22"/>
              </w:rPr>
              <w:t>Regierung in Neu Delhi sagte in einem Treffen mit ZIG explizit, dass weitere Maßnahmen wenn nur vorsichtig eingeführt werden können da die wirtschaftlichen Auswirkungen so negativ für die Gesamtbevölkerung sind und anders abgewogen werden muss</w:t>
            </w:r>
          </w:p>
          <w:p>
            <w:pPr>
              <w:pStyle w:val="Listenabsatz"/>
              <w:numPr>
                <w:ilvl w:val="1"/>
                <w:numId w:val="44"/>
              </w:numPr>
              <w:ind w:left="876"/>
              <w:rPr>
                <w:sz w:val="22"/>
                <w:szCs w:val="22"/>
              </w:rPr>
            </w:pPr>
            <w:r>
              <w:rPr>
                <w:sz w:val="22"/>
                <w:szCs w:val="22"/>
              </w:rPr>
              <w:t>USA Kapazität Gesundheitssystem</w:t>
            </w:r>
          </w:p>
          <w:p>
            <w:pPr>
              <w:pStyle w:val="Listenabsatz"/>
              <w:numPr>
                <w:ilvl w:val="2"/>
                <w:numId w:val="44"/>
              </w:numPr>
              <w:ind w:left="1443"/>
              <w:rPr>
                <w:sz w:val="22"/>
                <w:szCs w:val="22"/>
              </w:rPr>
            </w:pPr>
            <w:r>
              <w:rPr>
                <w:sz w:val="22"/>
                <w:szCs w:val="22"/>
              </w:rPr>
              <w:t>Erhebliche finanzielle Schwierigkeiten da Einnahmen der KKH (Mehrheit der Bevölkerung ist privat versichert) stark rückläufig sind</w:t>
            </w:r>
          </w:p>
          <w:p>
            <w:pPr>
              <w:pStyle w:val="Listenabsatz"/>
              <w:numPr>
                <w:ilvl w:val="2"/>
                <w:numId w:val="44"/>
              </w:numPr>
              <w:ind w:left="1443"/>
              <w:rPr>
                <w:sz w:val="22"/>
                <w:szCs w:val="22"/>
              </w:rPr>
            </w:pPr>
            <w:r>
              <w:rPr>
                <w:sz w:val="22"/>
                <w:szCs w:val="22"/>
              </w:rPr>
              <w:t>Anstieg der pandemiebedingten Arbeitslosigkeit hat dazu geführt, dass viele Amerikaner ihre vom Arbeitgeber (mit)finanzierte KV verloren haben</w:t>
            </w:r>
          </w:p>
          <w:p>
            <w:pPr>
              <w:pStyle w:val="Listenabsatz"/>
              <w:numPr>
                <w:ilvl w:val="2"/>
                <w:numId w:val="44"/>
              </w:numPr>
              <w:ind w:left="1443"/>
              <w:rPr>
                <w:sz w:val="22"/>
                <w:szCs w:val="22"/>
              </w:rPr>
            </w:pPr>
            <w:r>
              <w:rPr>
                <w:sz w:val="22"/>
                <w:szCs w:val="22"/>
              </w:rPr>
              <w:t>Sowohl KKH, Arzt- als auch Primärversorgungs-praxen sind finanziell bedroht</w:t>
            </w:r>
          </w:p>
          <w:p>
            <w:pPr>
              <w:pStyle w:val="Listenabsatz"/>
              <w:numPr>
                <w:ilvl w:val="2"/>
                <w:numId w:val="44"/>
              </w:numPr>
              <w:ind w:left="1443"/>
              <w:rPr>
                <w:sz w:val="22"/>
                <w:szCs w:val="22"/>
              </w:rPr>
            </w:pPr>
            <w:r>
              <w:rPr>
                <w:sz w:val="22"/>
                <w:szCs w:val="22"/>
              </w:rPr>
              <w:t>Amerikanisches Gesundheitssystem ist als ineffizient bekannt, Provider sind mit Arbeitgeber verbunden, die wirtschaftlichen Konsequenzen sind hoch und das Arbeitsrecht schützt Arbeitnehmende nicht genügend</w:t>
            </w:r>
          </w:p>
          <w:p>
            <w:pPr>
              <w:pStyle w:val="Listenabsatz"/>
              <w:numPr>
                <w:ilvl w:val="1"/>
                <w:numId w:val="44"/>
              </w:numPr>
              <w:ind w:left="876"/>
              <w:rPr>
                <w:sz w:val="22"/>
                <w:szCs w:val="22"/>
              </w:rPr>
            </w:pPr>
            <w:r>
              <w:rPr>
                <w:sz w:val="22"/>
                <w:szCs w:val="22"/>
              </w:rPr>
              <w:lastRenderedPageBreak/>
              <w:t>BMG Kommentar/Bitte</w:t>
            </w:r>
          </w:p>
          <w:p>
            <w:pPr>
              <w:pStyle w:val="Listenabsatz"/>
              <w:numPr>
                <w:ilvl w:val="2"/>
                <w:numId w:val="44"/>
              </w:numPr>
              <w:ind w:left="1443"/>
              <w:rPr>
                <w:sz w:val="22"/>
                <w:szCs w:val="22"/>
              </w:rPr>
            </w:pPr>
            <w:r>
              <w:rPr>
                <w:sz w:val="22"/>
                <w:szCs w:val="22"/>
              </w:rPr>
              <w:t xml:space="preserve">Das aktuelle Überschreiten des 7-T.-Inzidenz-Schwellenwertes in einer Reihe von subnationalen Gebieten (nach deren offiziellen Daten) wird nah verfolgt und hat politische Konsequenzen, z.B. interessiert Spanien, insbesondere die Balearen die deutsche Bevölkerung, auch Antwerpen (bereits durch ZIG evaluiert) und Provinz Neubrüssel </w:t>
            </w:r>
          </w:p>
          <w:p>
            <w:pPr>
              <w:pStyle w:val="Listenabsatz"/>
              <w:numPr>
                <w:ilvl w:val="2"/>
                <w:numId w:val="44"/>
              </w:numPr>
              <w:ind w:left="1443"/>
              <w:rPr>
                <w:sz w:val="22"/>
                <w:szCs w:val="22"/>
              </w:rPr>
            </w:pPr>
            <w:r>
              <w:rPr>
                <w:sz w:val="22"/>
                <w:szCs w:val="22"/>
              </w:rPr>
              <w:t>Bitte an ZIG dies nah zu verfolgen da es für die politische Entscheidungsfindung sehr wichtig ist</w:t>
            </w:r>
          </w:p>
          <w:p>
            <w:pPr>
              <w:pStyle w:val="Listenabsatz"/>
              <w:numPr>
                <w:ilvl w:val="2"/>
                <w:numId w:val="44"/>
              </w:numPr>
              <w:ind w:left="1443"/>
              <w:rPr>
                <w:sz w:val="22"/>
                <w:szCs w:val="22"/>
              </w:rPr>
            </w:pPr>
            <w:r>
              <w:rPr>
                <w:sz w:val="22"/>
                <w:szCs w:val="22"/>
              </w:rPr>
              <w:t>Malta: Quelle von Ausbrüchen in anderen Ländern (z.B. Italien), Sprachreisen: wird durch ZIG untersucht</w:t>
            </w:r>
          </w:p>
          <w:p>
            <w:pPr>
              <w:rPr>
                <w:i/>
                <w:sz w:val="22"/>
              </w:rPr>
            </w:pPr>
          </w:p>
          <w:p>
            <w:pPr>
              <w:spacing w:line="276" w:lineRule="auto"/>
              <w:rPr>
                <w:b/>
                <w:sz w:val="22"/>
                <w:szCs w:val="22"/>
              </w:rPr>
            </w:pPr>
            <w:r>
              <w:rPr>
                <w:b/>
              </w:rPr>
              <w:t xml:space="preserve">Aktuelle Lage - </w:t>
            </w: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t>SurvNet übermittelt: 218.519 (+1.226), davon 9.207 (4,2%) Todesfälle (+6), Inzidenz 263/100.000 Einw., ca. 198.800 Genesene, Reff=0,88 7T Reff= 1,04</w:t>
            </w:r>
          </w:p>
          <w:p>
            <w:pPr>
              <w:pStyle w:val="Listenabsatz"/>
              <w:numPr>
                <w:ilvl w:val="1"/>
                <w:numId w:val="44"/>
              </w:numPr>
              <w:ind w:left="876"/>
              <w:rPr>
                <w:sz w:val="22"/>
                <w:szCs w:val="22"/>
              </w:rPr>
            </w:pPr>
            <w:r>
              <w:rPr>
                <w:sz w:val="22"/>
                <w:szCs w:val="22"/>
              </w:rPr>
              <w:t>Nur noch 41 Kreise ohne Fallmeldungen, Geschehen in Dingolfing Landau ist rückläufig, aber dafür sind andere, teilweise große Kreise im Anstieg, diverse Großstädte mit hohen Fallzahlen, Hamburg, Duisburg, München, Dortmund, Köln, Essen, Düsseldorf, etc.</w:t>
            </w:r>
          </w:p>
          <w:p>
            <w:pPr>
              <w:pStyle w:val="Listenabsatz"/>
              <w:numPr>
                <w:ilvl w:val="1"/>
                <w:numId w:val="44"/>
              </w:numPr>
              <w:ind w:left="876"/>
              <w:rPr>
                <w:sz w:val="22"/>
                <w:szCs w:val="22"/>
              </w:rPr>
            </w:pPr>
            <w:r>
              <w:rPr>
                <w:sz w:val="22"/>
                <w:szCs w:val="22"/>
              </w:rPr>
              <w:t xml:space="preserve">Keine große Änderung bezüglich der aktuellen Ausbrüche, Sprachschulrückkehrer aus Malta </w:t>
            </w:r>
          </w:p>
          <w:p>
            <w:pPr>
              <w:pStyle w:val="Listenabsatz"/>
              <w:numPr>
                <w:ilvl w:val="0"/>
                <w:numId w:val="31"/>
              </w:numPr>
              <w:ind w:left="450" w:hanging="232"/>
              <w:rPr>
                <w:sz w:val="22"/>
                <w:szCs w:val="22"/>
              </w:rPr>
            </w:pPr>
            <w:r>
              <w:rPr>
                <w:sz w:val="22"/>
                <w:szCs w:val="22"/>
              </w:rPr>
              <w:t>Seit Ende April erfolgt das Kapazitätenmonitoring der Kreise, seit Wochen gibt es keine neuen Überlastungsanzeigen, es ist unklar, ob dies politische Zurückhaltung ist oder die Kreise nun gut aufgestellt sind</w:t>
            </w:r>
          </w:p>
          <w:p>
            <w:pPr>
              <w:pStyle w:val="Listenabsatz"/>
              <w:numPr>
                <w:ilvl w:val="0"/>
                <w:numId w:val="31"/>
              </w:numPr>
              <w:ind w:left="450" w:hanging="232"/>
              <w:rPr>
                <w:sz w:val="22"/>
                <w:szCs w:val="22"/>
              </w:rPr>
            </w:pPr>
            <w:r>
              <w:rPr>
                <w:sz w:val="22"/>
                <w:szCs w:val="22"/>
              </w:rPr>
              <w:t>Expositionsort und -ursprung</w:t>
            </w:r>
          </w:p>
          <w:p>
            <w:pPr>
              <w:pStyle w:val="Listenabsatz"/>
              <w:numPr>
                <w:ilvl w:val="1"/>
                <w:numId w:val="44"/>
              </w:numPr>
              <w:ind w:left="876"/>
              <w:rPr>
                <w:sz w:val="22"/>
                <w:szCs w:val="22"/>
              </w:rPr>
            </w:pPr>
            <w:r>
              <w:rPr>
                <w:sz w:val="22"/>
                <w:szCs w:val="22"/>
              </w:rPr>
              <w:t>~30% der Fälle im Ausland infiziert, eher jüngere Leute</w:t>
            </w:r>
          </w:p>
          <w:p>
            <w:pPr>
              <w:pStyle w:val="Listenabsatz"/>
              <w:numPr>
                <w:ilvl w:val="1"/>
                <w:numId w:val="44"/>
              </w:numPr>
              <w:ind w:left="876"/>
              <w:rPr>
                <w:sz w:val="22"/>
                <w:szCs w:val="22"/>
              </w:rPr>
            </w:pPr>
            <w:r>
              <w:rPr>
                <w:sz w:val="22"/>
                <w:szCs w:val="22"/>
              </w:rPr>
              <w:t>Meist genannte Länder: Kosovo, Türkei, Kroatien, Bulgarien, nach BL unterschiedlich, in manchen BL machen Reisende bis zu ~40% der Fälle aus, dies verändert sich mit der Zeit</w:t>
            </w:r>
          </w:p>
          <w:p>
            <w:pPr>
              <w:pStyle w:val="Listenabsatz"/>
              <w:numPr>
                <w:ilvl w:val="1"/>
                <w:numId w:val="44"/>
              </w:numPr>
              <w:ind w:left="876"/>
              <w:rPr>
                <w:sz w:val="22"/>
                <w:szCs w:val="22"/>
              </w:rPr>
            </w:pPr>
            <w:r>
              <w:rPr>
                <w:sz w:val="22"/>
                <w:szCs w:val="22"/>
              </w:rPr>
              <w:t>Information „Kontakt zu bestätigtem Fall“ ist oft nicht in den Meldedaten verfügbar, dort, wo sie erhoben wird ist selten nein angegeben, häufigster Kontakt ist privater Haushalt</w:t>
            </w:r>
          </w:p>
          <w:p>
            <w:pPr>
              <w:pStyle w:val="Listenabsatz"/>
              <w:numPr>
                <w:ilvl w:val="1"/>
                <w:numId w:val="44"/>
              </w:numPr>
              <w:ind w:left="876"/>
              <w:rPr>
                <w:sz w:val="22"/>
                <w:szCs w:val="22"/>
              </w:rPr>
            </w:pPr>
            <w:r>
              <w:rPr>
                <w:sz w:val="22"/>
                <w:szCs w:val="22"/>
              </w:rPr>
              <w:t>Variable ist aus 2 Gründen nicht immer befüllt:</w:t>
            </w:r>
          </w:p>
          <w:p>
            <w:pPr>
              <w:pStyle w:val="Listenabsatz"/>
              <w:ind w:left="876"/>
              <w:rPr>
                <w:sz w:val="22"/>
                <w:szCs w:val="22"/>
              </w:rPr>
            </w:pPr>
            <w:r>
              <w:rPr>
                <w:sz w:val="22"/>
                <w:szCs w:val="22"/>
              </w:rPr>
              <w:t xml:space="preserve">1. softwareabhängig, ob sie einfach integriert werden kann, ist theoretisch in anderen Softwares möglich, dies wird noch einmal geprüft und Software-spezifisch ausgewertet, Problem wird mit DEMIS behoben </w:t>
            </w:r>
          </w:p>
          <w:p>
            <w:pPr>
              <w:pStyle w:val="Listenabsatz"/>
              <w:ind w:left="876"/>
              <w:rPr>
                <w:sz w:val="22"/>
                <w:szCs w:val="22"/>
              </w:rPr>
            </w:pPr>
            <w:r>
              <w:rPr>
                <w:sz w:val="22"/>
                <w:szCs w:val="22"/>
              </w:rPr>
              <w:t>2. Variable ist weit unten in der immer länger werdenden Fallmaske und wird ggf. nicht immer ausgefüllt bzw. auch noch nachgetragen, ist eine Frage der Kapazitäten in den GA</w:t>
            </w:r>
          </w:p>
          <w:p>
            <w:pPr>
              <w:pStyle w:val="Listenabsatz"/>
              <w:numPr>
                <w:ilvl w:val="1"/>
                <w:numId w:val="44"/>
              </w:numPr>
              <w:ind w:left="876"/>
              <w:rPr>
                <w:sz w:val="22"/>
                <w:szCs w:val="22"/>
              </w:rPr>
            </w:pPr>
            <w:r>
              <w:rPr>
                <w:sz w:val="22"/>
                <w:szCs w:val="22"/>
              </w:rPr>
              <w:t>In der Kommunikation mit dem ÖGD soll die Wichtigkeit dieser Information für die Einschätzung der aktuellen Lage erneut betont und Feedback hierzu eingeholt werden (ist eigentlich an o.g. Überlastungs-anzeigen gekoppelt)</w:t>
            </w:r>
          </w:p>
          <w:p>
            <w:pPr>
              <w:pStyle w:val="Listenabsatz"/>
              <w:numPr>
                <w:ilvl w:val="1"/>
                <w:numId w:val="44"/>
              </w:numPr>
              <w:ind w:left="876"/>
              <w:rPr>
                <w:sz w:val="22"/>
                <w:szCs w:val="22"/>
              </w:rPr>
            </w:pPr>
            <w:r>
              <w:rPr>
                <w:sz w:val="22"/>
                <w:szCs w:val="22"/>
              </w:rPr>
              <w:t>Außerdem kann Unterstützung durch die Containment Scouts, die aktuell am RKI sind, angeboten werden</w:t>
            </w:r>
          </w:p>
          <w:p>
            <w:pPr>
              <w:pStyle w:val="Listenabsatz"/>
              <w:numPr>
                <w:ilvl w:val="1"/>
                <w:numId w:val="44"/>
              </w:numPr>
              <w:ind w:left="876"/>
              <w:rPr>
                <w:sz w:val="22"/>
                <w:szCs w:val="22"/>
              </w:rPr>
            </w:pPr>
            <w:r>
              <w:rPr>
                <w:sz w:val="22"/>
                <w:szCs w:val="22"/>
              </w:rPr>
              <w:lastRenderedPageBreak/>
              <w:t>BZgA Erfahrung: eine einheitliche Software ist/wäre wichtig</w:t>
            </w:r>
          </w:p>
          <w:p>
            <w:pPr>
              <w:pStyle w:val="Listenabsatz"/>
              <w:numPr>
                <w:ilvl w:val="1"/>
                <w:numId w:val="44"/>
              </w:numPr>
              <w:ind w:left="876"/>
              <w:rPr>
                <w:sz w:val="22"/>
                <w:szCs w:val="22"/>
              </w:rPr>
            </w:pPr>
            <w:r>
              <w:rPr>
                <w:sz w:val="22"/>
                <w:szCs w:val="22"/>
              </w:rPr>
              <w:t xml:space="preserve">SurvNet wird den GA kostenlos angeboten, aber diese arbeiten auch noch in zahlreichen anderen Bereichen, die ebenfalls elektronische Daten involvieren (Gesundheits-berichtserstattung, Trinkwasser, Kinder- und Jugendgesundheitsdienst) </w:t>
            </w:r>
          </w:p>
          <w:p>
            <w:pPr>
              <w:pStyle w:val="Listenabsatz"/>
              <w:numPr>
                <w:ilvl w:val="1"/>
                <w:numId w:val="44"/>
              </w:numPr>
              <w:ind w:left="876"/>
              <w:rPr>
                <w:sz w:val="22"/>
                <w:szCs w:val="22"/>
              </w:rPr>
            </w:pPr>
            <w:r>
              <w:rPr>
                <w:sz w:val="22"/>
                <w:szCs w:val="22"/>
              </w:rPr>
              <w:t>SurvNet ist einheitlich für den Infektionsschutz, mit DEMIS sollen in Zukunft Updates gleich schnell für alle verfügbar sein, dies wird aber erst hinterher entwickelt, zunächst ist der Fokus die Laboreinbindung</w:t>
            </w:r>
          </w:p>
          <w:p>
            <w:pPr>
              <w:pStyle w:val="Listenabsatz"/>
              <w:numPr>
                <w:ilvl w:val="0"/>
                <w:numId w:val="31"/>
              </w:numPr>
              <w:ind w:left="450" w:hanging="232"/>
              <w:rPr>
                <w:sz w:val="22"/>
                <w:szCs w:val="22"/>
              </w:rPr>
            </w:pPr>
            <w:r>
              <w:rPr>
                <w:sz w:val="22"/>
                <w:szCs w:val="22"/>
              </w:rPr>
              <w:t xml:space="preserve">Am 08.09.2020 hat Präs eine Web Konferenz mit der Kanzlerin und allen BL </w:t>
            </w:r>
            <w:r>
              <w:rPr>
                <w:sz w:val="22"/>
                <w:szCs w:val="22"/>
              </w:rPr>
              <w:sym w:font="Wingdings" w:char="F0E0"/>
            </w:r>
            <w:r>
              <w:rPr>
                <w:sz w:val="22"/>
                <w:szCs w:val="22"/>
              </w:rPr>
              <w:t xml:space="preserve"> es soll gut überlegt werden, was bei diesem direkten Zugriff an Botschaften übermittelt werden soll</w:t>
            </w:r>
          </w:p>
          <w:p>
            <w:pPr>
              <w:pStyle w:val="Listenabsatz"/>
              <w:numPr>
                <w:ilvl w:val="0"/>
                <w:numId w:val="31"/>
              </w:numPr>
              <w:ind w:left="450" w:hanging="232"/>
              <w:rPr>
                <w:sz w:val="22"/>
                <w:szCs w:val="22"/>
              </w:rPr>
            </w:pPr>
            <w:r>
              <w:rPr>
                <w:sz w:val="22"/>
                <w:szCs w:val="22"/>
              </w:rPr>
              <w:t>Ab wann soll die Sprache von „community transmission“ sein?</w:t>
            </w:r>
          </w:p>
          <w:p>
            <w:pPr>
              <w:pStyle w:val="Listenabsatz"/>
              <w:numPr>
                <w:ilvl w:val="1"/>
                <w:numId w:val="44"/>
              </w:numPr>
              <w:ind w:left="876"/>
              <w:rPr>
                <w:sz w:val="22"/>
                <w:szCs w:val="22"/>
              </w:rPr>
            </w:pPr>
            <w:r>
              <w:rPr>
                <w:sz w:val="22"/>
                <w:szCs w:val="22"/>
              </w:rPr>
              <w:t>Dazu ist wichtig, wo die Fälle her kommen, sind es noch Ausbrüche oder ist der Ursprung zusehends unbekannt</w:t>
            </w:r>
          </w:p>
          <w:p>
            <w:pPr>
              <w:pStyle w:val="Listenabsatz"/>
              <w:numPr>
                <w:ilvl w:val="1"/>
                <w:numId w:val="44"/>
              </w:numPr>
              <w:ind w:left="876"/>
              <w:rPr>
                <w:sz w:val="22"/>
                <w:szCs w:val="22"/>
              </w:rPr>
            </w:pPr>
            <w:r>
              <w:rPr>
                <w:sz w:val="22"/>
                <w:szCs w:val="22"/>
              </w:rPr>
              <w:t>Für Freitag wird eine Tabelle hierzu vorbereitet um die Entscheidung anhand von Schwellenpunkten zu erleichtern</w:t>
            </w:r>
          </w:p>
          <w:p>
            <w:pPr>
              <w:pStyle w:val="Listenabsatz"/>
              <w:numPr>
                <w:ilvl w:val="1"/>
                <w:numId w:val="44"/>
              </w:numPr>
              <w:ind w:left="876"/>
              <w:rPr>
                <w:sz w:val="22"/>
                <w:szCs w:val="22"/>
              </w:rPr>
            </w:pPr>
            <w:r>
              <w:rPr>
                <w:sz w:val="22"/>
                <w:szCs w:val="22"/>
              </w:rPr>
              <w:t>Auch während der ersten Erkrankungshäufungen gab es in Deutschland bisher keine community transmission, aktuelle Zahlen sind auch auf zahlreiches Testen (auch durch Reiserückkehrertestungen) zurückzuführen</w:t>
            </w:r>
          </w:p>
          <w:p>
            <w:pPr>
              <w:pStyle w:val="Listenabsatz"/>
              <w:numPr>
                <w:ilvl w:val="1"/>
                <w:numId w:val="44"/>
              </w:numPr>
              <w:ind w:left="876"/>
              <w:rPr>
                <w:sz w:val="22"/>
                <w:szCs w:val="22"/>
              </w:rPr>
            </w:pPr>
            <w:r>
              <w:rPr>
                <w:sz w:val="22"/>
                <w:szCs w:val="22"/>
              </w:rPr>
              <w:t>Geschehen ist nicht so sehr von Clustern getragen, relativ viele kleinere Übertragungen, die nur durch gute Daten nachvollziehbar sind, um das Ausbreitungsmuster zu verstehen</w:t>
            </w:r>
          </w:p>
          <w:p>
            <w:pPr>
              <w:rPr>
                <w:sz w:val="22"/>
                <w:szCs w:val="22"/>
              </w:rPr>
            </w:pPr>
          </w:p>
          <w:p>
            <w:pPr>
              <w:rPr>
                <w:b/>
                <w:sz w:val="22"/>
                <w:szCs w:val="22"/>
              </w:rPr>
            </w:pPr>
            <w:r>
              <w:rPr>
                <w:b/>
                <w:sz w:val="22"/>
                <w:szCs w:val="22"/>
              </w:rPr>
              <w:t xml:space="preserve">Syndromische Surveillance </w:t>
            </w:r>
          </w:p>
          <w:p>
            <w:pPr>
              <w:pStyle w:val="Listenabsatz"/>
              <w:numPr>
                <w:ilvl w:val="0"/>
                <w:numId w:val="31"/>
              </w:numPr>
              <w:ind w:left="450" w:hanging="232"/>
              <w:rPr>
                <w:sz w:val="22"/>
                <w:szCs w:val="22"/>
              </w:rPr>
            </w:pPr>
            <w:r>
              <w:rPr>
                <w:sz w:val="22"/>
                <w:szCs w:val="22"/>
              </w:rPr>
              <w:t>GrippeWeb Daten sind weiter auf einem relativ niedrigen Niveau und nähern sich dem normalen Sommerniveau an</w:t>
            </w:r>
          </w:p>
          <w:p>
            <w:pPr>
              <w:pStyle w:val="Listenabsatz"/>
              <w:numPr>
                <w:ilvl w:val="0"/>
                <w:numId w:val="31"/>
              </w:numPr>
              <w:ind w:left="450" w:hanging="232"/>
              <w:rPr>
                <w:sz w:val="22"/>
                <w:szCs w:val="22"/>
              </w:rPr>
            </w:pPr>
            <w:r>
              <w:rPr>
                <w:sz w:val="22"/>
                <w:szCs w:val="22"/>
              </w:rPr>
              <w:t>Nach Altersgruppe (Kindern und Erwachsene): der Anstieg von KW 31 zu KW 32 wurde durch Kinder verursacht und befindet sich auf dem Niveau der Vorjahre (nicht besorgniserregend)</w:t>
            </w:r>
          </w:p>
          <w:p>
            <w:pPr>
              <w:pStyle w:val="Listenabsatz"/>
              <w:numPr>
                <w:ilvl w:val="0"/>
                <w:numId w:val="31"/>
              </w:numPr>
              <w:ind w:left="450" w:hanging="232"/>
              <w:rPr>
                <w:sz w:val="22"/>
                <w:szCs w:val="22"/>
              </w:rPr>
            </w:pPr>
            <w:r>
              <w:rPr>
                <w:sz w:val="22"/>
                <w:szCs w:val="22"/>
              </w:rPr>
              <w:t>AG Influenza Praxisindex: relatives Maß für den Anteil der Arztbesuche, ist im Sommer niedriger als im Winter, in den letzten 2 Wochen nach einem Anstieg in KW 30 wieder rückfällig</w:t>
            </w:r>
          </w:p>
          <w:p>
            <w:pPr>
              <w:pStyle w:val="Listenabsatz"/>
              <w:numPr>
                <w:ilvl w:val="0"/>
                <w:numId w:val="31"/>
              </w:numPr>
              <w:ind w:left="450" w:hanging="232"/>
              <w:rPr>
                <w:sz w:val="22"/>
                <w:szCs w:val="22"/>
              </w:rPr>
            </w:pPr>
            <w:r>
              <w:rPr>
                <w:sz w:val="22"/>
                <w:szCs w:val="22"/>
              </w:rPr>
              <w:t>ARE-Konsultationsinzidenz (bevölkerungsbezogen): Anstieg bei Kindern &lt;5 (rot) und 5-14-jährigen (orange) bis zur KW 29, danach Abstieg, wahrscheinlich auch durch die Schulferien</w:t>
            </w:r>
          </w:p>
          <w:p>
            <w:pPr>
              <w:pStyle w:val="Listenabsatz"/>
              <w:numPr>
                <w:ilvl w:val="0"/>
                <w:numId w:val="31"/>
              </w:numPr>
              <w:ind w:left="450" w:hanging="232"/>
              <w:rPr>
                <w:sz w:val="22"/>
                <w:szCs w:val="22"/>
              </w:rPr>
            </w:pPr>
            <w:r>
              <w:rPr>
                <w:sz w:val="22"/>
                <w:szCs w:val="22"/>
              </w:rPr>
              <w:t>Impact des Schulbeginns unter Auflagen bleibt abzuwarten</w:t>
            </w:r>
          </w:p>
          <w:p>
            <w:pPr>
              <w:pStyle w:val="Listenabsatz"/>
              <w:numPr>
                <w:ilvl w:val="0"/>
                <w:numId w:val="31"/>
              </w:numPr>
              <w:ind w:left="450" w:hanging="232"/>
              <w:rPr>
                <w:sz w:val="22"/>
                <w:szCs w:val="22"/>
              </w:rPr>
            </w:pPr>
            <w:r>
              <w:rPr>
                <w:sz w:val="22"/>
                <w:szCs w:val="22"/>
              </w:rPr>
              <w:t>ICOSARI-Daten (immer gleich Zahl (~70) von KKH) befinden sich auch auf dem Sommerniveau, lediglich Anstieg in spezifischen Altersgruppen (z.B. 60-79-jährige, befindet sich jedoch auch auf einem Niveau das dem der Vorsaisons entspricht</w:t>
            </w:r>
          </w:p>
          <w:p>
            <w:pPr>
              <w:pStyle w:val="Listenabsatz"/>
              <w:numPr>
                <w:ilvl w:val="0"/>
                <w:numId w:val="31"/>
              </w:numPr>
              <w:ind w:left="450" w:hanging="232"/>
              <w:rPr>
                <w:sz w:val="22"/>
                <w:szCs w:val="22"/>
              </w:rPr>
            </w:pPr>
            <w:r>
              <w:rPr>
                <w:sz w:val="22"/>
                <w:szCs w:val="22"/>
              </w:rPr>
              <w:t>ICOSARI spezifische COVID-19 Diagnose: leichter Anstieg im Vergleich zu KW 30, Anteil von COVID Patienten 3% (niedrig)</w:t>
            </w:r>
          </w:p>
          <w:p>
            <w:pPr>
              <w:pStyle w:val="Listenabsatz"/>
              <w:numPr>
                <w:ilvl w:val="0"/>
                <w:numId w:val="31"/>
              </w:numPr>
              <w:ind w:left="450" w:hanging="232"/>
              <w:rPr>
                <w:sz w:val="22"/>
                <w:szCs w:val="22"/>
              </w:rPr>
            </w:pPr>
            <w:r>
              <w:rPr>
                <w:sz w:val="22"/>
                <w:szCs w:val="22"/>
              </w:rPr>
              <w:t xml:space="preserve">ICOSARI Hospitalisierungen: kein Anstieg von Fällen mit COVID-19-Diagnose, generell SARI-Fälle den Vorjahren entsprechend </w:t>
            </w:r>
          </w:p>
          <w:p>
            <w:pPr>
              <w:pStyle w:val="Listenabsatz"/>
              <w:numPr>
                <w:ilvl w:val="0"/>
                <w:numId w:val="31"/>
              </w:numPr>
              <w:ind w:left="450" w:hanging="232"/>
              <w:rPr>
                <w:sz w:val="22"/>
                <w:szCs w:val="22"/>
              </w:rPr>
            </w:pPr>
            <w:r>
              <w:rPr>
                <w:sz w:val="22"/>
                <w:szCs w:val="22"/>
              </w:rPr>
              <w:t>Diskussion</w:t>
            </w:r>
          </w:p>
          <w:p>
            <w:pPr>
              <w:pStyle w:val="Listenabsatz"/>
              <w:numPr>
                <w:ilvl w:val="1"/>
                <w:numId w:val="44"/>
              </w:numPr>
              <w:ind w:left="876"/>
              <w:rPr>
                <w:sz w:val="22"/>
                <w:szCs w:val="22"/>
              </w:rPr>
            </w:pPr>
            <w:r>
              <w:rPr>
                <w:sz w:val="22"/>
                <w:szCs w:val="22"/>
              </w:rPr>
              <w:t xml:space="preserve">Sentinelsysteme stellen tolle Instrumente dar, wie ist die Sensitivität, korrelieren Inzidenzen hiermit? </w:t>
            </w:r>
          </w:p>
          <w:p>
            <w:pPr>
              <w:pStyle w:val="Listenabsatz"/>
              <w:numPr>
                <w:ilvl w:val="1"/>
                <w:numId w:val="44"/>
              </w:numPr>
              <w:ind w:left="876"/>
              <w:rPr>
                <w:sz w:val="22"/>
                <w:szCs w:val="22"/>
              </w:rPr>
            </w:pPr>
            <w:r>
              <w:rPr>
                <w:sz w:val="22"/>
                <w:szCs w:val="22"/>
              </w:rPr>
              <w:lastRenderedPageBreak/>
              <w:t>Dies wird eruiert und für nächsten Mittwoch mit eingebaut</w:t>
            </w:r>
          </w:p>
          <w:p>
            <w:pPr>
              <w:rPr>
                <w:sz w:val="22"/>
                <w:szCs w:val="22"/>
              </w:rPr>
            </w:pPr>
          </w:p>
          <w:p>
            <w:pPr>
              <w:rPr>
                <w:b/>
                <w:sz w:val="22"/>
                <w:szCs w:val="22"/>
              </w:rPr>
            </w:pPr>
            <w:r>
              <w:rPr>
                <w:b/>
                <w:sz w:val="22"/>
                <w:szCs w:val="22"/>
              </w:rPr>
              <w:t>ARS-Testungen</w:t>
            </w:r>
          </w:p>
          <w:p>
            <w:pPr>
              <w:pStyle w:val="Listenabsatz"/>
              <w:numPr>
                <w:ilvl w:val="0"/>
                <w:numId w:val="31"/>
              </w:numPr>
              <w:ind w:left="450" w:hanging="232"/>
              <w:rPr>
                <w:sz w:val="22"/>
                <w:szCs w:val="22"/>
              </w:rPr>
            </w:pPr>
            <w:r>
              <w:rPr>
                <w:sz w:val="22"/>
                <w:szCs w:val="22"/>
              </w:rPr>
              <w:t>Keine Daten und keine Präsentation diese Woche da beide Mathematiker diese Woche ausfallen, nächste Woche wieder</w:t>
            </w:r>
          </w:p>
          <w:p>
            <w:pPr>
              <w:pStyle w:val="Listenabsatz"/>
              <w:numPr>
                <w:ilvl w:val="0"/>
                <w:numId w:val="31"/>
              </w:numPr>
              <w:ind w:left="450" w:hanging="232"/>
              <w:rPr>
                <w:sz w:val="22"/>
                <w:szCs w:val="22"/>
              </w:rPr>
            </w:pPr>
            <w:r>
              <w:rPr>
                <w:sz w:val="22"/>
                <w:szCs w:val="22"/>
              </w:rPr>
              <w:t>Terminologie für den Lagebericht wahrscheinlich im Sinne von „aufgrund von technischen Problemen…“</w:t>
            </w:r>
          </w:p>
          <w:p>
            <w:pPr>
              <w:pStyle w:val="Listenabsatz"/>
              <w:numPr>
                <w:ilvl w:val="0"/>
                <w:numId w:val="31"/>
              </w:numPr>
              <w:ind w:left="450" w:hanging="232"/>
              <w:rPr>
                <w:sz w:val="22"/>
                <w:szCs w:val="22"/>
              </w:rPr>
            </w:pPr>
            <w:r>
              <w:rPr>
                <w:sz w:val="22"/>
                <w:szCs w:val="22"/>
              </w:rPr>
              <w:t>Durch hinzukommende Labore ist der Trend bzw. die Zunahme nicht ganz klar, diese Informationen sind für Donnerstag für die  AG Labordiagnostik wichtig</w:t>
            </w:r>
          </w:p>
          <w:p>
            <w:pPr>
              <w:rPr>
                <w:sz w:val="22"/>
                <w:szCs w:val="22"/>
              </w:rPr>
            </w:pPr>
          </w:p>
          <w:p>
            <w:pPr>
              <w:rPr>
                <w:i/>
                <w:sz w:val="22"/>
                <w:szCs w:val="22"/>
              </w:rPr>
            </w:pPr>
            <w:r>
              <w:rPr>
                <w:i/>
                <w:sz w:val="22"/>
                <w:szCs w:val="22"/>
              </w:rPr>
              <w:t>ToDo: FG33 soll bitte für Montag ein Update zur Vorbereitung für die Impfung vorbereiten</w:t>
            </w:r>
            <w:r>
              <w:t xml:space="preserve"> </w:t>
            </w:r>
          </w:p>
          <w:p>
            <w:pPr>
              <w:rPr>
                <w:i/>
                <w:sz w:val="22"/>
                <w:szCs w:val="22"/>
              </w:rPr>
            </w:pPr>
            <w:r>
              <w:rPr>
                <w:i/>
                <w:sz w:val="22"/>
                <w:szCs w:val="22"/>
              </w:rPr>
              <w:t xml:space="preserve"> </w:t>
            </w:r>
          </w:p>
        </w:tc>
        <w:tc>
          <w:tcPr>
            <w:tcW w:w="1418"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blPrEx>
          <w:tblLook w:val="00A0" w:firstRow="1" w:lastRow="0" w:firstColumn="1" w:lastColumn="0" w:noHBand="0" w:noVBand="0"/>
        </w:tblPrEx>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18" w:type="dxa"/>
          </w:tcPr>
          <w:p>
            <w:pPr>
              <w:rPr>
                <w:sz w:val="22"/>
                <w:szCs w:val="22"/>
              </w:rPr>
            </w:pPr>
          </w:p>
          <w:p>
            <w:pPr>
              <w:rPr>
                <w:sz w:val="22"/>
                <w:szCs w:val="22"/>
              </w:rPr>
            </w:pPr>
          </w:p>
          <w:p>
            <w:pPr>
              <w:rPr>
                <w:sz w:val="22"/>
                <w:szCs w:val="22"/>
              </w:rPr>
            </w:pPr>
          </w:p>
        </w:tc>
      </w:tr>
      <w:tr>
        <w:tblPrEx>
          <w:tblLook w:val="00A0" w:firstRow="1" w:lastRow="0" w:firstColumn="1" w:lastColumn="0" w:noHBand="0" w:noVBand="0"/>
        </w:tblPrEx>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18" w:type="dxa"/>
          </w:tcPr>
          <w:p>
            <w:pPr>
              <w:rPr>
                <w:sz w:val="22"/>
                <w:szCs w:val="22"/>
              </w:rPr>
            </w:pPr>
          </w:p>
          <w:p>
            <w:pPr>
              <w:rPr>
                <w:sz w:val="22"/>
                <w:szCs w:val="22"/>
              </w:rPr>
            </w:pPr>
          </w:p>
        </w:tc>
      </w:tr>
      <w:tr>
        <w:tblPrEx>
          <w:tblLook w:val="00A0" w:firstRow="1" w:lastRow="0" w:firstColumn="1" w:lastColumn="0" w:noHBand="0" w:noVBand="0"/>
        </w:tblPrEx>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blPrEx>
          <w:tblLook w:val="00A0" w:firstRow="1" w:lastRow="0" w:firstColumn="1" w:lastColumn="0" w:noHBand="0" w:noVBand="0"/>
        </w:tblPrEx>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44"/>
              </w:numPr>
              <w:ind w:left="450" w:hanging="232"/>
              <w:rPr>
                <w:sz w:val="22"/>
                <w:szCs w:val="22"/>
              </w:rPr>
            </w:pPr>
            <w:r>
              <w:rPr>
                <w:sz w:val="22"/>
                <w:szCs w:val="22"/>
              </w:rPr>
              <w:t>Reiserückkehrer: BMG Informationsblatt wird in 14 Sprachen übersetzt, Konstrukt war sehr textlastig, wird anders und mehr grafisch aufbereitet und dann in mehrere Sprachen übersetzt</w:t>
            </w:r>
          </w:p>
          <w:p>
            <w:pPr>
              <w:pStyle w:val="Listenabsatz"/>
              <w:numPr>
                <w:ilvl w:val="0"/>
                <w:numId w:val="44"/>
              </w:numPr>
              <w:ind w:left="450" w:hanging="232"/>
              <w:rPr>
                <w:sz w:val="22"/>
                <w:szCs w:val="22"/>
              </w:rPr>
            </w:pPr>
            <w:r>
              <w:rPr>
                <w:sz w:val="22"/>
                <w:szCs w:val="22"/>
              </w:rPr>
              <w:t>Aufbereitung Risikosituationen, auch für Menschen die kein Verständnis für die aktuellen Regeln haben, Mechanismus der Übertragung soll erneut verdeutlicht werden auch mithilfe von Emotionalisierung, um Solidarität in der Bevölkerung zu wecken, eine gesamtgesellschaftliche Haltung ist notwendig, wenn großer Teil der Bevölkerung von der Sinnhaftigkeit überzeugt wird mehr Erfolg, Termin steht noch aus</w:t>
            </w:r>
          </w:p>
          <w:p>
            <w:pPr>
              <w:pStyle w:val="Listenabsatz"/>
              <w:numPr>
                <w:ilvl w:val="0"/>
                <w:numId w:val="44"/>
              </w:numPr>
              <w:ind w:left="450" w:hanging="232"/>
              <w:rPr>
                <w:sz w:val="22"/>
                <w:szCs w:val="22"/>
              </w:rPr>
            </w:pPr>
            <w:r>
              <w:rPr>
                <w:sz w:val="22"/>
                <w:szCs w:val="22"/>
              </w:rPr>
              <w:t xml:space="preserve">Videos für Kinder wurden von Partnerorganisation vorbereitet, BZgA nimmt sich dessen an </w:t>
            </w:r>
          </w:p>
          <w:p>
            <w:pPr>
              <w:rPr>
                <w:sz w:val="22"/>
                <w:szCs w:val="22"/>
              </w:rPr>
            </w:pPr>
          </w:p>
          <w:p>
            <w:pPr>
              <w:rPr>
                <w:b/>
                <w:sz w:val="22"/>
                <w:szCs w:val="22"/>
              </w:rPr>
            </w:pPr>
            <w:r>
              <w:rPr>
                <w:b/>
                <w:sz w:val="22"/>
                <w:szCs w:val="22"/>
              </w:rPr>
              <w:t>Presse</w:t>
            </w:r>
          </w:p>
          <w:p>
            <w:pPr>
              <w:pStyle w:val="Listenabsatz"/>
              <w:numPr>
                <w:ilvl w:val="0"/>
                <w:numId w:val="44"/>
              </w:numPr>
              <w:ind w:left="450" w:hanging="232"/>
              <w:rPr>
                <w:sz w:val="22"/>
                <w:szCs w:val="22"/>
              </w:rPr>
            </w:pPr>
            <w:r>
              <w:rPr>
                <w:sz w:val="22"/>
                <w:szCs w:val="22"/>
              </w:rPr>
              <w:t>Falsch positive Tests sind weiterhin ein Thema in den Medien, es wurde eine gute Sprachregelung und FAQ erstellt doch es bleibt ein Lieblingsthema der Verschwörungstheoretiker und kommt deswegen noch stets vermehrt auf</w:t>
            </w:r>
          </w:p>
          <w:p>
            <w:pPr>
              <w:pStyle w:val="Listenabsatz"/>
              <w:numPr>
                <w:ilvl w:val="0"/>
                <w:numId w:val="44"/>
              </w:numPr>
              <w:ind w:left="450" w:hanging="232"/>
              <w:rPr>
                <w:sz w:val="22"/>
                <w:szCs w:val="22"/>
              </w:rPr>
            </w:pPr>
            <w:r>
              <w:rPr>
                <w:sz w:val="22"/>
                <w:szCs w:val="22"/>
              </w:rPr>
              <w:t>Risikogebiete zur Veröffentlichung kommen oft sehr spät, es wäre schön, wenn sie während der Regelarbeitszeiten kämen</w:t>
            </w:r>
          </w:p>
          <w:p>
            <w:pPr>
              <w:pStyle w:val="Listenabsatz"/>
              <w:numPr>
                <w:ilvl w:val="0"/>
                <w:numId w:val="44"/>
              </w:numPr>
              <w:ind w:left="450" w:hanging="232"/>
              <w:rPr>
                <w:sz w:val="22"/>
                <w:szCs w:val="22"/>
              </w:rPr>
            </w:pPr>
            <w:r>
              <w:rPr>
                <w:sz w:val="22"/>
                <w:szCs w:val="22"/>
              </w:rPr>
              <w:t xml:space="preserve">Danke für das Lob an RKI-Presse im internem Seminar </w:t>
            </w:r>
          </w:p>
          <w:p>
            <w:pPr>
              <w:rPr>
                <w:sz w:val="22"/>
                <w:szCs w:val="22"/>
              </w:rPr>
            </w:pPr>
          </w:p>
          <w:p>
            <w:pPr>
              <w:rPr>
                <w:b/>
                <w:sz w:val="22"/>
                <w:szCs w:val="22"/>
              </w:rPr>
            </w:pPr>
            <w:r>
              <w:rPr>
                <w:b/>
                <w:sz w:val="22"/>
                <w:szCs w:val="22"/>
              </w:rPr>
              <w:t>Sozialhygiene RKI-MA</w:t>
            </w:r>
          </w:p>
          <w:p>
            <w:pPr>
              <w:pStyle w:val="Listenabsatz"/>
              <w:numPr>
                <w:ilvl w:val="0"/>
                <w:numId w:val="44"/>
              </w:numPr>
              <w:ind w:left="450" w:hanging="232"/>
              <w:rPr>
                <w:sz w:val="22"/>
                <w:szCs w:val="22"/>
              </w:rPr>
            </w:pPr>
            <w:r>
              <w:rPr>
                <w:sz w:val="22"/>
                <w:szCs w:val="22"/>
              </w:rPr>
              <w:lastRenderedPageBreak/>
              <w:t xml:space="preserve">Das RKI wird weiterhin generell eher positiv gesehen, aber viele Personen im Haus müssen sich regelmäßig beschimpfen lassen (Zentrale, Presse, usw.) </w:t>
            </w:r>
          </w:p>
          <w:p>
            <w:pPr>
              <w:pStyle w:val="Listenabsatz"/>
              <w:numPr>
                <w:ilvl w:val="0"/>
                <w:numId w:val="44"/>
              </w:numPr>
              <w:ind w:left="450" w:hanging="232"/>
              <w:rPr>
                <w:sz w:val="22"/>
                <w:szCs w:val="22"/>
              </w:rPr>
            </w:pPr>
            <w:r>
              <w:rPr>
                <w:sz w:val="22"/>
                <w:szCs w:val="22"/>
              </w:rPr>
              <w:t>Das Info-Postfach sammelt Drohungen, bestimmte werden an das Rechtsreferat vermittelt</w:t>
            </w:r>
          </w:p>
          <w:p>
            <w:pPr>
              <w:pStyle w:val="Listenabsatz"/>
              <w:numPr>
                <w:ilvl w:val="0"/>
                <w:numId w:val="44"/>
              </w:numPr>
              <w:ind w:left="450" w:hanging="232"/>
              <w:rPr>
                <w:b/>
                <w:sz w:val="22"/>
                <w:szCs w:val="22"/>
              </w:rPr>
            </w:pPr>
            <w:r>
              <w:rPr>
                <w:sz w:val="22"/>
                <w:szCs w:val="22"/>
              </w:rPr>
              <w:t>Dies sollte zum Schutz von RKI-MA im Blick behalten werden um ggf. zu unterstützen, da es eine psychische Belastung für Personen ist, die dies nicht gewöhnt sind</w:t>
            </w:r>
          </w:p>
          <w:p>
            <w:pPr>
              <w:pStyle w:val="Listenabsatz"/>
              <w:numPr>
                <w:ilvl w:val="0"/>
                <w:numId w:val="44"/>
              </w:numPr>
              <w:ind w:left="450" w:hanging="232"/>
              <w:rPr>
                <w:sz w:val="22"/>
                <w:szCs w:val="22"/>
              </w:rPr>
            </w:pPr>
            <w:r>
              <w:rPr>
                <w:sz w:val="22"/>
                <w:szCs w:val="22"/>
              </w:rPr>
              <w:t>Präs betont dies, die Belastung ist sehr stark, er erhält viel Lob und Dank, aber auch schlimmste Drohungen, wie soll damit umgegangen werden, ist es eine Überlegung wert, diesen Aspekt nach außen zu kommunizieren? Veröffentlichung hilft nicht unbedingt, sollte zunächst besprochen werden</w:t>
            </w:r>
          </w:p>
          <w:p>
            <w:pPr>
              <w:pStyle w:val="Listenabsatz"/>
              <w:numPr>
                <w:ilvl w:val="0"/>
                <w:numId w:val="44"/>
              </w:numPr>
              <w:ind w:left="450" w:hanging="232"/>
              <w:rPr>
                <w:sz w:val="22"/>
                <w:szCs w:val="22"/>
              </w:rPr>
            </w:pPr>
            <w:r>
              <w:rPr>
                <w:sz w:val="22"/>
                <w:szCs w:val="22"/>
              </w:rPr>
              <w:t>BZgA Erfahrung: Institution betreut an vielen Stellen sensible Themen, es gibt keine einheitliche Lösung, Umgang geht bis zu strafrechtlicher Verfolgung, häufig erfolgt politische Instrumentalisierung, BZgA gibt es an ihre Rechtsabteilung</w:t>
            </w:r>
          </w:p>
          <w:p>
            <w:pPr>
              <w:pStyle w:val="Listenabsatz"/>
              <w:numPr>
                <w:ilvl w:val="0"/>
                <w:numId w:val="44"/>
              </w:numPr>
              <w:ind w:left="450" w:hanging="232"/>
              <w:rPr>
                <w:sz w:val="22"/>
                <w:szCs w:val="22"/>
              </w:rPr>
            </w:pPr>
            <w:r>
              <w:rPr>
                <w:sz w:val="22"/>
                <w:szCs w:val="22"/>
              </w:rPr>
              <w:t>IBBS befasst sich zsm. mit ZV6 mit Bedrohungen und tritt in Austausch mit dem LKA Berlin um dies zu besprechen, die Situation soll nicht noch verstärkt werden, Christian Herzog stellt Kontakt zum LKA her</w:t>
            </w:r>
          </w:p>
          <w:p>
            <w:pPr>
              <w:rPr>
                <w:sz w:val="22"/>
                <w:szCs w:val="22"/>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Presse/Präs/alle</w:t>
            </w:r>
          </w:p>
        </w:tc>
      </w:tr>
      <w:tr>
        <w:tblPrEx>
          <w:tblLook w:val="00A0" w:firstRow="1" w:lastRow="0" w:firstColumn="1" w:lastColumn="0" w:noHBand="0" w:noVBand="0"/>
        </w:tblPrEx>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spacing w:line="276" w:lineRule="auto"/>
              <w:rPr>
                <w:b/>
                <w:sz w:val="22"/>
              </w:rPr>
            </w:pPr>
            <w:r>
              <w:rPr>
                <w:b/>
                <w:sz w:val="22"/>
              </w:rPr>
              <w:t>BMG</w:t>
            </w:r>
          </w:p>
          <w:p>
            <w:pPr>
              <w:pStyle w:val="Listenabsatz"/>
              <w:numPr>
                <w:ilvl w:val="0"/>
                <w:numId w:val="44"/>
              </w:numPr>
              <w:ind w:left="450" w:hanging="232"/>
              <w:rPr>
                <w:sz w:val="22"/>
                <w:szCs w:val="22"/>
              </w:rPr>
            </w:pPr>
            <w:r>
              <w:rPr>
                <w:sz w:val="22"/>
                <w:szCs w:val="22"/>
              </w:rPr>
              <w:t>Keine neuen Themen</w:t>
            </w:r>
          </w:p>
          <w:p>
            <w:pPr>
              <w:pStyle w:val="Listenabsatz"/>
              <w:numPr>
                <w:ilvl w:val="0"/>
                <w:numId w:val="44"/>
              </w:numPr>
              <w:ind w:left="450" w:hanging="232"/>
              <w:rPr>
                <w:sz w:val="22"/>
                <w:szCs w:val="22"/>
              </w:rPr>
            </w:pPr>
            <w:r>
              <w:rPr>
                <w:sz w:val="22"/>
                <w:szCs w:val="22"/>
              </w:rPr>
              <w:t>Momentan weiterhin thematische Diskussion um Dunkelziffer</w:t>
            </w:r>
          </w:p>
          <w:p>
            <w:pPr>
              <w:pStyle w:val="Listenabsatz"/>
              <w:numPr>
                <w:ilvl w:val="0"/>
                <w:numId w:val="44"/>
              </w:numPr>
              <w:ind w:left="450" w:hanging="232"/>
              <w:rPr>
                <w:sz w:val="22"/>
                <w:szCs w:val="22"/>
              </w:rPr>
            </w:pPr>
            <w:r>
              <w:rPr>
                <w:sz w:val="22"/>
                <w:szCs w:val="22"/>
              </w:rPr>
              <w:t>Internationale Reiserückkehrer, Anteile von positiven usw. bleibt wichtiges Diskussionsthema</w:t>
            </w:r>
          </w:p>
          <w:p>
            <w:pPr>
              <w:pStyle w:val="Listenabsatz"/>
              <w:numPr>
                <w:ilvl w:val="0"/>
                <w:numId w:val="44"/>
              </w:numPr>
              <w:ind w:left="450" w:hanging="232"/>
              <w:rPr>
                <w:sz w:val="22"/>
                <w:szCs w:val="22"/>
              </w:rPr>
            </w:pPr>
            <w:r>
              <w:rPr>
                <w:sz w:val="22"/>
                <w:szCs w:val="22"/>
              </w:rPr>
              <w:t>Regionale Betrachtung von Risikogebieten wird mit steigenden Fallzahlen zunehmen</w:t>
            </w:r>
          </w:p>
          <w:p>
            <w:pPr>
              <w:pStyle w:val="Listenabsatz"/>
              <w:numPr>
                <w:ilvl w:val="0"/>
                <w:numId w:val="44"/>
              </w:numPr>
              <w:ind w:left="450" w:hanging="232"/>
              <w:rPr>
                <w:sz w:val="22"/>
                <w:szCs w:val="22"/>
              </w:rPr>
            </w:pPr>
            <w:r>
              <w:rPr>
                <w:sz w:val="22"/>
                <w:szCs w:val="22"/>
              </w:rPr>
              <w:t>Bürozeiten sollen berücksichtigt werden, auch die Liste der Risikogebiete sollte früher am Tag zur Veröffentlichung geschickt werden</w:t>
            </w:r>
          </w:p>
          <w:p>
            <w:pPr>
              <w:spacing w:line="276" w:lineRule="auto"/>
              <w:rPr>
                <w:sz w:val="22"/>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BMG Liaison</w:t>
            </w:r>
          </w:p>
        </w:tc>
      </w:tr>
      <w:tr>
        <w:tblPrEx>
          <w:tblLook w:val="00A0" w:firstRow="1" w:lastRow="0" w:firstColumn="1" w:lastColumn="0" w:noHBand="0" w:noVBand="0"/>
        </w:tblPrEx>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spacing w:line="276" w:lineRule="auto"/>
              <w:rPr>
                <w:b/>
                <w:sz w:val="22"/>
              </w:rPr>
            </w:pPr>
            <w:r>
              <w:rPr>
                <w:b/>
                <w:sz w:val="22"/>
              </w:rPr>
              <w:t>Allgemein</w:t>
            </w:r>
          </w:p>
          <w:p>
            <w:pPr>
              <w:pStyle w:val="Listenabsatz"/>
              <w:numPr>
                <w:ilvl w:val="0"/>
                <w:numId w:val="44"/>
              </w:numPr>
              <w:ind w:left="450" w:hanging="232"/>
              <w:rPr>
                <w:sz w:val="22"/>
                <w:szCs w:val="22"/>
              </w:rPr>
            </w:pPr>
            <w:r>
              <w:rPr>
                <w:sz w:val="22"/>
                <w:szCs w:val="22"/>
              </w:rPr>
              <w:t xml:space="preserve">Minister Spahn hat das RKI Papier "COVID-19 (Dokument </w:t>
            </w:r>
            <w:hyperlink r:id="rId10" w:history="1">
              <w:r>
                <w:rPr>
                  <w:rStyle w:val="Hyperlink"/>
                  <w:sz w:val="22"/>
                  <w:szCs w:val="22"/>
                </w:rPr>
                <w:t>hier</w:t>
              </w:r>
            </w:hyperlink>
            <w:r>
              <w:rPr>
                <w:sz w:val="22"/>
                <w:szCs w:val="22"/>
              </w:rPr>
              <w:t>): Die Pandemie in Deutschland in den nächsten Monaten“ (Draft 10, Stand 31. Juli 2020) zur Veröffentlichung auf der RKI-Internetseite frei gegeben. Das BMG wird das Papier auch dem Ausschuss für Gesundheit und der GMK zur Kenntnis übermitteln.</w:t>
            </w:r>
          </w:p>
          <w:p>
            <w:pPr>
              <w:pStyle w:val="Listenabsatz"/>
              <w:numPr>
                <w:ilvl w:val="0"/>
                <w:numId w:val="44"/>
              </w:numPr>
              <w:ind w:left="450" w:hanging="232"/>
              <w:rPr>
                <w:sz w:val="22"/>
                <w:szCs w:val="22"/>
              </w:rPr>
            </w:pPr>
            <w:r>
              <w:rPr>
                <w:sz w:val="22"/>
                <w:szCs w:val="22"/>
              </w:rPr>
              <w:t>Prozess war zeitlich verzögert, Papier wurde vor 4-5 Wochen im Krisenstab verabschiedet, Präs informelles Expertengremium hat zusätzliche gute Hinweise, die auch im Krisenstab besprochen wurden, gegeben, anschließend nur noch marginale Änderungen durch BMG</w:t>
            </w:r>
          </w:p>
          <w:p>
            <w:pPr>
              <w:pStyle w:val="Listenabsatz"/>
              <w:numPr>
                <w:ilvl w:val="0"/>
                <w:numId w:val="44"/>
              </w:numPr>
              <w:ind w:left="450" w:hanging="232"/>
              <w:rPr>
                <w:sz w:val="22"/>
                <w:szCs w:val="22"/>
              </w:rPr>
            </w:pPr>
            <w:r>
              <w:rPr>
                <w:sz w:val="22"/>
                <w:szCs w:val="22"/>
              </w:rPr>
              <w:t>Papier muss nicht mehr im Detail besprochen werden, Grundposition ist dieselbe, lediglich sprachliche Überarbeitung</w:t>
            </w:r>
          </w:p>
          <w:p>
            <w:pPr>
              <w:pStyle w:val="Listenabsatz"/>
              <w:numPr>
                <w:ilvl w:val="0"/>
                <w:numId w:val="44"/>
              </w:numPr>
              <w:ind w:left="450" w:hanging="232"/>
              <w:rPr>
                <w:sz w:val="22"/>
                <w:szCs w:val="22"/>
              </w:rPr>
            </w:pPr>
            <w:r>
              <w:rPr>
                <w:sz w:val="22"/>
                <w:szCs w:val="22"/>
              </w:rPr>
              <w:lastRenderedPageBreak/>
              <w:t>Erneute Änderungen müssten dem BMG vorgelegt werden, die Sensibilität am BMG ist sehr hoch, bei Kleinigkeiten lohnt es sich nicht, das Dokument noch zu ändern</w:t>
            </w:r>
          </w:p>
          <w:p>
            <w:pPr>
              <w:pStyle w:val="Listenabsatz"/>
              <w:numPr>
                <w:ilvl w:val="0"/>
                <w:numId w:val="44"/>
              </w:numPr>
              <w:ind w:left="450" w:hanging="232"/>
              <w:rPr>
                <w:sz w:val="22"/>
                <w:szCs w:val="22"/>
              </w:rPr>
            </w:pPr>
            <w:r>
              <w:rPr>
                <w:sz w:val="22"/>
                <w:szCs w:val="22"/>
              </w:rPr>
              <w:t>Stand des Papiers ist der 31.07., es wird so belassen</w:t>
            </w:r>
          </w:p>
          <w:p>
            <w:pPr>
              <w:pStyle w:val="Listenabsatz"/>
              <w:numPr>
                <w:ilvl w:val="0"/>
                <w:numId w:val="44"/>
              </w:numPr>
              <w:ind w:left="450" w:hanging="232"/>
              <w:rPr>
                <w:sz w:val="22"/>
                <w:szCs w:val="22"/>
              </w:rPr>
            </w:pPr>
            <w:r>
              <w:rPr>
                <w:sz w:val="22"/>
                <w:szCs w:val="22"/>
              </w:rPr>
              <w:t>Beim ursprünglichen Entwurf war zusätzlich ein Papier zu Maßnahmen im Anhang, Präs fragt beim BMG nach, ob dies bekannt ist/war, letzteres wurde nicht mehr überarbeitet</w:t>
            </w:r>
          </w:p>
          <w:p>
            <w:pPr>
              <w:pStyle w:val="Listenabsatz"/>
              <w:numPr>
                <w:ilvl w:val="0"/>
                <w:numId w:val="44"/>
              </w:numPr>
              <w:ind w:left="450" w:hanging="232"/>
              <w:rPr>
                <w:sz w:val="22"/>
                <w:szCs w:val="22"/>
              </w:rPr>
            </w:pPr>
            <w:r>
              <w:rPr>
                <w:sz w:val="22"/>
                <w:szCs w:val="22"/>
              </w:rPr>
              <w:t>Strategie wird jetzt veröffentlicht und die Anlage ggf. später ergänzt</w:t>
            </w:r>
          </w:p>
          <w:p>
            <w:pPr>
              <w:rPr>
                <w:sz w:val="22"/>
                <w:szCs w:val="22"/>
              </w:rPr>
            </w:pPr>
          </w:p>
          <w:p>
            <w:pPr>
              <w:spacing w:line="276" w:lineRule="auto"/>
              <w:rPr>
                <w:b/>
                <w:sz w:val="22"/>
              </w:rPr>
            </w:pPr>
            <w:r>
              <w:rPr>
                <w:b/>
                <w:sz w:val="22"/>
              </w:rPr>
              <w:t>RKI-intern</w:t>
            </w:r>
          </w:p>
          <w:p>
            <w:pPr>
              <w:pStyle w:val="Listenabsatz"/>
              <w:numPr>
                <w:ilvl w:val="0"/>
                <w:numId w:val="44"/>
              </w:numPr>
              <w:ind w:left="450" w:hanging="232"/>
              <w:rPr>
                <w:sz w:val="22"/>
                <w:szCs w:val="22"/>
              </w:rPr>
            </w:pPr>
            <w:r>
              <w:rPr>
                <w:sz w:val="22"/>
                <w:szCs w:val="22"/>
              </w:rPr>
              <w:t xml:space="preserve">Nicht besprochen </w:t>
            </w:r>
          </w:p>
          <w:p>
            <w:pPr>
              <w:rPr>
                <w:i/>
                <w:sz w:val="22"/>
                <w:szCs w:val="22"/>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Präs/alle</w:t>
            </w:r>
          </w:p>
        </w:tc>
      </w:tr>
      <w:tr>
        <w:tblPrEx>
          <w:tblLook w:val="00A0" w:firstRow="1" w:lastRow="0" w:firstColumn="1" w:lastColumn="0" w:noHBand="0" w:noVBand="0"/>
        </w:tblPrEx>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spacing w:line="276" w:lineRule="auto"/>
              <w:rPr>
                <w:sz w:val="22"/>
              </w:rPr>
            </w:pPr>
            <w:r>
              <w:rPr>
                <w:b/>
                <w:sz w:val="22"/>
                <w:szCs w:val="22"/>
              </w:rPr>
              <w:t xml:space="preserve">Kontaktpersonenmanagement </w:t>
            </w:r>
            <w:r>
              <w:rPr>
                <w:sz w:val="22"/>
                <w:szCs w:val="22"/>
              </w:rPr>
              <w:t xml:space="preserve">(Dokument </w:t>
            </w:r>
            <w:hyperlink r:id="rId11" w:history="1">
              <w:r>
                <w:rPr>
                  <w:rStyle w:val="Hyperlink"/>
                  <w:sz w:val="22"/>
                  <w:szCs w:val="22"/>
                </w:rPr>
                <w:t>hier</w:t>
              </w:r>
            </w:hyperlink>
            <w:r>
              <w:rPr>
                <w:sz w:val="22"/>
                <w:szCs w:val="22"/>
              </w:rPr>
              <w:t>)</w:t>
            </w:r>
          </w:p>
          <w:p>
            <w:pPr>
              <w:pStyle w:val="Listenabsatz"/>
              <w:numPr>
                <w:ilvl w:val="0"/>
                <w:numId w:val="44"/>
              </w:numPr>
              <w:ind w:left="450" w:hanging="232"/>
              <w:rPr>
                <w:sz w:val="22"/>
                <w:szCs w:val="22"/>
              </w:rPr>
            </w:pPr>
            <w:r>
              <w:rPr>
                <w:sz w:val="22"/>
                <w:szCs w:val="22"/>
              </w:rPr>
              <w:t>Anpassung nach Kommunikation mit Herrn Drosten</w:t>
            </w:r>
          </w:p>
          <w:p>
            <w:pPr>
              <w:pStyle w:val="Listenabsatz"/>
              <w:numPr>
                <w:ilvl w:val="0"/>
                <w:numId w:val="44"/>
              </w:numPr>
              <w:ind w:left="450" w:hanging="232"/>
              <w:rPr>
                <w:sz w:val="22"/>
                <w:szCs w:val="22"/>
              </w:rPr>
            </w:pPr>
            <w:r>
              <w:rPr>
                <w:sz w:val="22"/>
                <w:szCs w:val="22"/>
              </w:rPr>
              <w:t>Bei den Vorbemerkungen stand in welcher Reihenfolge/Priorität KoNa stattfinden soll, es wurde nun erwähnt, dass sie sich nicht nur auf vorwärts Ermittlung (schnelle Identifikation) bezieht sondern auch einen Wert zur Erkennung beginnender bzw. existierender Fallhäufungen und Cluster hat</w:t>
            </w:r>
          </w:p>
          <w:p>
            <w:pPr>
              <w:pStyle w:val="Listenabsatz"/>
              <w:numPr>
                <w:ilvl w:val="0"/>
                <w:numId w:val="44"/>
              </w:numPr>
              <w:ind w:left="450" w:hanging="232"/>
              <w:rPr>
                <w:sz w:val="22"/>
                <w:szCs w:val="22"/>
              </w:rPr>
            </w:pPr>
            <w:r>
              <w:rPr>
                <w:sz w:val="22"/>
                <w:szCs w:val="22"/>
              </w:rPr>
              <w:t xml:space="preserve">Dies wurde an zwei Stellen aufgenommen </w:t>
            </w:r>
          </w:p>
          <w:p>
            <w:pPr>
              <w:pStyle w:val="Listenabsatz"/>
              <w:numPr>
                <w:ilvl w:val="1"/>
                <w:numId w:val="44"/>
              </w:numPr>
              <w:ind w:left="876"/>
              <w:rPr>
                <w:sz w:val="22"/>
                <w:szCs w:val="22"/>
              </w:rPr>
            </w:pPr>
            <w:r>
              <w:rPr>
                <w:sz w:val="22"/>
                <w:szCs w:val="22"/>
              </w:rPr>
              <w:t>In die allgemeinen Prinzipien/Vorbemerkung</w:t>
            </w:r>
          </w:p>
          <w:p>
            <w:pPr>
              <w:pStyle w:val="Listenabsatz"/>
              <w:numPr>
                <w:ilvl w:val="1"/>
                <w:numId w:val="44"/>
              </w:numPr>
              <w:ind w:left="876"/>
              <w:rPr>
                <w:sz w:val="22"/>
                <w:szCs w:val="22"/>
              </w:rPr>
            </w:pPr>
            <w:r>
              <w:rPr>
                <w:sz w:val="22"/>
                <w:szCs w:val="22"/>
              </w:rPr>
              <w:t>Einschub Absatz Herdsituation</w:t>
            </w:r>
          </w:p>
          <w:p>
            <w:pPr>
              <w:pStyle w:val="Listenabsatz"/>
              <w:numPr>
                <w:ilvl w:val="0"/>
                <w:numId w:val="44"/>
              </w:numPr>
              <w:ind w:left="450" w:hanging="232"/>
              <w:rPr>
                <w:sz w:val="22"/>
                <w:szCs w:val="22"/>
              </w:rPr>
            </w:pPr>
            <w:r>
              <w:rPr>
                <w:sz w:val="22"/>
                <w:szCs w:val="22"/>
              </w:rPr>
              <w:t xml:space="preserve">Zunächst sollen potentielle Ausbruchsgeschehen eingedämmt werden bevor Einzelfälle bearbeitet werden, dies ist eine Anpassung in Richtung dessen, was GA zum Teil schon machen </w:t>
            </w:r>
          </w:p>
          <w:p>
            <w:pPr>
              <w:pStyle w:val="Listenabsatz"/>
              <w:numPr>
                <w:ilvl w:val="0"/>
                <w:numId w:val="44"/>
              </w:numPr>
              <w:ind w:left="450" w:hanging="232"/>
              <w:rPr>
                <w:sz w:val="22"/>
                <w:szCs w:val="22"/>
              </w:rPr>
            </w:pPr>
            <w:r>
              <w:rPr>
                <w:sz w:val="22"/>
                <w:szCs w:val="22"/>
              </w:rPr>
              <w:t>Wird auch in anderen Papieren zur KoNa Ermittlung hinzugefügt, bzw. darauf verwiesen</w:t>
            </w:r>
          </w:p>
          <w:p>
            <w:pPr>
              <w:pStyle w:val="Listenabsatz"/>
              <w:numPr>
                <w:ilvl w:val="0"/>
                <w:numId w:val="44"/>
              </w:numPr>
              <w:ind w:left="450" w:hanging="232"/>
              <w:rPr>
                <w:sz w:val="22"/>
                <w:szCs w:val="22"/>
              </w:rPr>
            </w:pPr>
            <w:r>
              <w:rPr>
                <w:sz w:val="22"/>
                <w:szCs w:val="22"/>
              </w:rPr>
              <w:t>Im letzten ECDC RRA ist auch ein entsprechender Absatz enthalten, KoNa steht im Mittelpunkt, Quellencluster als zusätzliche Option erwähnt</w:t>
            </w:r>
          </w:p>
          <w:p>
            <w:pPr>
              <w:pStyle w:val="Listenabsatz"/>
              <w:numPr>
                <w:ilvl w:val="0"/>
                <w:numId w:val="44"/>
              </w:numPr>
              <w:ind w:left="450" w:hanging="232"/>
              <w:rPr>
                <w:sz w:val="22"/>
                <w:szCs w:val="22"/>
              </w:rPr>
            </w:pPr>
            <w:r>
              <w:rPr>
                <w:sz w:val="22"/>
                <w:szCs w:val="22"/>
              </w:rPr>
              <w:t>Kontakt mit AL1 zur Diskussion der (test-spezifischen) CT-Werte</w:t>
            </w:r>
          </w:p>
          <w:p>
            <w:pPr>
              <w:pStyle w:val="Listenabsatz"/>
              <w:numPr>
                <w:ilvl w:val="0"/>
                <w:numId w:val="44"/>
              </w:numPr>
              <w:ind w:left="450" w:hanging="232"/>
              <w:rPr>
                <w:sz w:val="22"/>
                <w:szCs w:val="22"/>
              </w:rPr>
            </w:pPr>
            <w:r>
              <w:rPr>
                <w:sz w:val="22"/>
                <w:szCs w:val="22"/>
              </w:rPr>
              <w:t>Adressat sind GA, Papier muss IfSG Terminologie entsprechen</w:t>
            </w:r>
          </w:p>
          <w:p>
            <w:pPr>
              <w:pStyle w:val="Listenabsatz"/>
              <w:numPr>
                <w:ilvl w:val="0"/>
                <w:numId w:val="44"/>
              </w:numPr>
              <w:ind w:left="450" w:hanging="232"/>
              <w:rPr>
                <w:sz w:val="22"/>
                <w:szCs w:val="22"/>
              </w:rPr>
            </w:pPr>
            <w:r>
              <w:rPr>
                <w:sz w:val="22"/>
                <w:szCs w:val="22"/>
              </w:rPr>
              <w:t>Kann (evtl. nach sprachlicher Überprüfung durch P1) heute oder morgen veröffentlicht werden, Differenzen zu bestehenden Empfehlungen müssen vermieden werden</w:t>
            </w:r>
          </w:p>
          <w:p>
            <w:pPr>
              <w:rPr>
                <w:b/>
                <w:sz w:val="22"/>
                <w:szCs w:val="22"/>
              </w:rPr>
            </w:pPr>
          </w:p>
          <w:p>
            <w:pPr>
              <w:rPr>
                <w:b/>
                <w:sz w:val="22"/>
                <w:szCs w:val="22"/>
              </w:rPr>
            </w:pPr>
            <w:r>
              <w:rPr>
                <w:b/>
                <w:sz w:val="22"/>
                <w:szCs w:val="22"/>
              </w:rPr>
              <w:t>Übersetzung von RKI Empfehlungen</w:t>
            </w:r>
          </w:p>
          <w:p>
            <w:pPr>
              <w:pStyle w:val="Listenabsatz"/>
              <w:numPr>
                <w:ilvl w:val="0"/>
                <w:numId w:val="44"/>
              </w:numPr>
              <w:ind w:left="450" w:hanging="232"/>
              <w:rPr>
                <w:sz w:val="22"/>
                <w:szCs w:val="22"/>
              </w:rPr>
            </w:pPr>
            <w:r>
              <w:rPr>
                <w:sz w:val="22"/>
                <w:szCs w:val="22"/>
              </w:rPr>
              <w:t>ZIG erhält viele Anfragen zum deutschem KoNa-Konzept, auch ob Dokumente auf Englisch geteilt werden können</w:t>
            </w:r>
          </w:p>
          <w:p>
            <w:pPr>
              <w:pStyle w:val="Listenabsatz"/>
              <w:numPr>
                <w:ilvl w:val="0"/>
                <w:numId w:val="44"/>
              </w:numPr>
              <w:ind w:left="450" w:hanging="232"/>
              <w:rPr>
                <w:sz w:val="22"/>
                <w:szCs w:val="22"/>
              </w:rPr>
            </w:pPr>
            <w:r>
              <w:rPr>
                <w:sz w:val="22"/>
                <w:szCs w:val="22"/>
              </w:rPr>
              <w:t>ZIG könnte diese Übersetzungen veranlassen, auch in internationaler Fachpresse besteht großes Interesse</w:t>
            </w:r>
          </w:p>
          <w:p>
            <w:pPr>
              <w:pStyle w:val="Listenabsatz"/>
              <w:numPr>
                <w:ilvl w:val="0"/>
                <w:numId w:val="44"/>
              </w:numPr>
              <w:ind w:left="450" w:hanging="232"/>
              <w:rPr>
                <w:sz w:val="22"/>
                <w:szCs w:val="22"/>
              </w:rPr>
            </w:pPr>
            <w:r>
              <w:rPr>
                <w:sz w:val="22"/>
                <w:szCs w:val="22"/>
              </w:rPr>
              <w:t>Im LZ (internationale Kommunikation) gibt es auch häufig Anfragen zu den Prozessen in Deutschland</w:t>
            </w:r>
          </w:p>
          <w:p>
            <w:pPr>
              <w:pStyle w:val="Listenabsatz"/>
              <w:numPr>
                <w:ilvl w:val="0"/>
                <w:numId w:val="44"/>
              </w:numPr>
              <w:ind w:left="450" w:hanging="232"/>
              <w:rPr>
                <w:sz w:val="22"/>
                <w:szCs w:val="22"/>
              </w:rPr>
            </w:pPr>
            <w:r>
              <w:rPr>
                <w:sz w:val="22"/>
                <w:szCs w:val="22"/>
              </w:rPr>
              <w:t>IBBS erfährt auch großes Interesse an Flussschema und Therapieansätzen aus dem Ausland</w:t>
            </w:r>
          </w:p>
          <w:p>
            <w:pPr>
              <w:pStyle w:val="Listenabsatz"/>
              <w:numPr>
                <w:ilvl w:val="0"/>
                <w:numId w:val="44"/>
              </w:numPr>
              <w:ind w:left="450" w:hanging="232"/>
              <w:rPr>
                <w:sz w:val="22"/>
                <w:szCs w:val="22"/>
              </w:rPr>
            </w:pPr>
            <w:r>
              <w:rPr>
                <w:sz w:val="22"/>
                <w:szCs w:val="22"/>
              </w:rPr>
              <w:t>Übersetzungen müssten auch regelmäßig aktualisiert werden</w:t>
            </w:r>
          </w:p>
          <w:p>
            <w:pPr>
              <w:pStyle w:val="Listenabsatz"/>
              <w:numPr>
                <w:ilvl w:val="0"/>
                <w:numId w:val="44"/>
              </w:numPr>
              <w:ind w:left="450" w:hanging="232"/>
              <w:rPr>
                <w:sz w:val="22"/>
                <w:szCs w:val="22"/>
              </w:rPr>
            </w:pPr>
            <w:r>
              <w:rPr>
                <w:sz w:val="22"/>
                <w:szCs w:val="22"/>
              </w:rPr>
              <w:t xml:space="preserve">Es soll eine Abstimmung zwischen federführenden OEs (IBBS, </w:t>
            </w:r>
            <w:r>
              <w:rPr>
                <w:sz w:val="22"/>
                <w:szCs w:val="22"/>
              </w:rPr>
              <w:lastRenderedPageBreak/>
              <w:t>ZIG, Abt.3) geben um genaue Dokumente, gleiche Terminologie, Übersetzer, usw. abzustimmen</w:t>
            </w:r>
          </w:p>
          <w:p>
            <w:pPr>
              <w:pStyle w:val="Listenabsatz"/>
              <w:numPr>
                <w:ilvl w:val="0"/>
                <w:numId w:val="44"/>
              </w:numPr>
              <w:ind w:left="450" w:hanging="232"/>
              <w:rPr>
                <w:sz w:val="22"/>
                <w:szCs w:val="22"/>
              </w:rPr>
            </w:pPr>
            <w:r>
              <w:rPr>
                <w:sz w:val="22"/>
                <w:szCs w:val="22"/>
              </w:rPr>
              <w:t>Gestern STAG-ICH Treffen mit Präs: Diskussion zur Zwischenbilanz, demnächst gibt es ein Papier zu contact tracing ggf. inklusive Differenz zwischen backward und forward tracing</w:t>
            </w:r>
          </w:p>
          <w:p>
            <w:pPr>
              <w:pStyle w:val="Listenabsatz"/>
              <w:numPr>
                <w:ilvl w:val="0"/>
                <w:numId w:val="44"/>
              </w:numPr>
              <w:ind w:left="450" w:hanging="232"/>
              <w:rPr>
                <w:sz w:val="22"/>
                <w:szCs w:val="22"/>
              </w:rPr>
            </w:pPr>
            <w:r>
              <w:rPr>
                <w:sz w:val="22"/>
                <w:szCs w:val="22"/>
              </w:rPr>
              <w:t>P1 Wissenschaftskommunikation kann über die Dokumente schauen bevor sie übersetzt werden</w:t>
            </w:r>
          </w:p>
          <w:p>
            <w:pPr>
              <w:pStyle w:val="Listenabsatz"/>
              <w:numPr>
                <w:ilvl w:val="0"/>
                <w:numId w:val="44"/>
              </w:numPr>
              <w:ind w:left="450" w:hanging="232"/>
              <w:rPr>
                <w:sz w:val="22"/>
                <w:szCs w:val="22"/>
              </w:rPr>
            </w:pPr>
            <w:r>
              <w:rPr>
                <w:sz w:val="22"/>
                <w:szCs w:val="22"/>
              </w:rPr>
              <w:t>Aus Erfahrungen mit Übersetzungsversuchen ist es oft schwierig, Kapazitäten zu sichern um die Dokumente danach erneut fachlich zu überprüfen, bitte auch hierauf achten</w:t>
            </w:r>
          </w:p>
          <w:p>
            <w:pPr>
              <w:pStyle w:val="Listenabsatz"/>
              <w:numPr>
                <w:ilvl w:val="0"/>
                <w:numId w:val="44"/>
              </w:numPr>
              <w:ind w:left="450" w:hanging="232"/>
              <w:rPr>
                <w:sz w:val="22"/>
                <w:szCs w:val="22"/>
              </w:rPr>
            </w:pPr>
            <w:r>
              <w:rPr>
                <w:sz w:val="22"/>
                <w:szCs w:val="22"/>
              </w:rPr>
              <w:t>Qualitätssicherung ist wichtig, darf nicht zu zusätzlicher Belastung führen</w:t>
            </w:r>
          </w:p>
          <w:p>
            <w:pPr>
              <w:rPr>
                <w:sz w:val="22"/>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ZIG/alle</w:t>
            </w:r>
          </w:p>
        </w:tc>
      </w:tr>
      <w:tr>
        <w:tblPrEx>
          <w:tblLook w:val="00A0" w:firstRow="1" w:lastRow="0" w:firstColumn="1" w:lastColumn="0" w:noHBand="0" w:noVBand="0"/>
        </w:tblPrEx>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0"/>
                <w:szCs w:val="22"/>
              </w:rPr>
            </w:pPr>
            <w:r>
              <w:rPr>
                <w:sz w:val="22"/>
                <w:szCs w:val="22"/>
              </w:rPr>
              <w:t>FG17: Rhinoviren 50% in Proben letzter Woche</w:t>
            </w:r>
          </w:p>
          <w:p>
            <w:pPr>
              <w:rPr>
                <w:sz w:val="20"/>
                <w:szCs w:val="22"/>
              </w:rPr>
            </w:pPr>
          </w:p>
        </w:tc>
        <w:tc>
          <w:tcPr>
            <w:tcW w:w="1418" w:type="dxa"/>
          </w:tcPr>
          <w:p>
            <w:pPr>
              <w:rPr>
                <w:sz w:val="22"/>
                <w:szCs w:val="22"/>
              </w:rPr>
            </w:pPr>
          </w:p>
          <w:p>
            <w:pPr>
              <w:rPr>
                <w:sz w:val="22"/>
                <w:szCs w:val="22"/>
              </w:rPr>
            </w:pPr>
            <w:r>
              <w:rPr>
                <w:sz w:val="22"/>
                <w:szCs w:val="22"/>
              </w:rPr>
              <w:t>FG17</w:t>
            </w:r>
          </w:p>
          <w:p>
            <w:pPr>
              <w:rPr>
                <w:sz w:val="22"/>
                <w:szCs w:val="22"/>
              </w:rPr>
            </w:pPr>
          </w:p>
        </w:tc>
      </w:tr>
      <w:tr>
        <w:tblPrEx>
          <w:tblLook w:val="00A0" w:firstRow="1" w:lastRow="0" w:firstColumn="1" w:lastColumn="0" w:noHBand="0" w:noVBand="0"/>
        </w:tblPrEx>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rPr>
                <w:sz w:val="22"/>
              </w:rPr>
            </w:pPr>
          </w:p>
        </w:tc>
        <w:tc>
          <w:tcPr>
            <w:tcW w:w="1418" w:type="dxa"/>
          </w:tcPr>
          <w:p>
            <w:pPr>
              <w:rPr>
                <w:sz w:val="22"/>
                <w:szCs w:val="22"/>
              </w:rPr>
            </w:pPr>
          </w:p>
          <w:p>
            <w:pPr>
              <w:rPr>
                <w:sz w:val="22"/>
                <w:szCs w:val="22"/>
              </w:rPr>
            </w:pPr>
          </w:p>
        </w:tc>
      </w:tr>
      <w:tr>
        <w:tblPrEx>
          <w:tblLook w:val="00A0" w:firstRow="1" w:lastRow="0" w:firstColumn="1" w:lastColumn="0" w:noHBand="0" w:noVBand="0"/>
        </w:tblPrEx>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 xml:space="preserve">Modellierung Teststrategien bei Reiserückkehrern </w:t>
            </w:r>
            <w:r>
              <w:rPr>
                <w:sz w:val="22"/>
                <w:szCs w:val="22"/>
              </w:rPr>
              <w:t xml:space="preserve">(Folien </w:t>
            </w:r>
            <w:hyperlink r:id="rId12" w:history="1">
              <w:r>
                <w:rPr>
                  <w:rStyle w:val="Hyperlink"/>
                  <w:sz w:val="22"/>
                  <w:szCs w:val="22"/>
                </w:rPr>
                <w:t>hier</w:t>
              </w:r>
            </w:hyperlink>
            <w:r>
              <w:rPr>
                <w:sz w:val="22"/>
                <w:szCs w:val="22"/>
              </w:rPr>
              <w:t xml:space="preserve">, Tool zum Ausprobieren in diesem Ordner </w:t>
            </w:r>
            <w:hyperlink r:id="rId13"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Frau Oh (FG17) und Herr von Kleist (MF1) haben ein interaktives quantitatives Tool zur Berechnung des Restrisikos und der Evaluierung von Teststrategien entworfen, für das Tool und die Folien bitte o.g. Links folgen</w:t>
            </w:r>
          </w:p>
          <w:p>
            <w:pPr>
              <w:pStyle w:val="Listenabsatz"/>
              <w:numPr>
                <w:ilvl w:val="0"/>
                <w:numId w:val="31"/>
              </w:numPr>
              <w:ind w:left="450" w:hanging="232"/>
              <w:rPr>
                <w:sz w:val="22"/>
                <w:szCs w:val="22"/>
              </w:rPr>
            </w:pPr>
            <w:r>
              <w:rPr>
                <w:sz w:val="22"/>
                <w:szCs w:val="22"/>
              </w:rPr>
              <w:t>Es werden vier aus der Literatur bekannte Infektionsphasen berücksichtigt und deren sowie diverse andere Parameter (Dunkelziffer, Prävalenz/Neuinzidenz Herkunftsland, Testspezifizität, Teststrategie, Quarantäne etc.) können variiert werden um das resultierende Restrisiko zu ermitteln</w:t>
            </w:r>
          </w:p>
          <w:p>
            <w:pPr>
              <w:pStyle w:val="Listenabsatz"/>
              <w:numPr>
                <w:ilvl w:val="0"/>
                <w:numId w:val="31"/>
              </w:numPr>
              <w:ind w:left="450" w:hanging="232"/>
              <w:rPr>
                <w:sz w:val="22"/>
                <w:szCs w:val="22"/>
              </w:rPr>
            </w:pPr>
            <w:r>
              <w:rPr>
                <w:sz w:val="22"/>
                <w:szCs w:val="22"/>
              </w:rPr>
              <w:t>Das Tool kann die Entscheidung unterstützen wann welche Personen in Quarantäne sollen und welches die Effizienz verschiedener Testungszeitpunkten ist</w:t>
            </w:r>
          </w:p>
          <w:p>
            <w:pPr>
              <w:pStyle w:val="Listenabsatz"/>
              <w:numPr>
                <w:ilvl w:val="0"/>
                <w:numId w:val="31"/>
              </w:numPr>
              <w:ind w:left="450" w:hanging="232"/>
              <w:rPr>
                <w:sz w:val="22"/>
                <w:szCs w:val="22"/>
              </w:rPr>
            </w:pPr>
            <w:r>
              <w:rPr>
                <w:sz w:val="22"/>
                <w:szCs w:val="22"/>
              </w:rPr>
              <w:t>Diskussion, wie kann das Tool operationalisiert werden?</w:t>
            </w:r>
          </w:p>
          <w:p>
            <w:pPr>
              <w:pStyle w:val="Listenabsatz"/>
              <w:numPr>
                <w:ilvl w:val="1"/>
                <w:numId w:val="44"/>
              </w:numPr>
              <w:ind w:left="876"/>
              <w:rPr>
                <w:sz w:val="22"/>
                <w:szCs w:val="22"/>
              </w:rPr>
            </w:pPr>
            <w:r>
              <w:rPr>
                <w:sz w:val="22"/>
                <w:szCs w:val="22"/>
              </w:rPr>
              <w:t>RKI entscheidet nicht die nationale Teststrategie</w:t>
            </w:r>
          </w:p>
          <w:p>
            <w:pPr>
              <w:pStyle w:val="Listenabsatz"/>
              <w:numPr>
                <w:ilvl w:val="1"/>
                <w:numId w:val="44"/>
              </w:numPr>
              <w:ind w:left="876"/>
              <w:rPr>
                <w:sz w:val="22"/>
                <w:szCs w:val="22"/>
              </w:rPr>
            </w:pPr>
            <w:r>
              <w:rPr>
                <w:sz w:val="22"/>
                <w:szCs w:val="22"/>
              </w:rPr>
              <w:t>Tool ist sehr interessant um Maßnahmen zu quantifizieren und an der Realität zu schärfen, dies erlaubt evtl. die Maßnahmen zu optimieren, ist ggf. auch für Testungen im Inland interessant (z.B. asymptomatische Personen)</w:t>
            </w:r>
          </w:p>
          <w:p>
            <w:pPr>
              <w:pStyle w:val="Listenabsatz"/>
              <w:numPr>
                <w:ilvl w:val="1"/>
                <w:numId w:val="44"/>
              </w:numPr>
              <w:ind w:left="876"/>
              <w:rPr>
                <w:sz w:val="22"/>
                <w:szCs w:val="22"/>
              </w:rPr>
            </w:pPr>
            <w:r>
              <w:rPr>
                <w:sz w:val="22"/>
                <w:szCs w:val="22"/>
              </w:rPr>
              <w:t>Tool wird in vom BMG geleitete AG Diagnostik eingebracht</w:t>
            </w:r>
          </w:p>
          <w:p>
            <w:pPr>
              <w:pStyle w:val="Listenabsatz"/>
              <w:numPr>
                <w:ilvl w:val="1"/>
                <w:numId w:val="44"/>
              </w:numPr>
              <w:ind w:left="876"/>
              <w:rPr>
                <w:sz w:val="22"/>
                <w:szCs w:val="22"/>
              </w:rPr>
            </w:pPr>
            <w:r>
              <w:rPr>
                <w:sz w:val="22"/>
                <w:szCs w:val="22"/>
              </w:rPr>
              <w:t>Nach Tool machen zwei Tests und dazwischen Kurzquarantäne bezüglich Risikoreduktion am meisten Sinn (auch nach Drosten)</w:t>
            </w:r>
          </w:p>
          <w:p>
            <w:pPr>
              <w:pStyle w:val="Listenabsatz"/>
              <w:numPr>
                <w:ilvl w:val="1"/>
                <w:numId w:val="44"/>
              </w:numPr>
              <w:ind w:left="876"/>
              <w:rPr>
                <w:sz w:val="22"/>
                <w:szCs w:val="22"/>
              </w:rPr>
            </w:pPr>
            <w:r>
              <w:rPr>
                <w:sz w:val="22"/>
                <w:szCs w:val="22"/>
              </w:rPr>
              <w:t>Modell macht Annahmen zur Prävalenz, Risikoverhalten, usw. hierzu sind unsere Eingaben beliebig und nicht immer passend (z.B. Partyurlaub vs. Einsiedlerurlaub, Exposition der Rückehrenden ist unbekannt), allgemeines Vorgehen kann jedoch abgeleitet werden</w:t>
            </w:r>
          </w:p>
          <w:p>
            <w:pPr>
              <w:pStyle w:val="Listenabsatz"/>
              <w:numPr>
                <w:ilvl w:val="1"/>
                <w:numId w:val="44"/>
              </w:numPr>
              <w:ind w:left="876"/>
              <w:rPr>
                <w:sz w:val="22"/>
                <w:szCs w:val="22"/>
              </w:rPr>
            </w:pPr>
            <w:r>
              <w:rPr>
                <w:sz w:val="22"/>
                <w:szCs w:val="22"/>
              </w:rPr>
              <w:lastRenderedPageBreak/>
              <w:t>Zur Operationalisierung können z.B. Szenarien dargestellt werden, Entscheidungen wären näher an der Evidenz auch wenn ihnen Annahmen unterliegen</w:t>
            </w:r>
          </w:p>
          <w:p>
            <w:pPr>
              <w:pStyle w:val="Listenabsatz"/>
              <w:numPr>
                <w:ilvl w:val="1"/>
                <w:numId w:val="44"/>
              </w:numPr>
              <w:ind w:left="876"/>
              <w:rPr>
                <w:sz w:val="22"/>
                <w:szCs w:val="22"/>
              </w:rPr>
            </w:pPr>
            <w:r>
              <w:rPr>
                <w:sz w:val="22"/>
                <w:szCs w:val="22"/>
              </w:rPr>
              <w:t>Das Tool ist zu komplex um es den Entscheidungsgebern zu überlassen, RKI kann drei Szenarien definieren</w:t>
            </w:r>
          </w:p>
          <w:p>
            <w:pPr>
              <w:pStyle w:val="Listenabsatz"/>
              <w:numPr>
                <w:ilvl w:val="1"/>
                <w:numId w:val="44"/>
              </w:numPr>
              <w:ind w:left="876"/>
              <w:rPr>
                <w:sz w:val="22"/>
                <w:szCs w:val="22"/>
              </w:rPr>
            </w:pPr>
            <w:r>
              <w:rPr>
                <w:sz w:val="22"/>
                <w:szCs w:val="22"/>
              </w:rPr>
              <w:t>Auch absolutes Risiko sollte berechnet und kommuniziert werden</w:t>
            </w:r>
          </w:p>
          <w:p>
            <w:pPr>
              <w:pStyle w:val="Listenabsatz"/>
              <w:numPr>
                <w:ilvl w:val="1"/>
                <w:numId w:val="44"/>
              </w:numPr>
              <w:ind w:left="876"/>
              <w:rPr>
                <w:sz w:val="22"/>
                <w:szCs w:val="22"/>
              </w:rPr>
            </w:pPr>
            <w:r>
              <w:rPr>
                <w:sz w:val="22"/>
                <w:szCs w:val="22"/>
              </w:rPr>
              <w:t>Tool bestätigt im Grunde RKI Stellungnahme vom Juni (zwei Tests und dazwischen Quarantäne)</w:t>
            </w:r>
          </w:p>
          <w:p>
            <w:pPr>
              <w:rPr>
                <w:sz w:val="22"/>
              </w:rPr>
            </w:pPr>
          </w:p>
        </w:tc>
        <w:tc>
          <w:tcPr>
            <w:tcW w:w="1418" w:type="dxa"/>
          </w:tcPr>
          <w:p>
            <w:pPr>
              <w:rPr>
                <w:sz w:val="22"/>
                <w:szCs w:val="22"/>
              </w:rPr>
            </w:pPr>
          </w:p>
          <w:p>
            <w:pPr>
              <w:rPr>
                <w:sz w:val="22"/>
                <w:szCs w:val="22"/>
              </w:rPr>
            </w:pPr>
          </w:p>
          <w:p>
            <w:pPr>
              <w:rPr>
                <w:sz w:val="22"/>
                <w:szCs w:val="22"/>
              </w:rPr>
            </w:pPr>
            <w:r>
              <w:rPr>
                <w:sz w:val="22"/>
                <w:szCs w:val="22"/>
              </w:rPr>
              <w:t>MF1/FG17</w:t>
            </w:r>
          </w:p>
        </w:tc>
      </w:tr>
      <w:tr>
        <w:tblPrEx>
          <w:tblLook w:val="00A0" w:firstRow="1" w:lastRow="0" w:firstColumn="1" w:lastColumn="0" w:noHBand="0" w:noVBand="0"/>
        </w:tblPrEx>
        <w:tc>
          <w:tcPr>
            <w:tcW w:w="684" w:type="dxa"/>
          </w:tcPr>
          <w:p>
            <w:pPr>
              <w:rPr>
                <w:b/>
              </w:rPr>
            </w:pPr>
            <w:r>
              <w:rPr>
                <w:b/>
              </w:rPr>
              <w:t>12</w:t>
            </w:r>
          </w:p>
        </w:tc>
        <w:tc>
          <w:tcPr>
            <w:tcW w:w="6795" w:type="dxa"/>
          </w:tcPr>
          <w:p>
            <w:pPr>
              <w:spacing w:line="276" w:lineRule="auto"/>
              <w:rPr>
                <w:b/>
                <w:sz w:val="22"/>
              </w:rPr>
            </w:pPr>
            <w:r>
              <w:rPr>
                <w:b/>
                <w:sz w:val="28"/>
              </w:rPr>
              <w:t>Surveillance</w:t>
            </w:r>
          </w:p>
          <w:p>
            <w:pPr>
              <w:spacing w:line="276" w:lineRule="auto"/>
              <w:rPr>
                <w:b/>
                <w:sz w:val="22"/>
              </w:rPr>
            </w:pPr>
            <w:r>
              <w:rPr>
                <w:b/>
                <w:sz w:val="22"/>
                <w:szCs w:val="22"/>
              </w:rPr>
              <w:t>Clinco 100 (Studie zu Ausbruch mit GA Berlin Mitte)</w:t>
            </w:r>
          </w:p>
          <w:p>
            <w:pPr>
              <w:pStyle w:val="Listenabsatz"/>
              <w:numPr>
                <w:ilvl w:val="0"/>
                <w:numId w:val="31"/>
              </w:numPr>
              <w:ind w:left="450" w:hanging="232"/>
              <w:rPr>
                <w:sz w:val="22"/>
                <w:szCs w:val="22"/>
              </w:rPr>
            </w:pPr>
            <w:r>
              <w:rPr>
                <w:sz w:val="22"/>
                <w:szCs w:val="22"/>
              </w:rPr>
              <w:t>Auf Freitag verschoben</w:t>
            </w:r>
          </w:p>
          <w:p>
            <w:pPr>
              <w:rPr>
                <w:sz w:val="22"/>
                <w:szCs w:val="22"/>
              </w:rPr>
            </w:pPr>
          </w:p>
        </w:tc>
        <w:tc>
          <w:tcPr>
            <w:tcW w:w="1418" w:type="dxa"/>
          </w:tcPr>
          <w:p>
            <w:pPr>
              <w:rPr>
                <w:sz w:val="22"/>
                <w:szCs w:val="22"/>
              </w:rPr>
            </w:pPr>
          </w:p>
          <w:p>
            <w:pPr>
              <w:rPr>
                <w:sz w:val="22"/>
                <w:szCs w:val="22"/>
              </w:rPr>
            </w:pPr>
          </w:p>
          <w:p>
            <w:pPr>
              <w:rPr>
                <w:sz w:val="22"/>
                <w:szCs w:val="22"/>
              </w:rPr>
            </w:pPr>
          </w:p>
        </w:tc>
      </w:tr>
      <w:tr>
        <w:tblPrEx>
          <w:tblLook w:val="00A0" w:firstRow="1" w:lastRow="0" w:firstColumn="1" w:lastColumn="0" w:noHBand="0" w:noVBand="0"/>
        </w:tblPrEx>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spacing w:line="276" w:lineRule="auto"/>
              <w:rPr>
                <w:b/>
                <w:sz w:val="22"/>
              </w:rPr>
            </w:pPr>
            <w:r>
              <w:rPr>
                <w:b/>
                <w:sz w:val="22"/>
                <w:szCs w:val="22"/>
              </w:rPr>
              <w:t>Aussteigerkarten</w:t>
            </w:r>
          </w:p>
          <w:p>
            <w:pPr>
              <w:pStyle w:val="Listenabsatz"/>
              <w:numPr>
                <w:ilvl w:val="0"/>
                <w:numId w:val="31"/>
              </w:numPr>
              <w:ind w:left="450" w:hanging="232"/>
              <w:rPr>
                <w:sz w:val="22"/>
                <w:szCs w:val="22"/>
              </w:rPr>
            </w:pPr>
            <w:r>
              <w:rPr>
                <w:sz w:val="22"/>
                <w:szCs w:val="22"/>
              </w:rPr>
              <w:t>Große Heterogenität in den BL im Vorgehen, in Frankfurt testet Hundertschaft von Soldaten die Aussteigerkarten, diese werden an GA gefaxt, Faxmaschinen sind überlastet, ein paralleles PLZ Tool ist gewünscht, insgesamt großes Chaos</w:t>
            </w:r>
          </w:p>
          <w:p>
            <w:pPr>
              <w:pStyle w:val="Listenabsatz"/>
              <w:numPr>
                <w:ilvl w:val="0"/>
                <w:numId w:val="31"/>
              </w:numPr>
              <w:ind w:left="450" w:hanging="232"/>
              <w:rPr>
                <w:sz w:val="22"/>
                <w:szCs w:val="22"/>
              </w:rPr>
            </w:pPr>
            <w:r>
              <w:rPr>
                <w:sz w:val="22"/>
                <w:szCs w:val="22"/>
              </w:rPr>
              <w:t>Gestern war dies auch lange Thema bei der EpiLag und AGI TK, Personen kommen nicht an ihre Testergebnisse, Vorgang ist auch nicht rechtskonform, Verwirrung bezgl. der GA-Verantwortung</w:t>
            </w:r>
          </w:p>
          <w:p>
            <w:pPr>
              <w:pStyle w:val="Listenabsatz"/>
              <w:numPr>
                <w:ilvl w:val="0"/>
                <w:numId w:val="31"/>
              </w:numPr>
              <w:ind w:left="450" w:hanging="232"/>
              <w:rPr>
                <w:sz w:val="22"/>
                <w:szCs w:val="22"/>
              </w:rPr>
            </w:pPr>
            <w:r>
              <w:rPr>
                <w:sz w:val="22"/>
                <w:szCs w:val="22"/>
              </w:rPr>
              <w:t>Probenaufgabescheine werden teilweise einfach kopiert, dann können diese (zum einmaligen Gebrauch bestimmt) nicht mehr zugeordnet werden (auch CWA-Usern)</w:t>
            </w:r>
          </w:p>
          <w:p>
            <w:pPr>
              <w:pStyle w:val="Listenabsatz"/>
              <w:numPr>
                <w:ilvl w:val="0"/>
                <w:numId w:val="31"/>
              </w:numPr>
              <w:ind w:left="450" w:hanging="232"/>
              <w:rPr>
                <w:sz w:val="22"/>
                <w:szCs w:val="22"/>
              </w:rPr>
            </w:pPr>
            <w:r>
              <w:rPr>
                <w:sz w:val="22"/>
                <w:szCs w:val="22"/>
              </w:rPr>
              <w:t>Labore werden mit vielen Dingen konfrontiert, aktuell wildes Durcheinander welches zu Verwirrung führt</w:t>
            </w:r>
          </w:p>
          <w:p>
            <w:pPr>
              <w:pStyle w:val="Listenabsatz"/>
              <w:numPr>
                <w:ilvl w:val="0"/>
                <w:numId w:val="31"/>
              </w:numPr>
              <w:ind w:left="450" w:hanging="232"/>
              <w:rPr>
                <w:sz w:val="22"/>
                <w:szCs w:val="22"/>
              </w:rPr>
            </w:pPr>
            <w:r>
              <w:rPr>
                <w:sz w:val="22"/>
                <w:szCs w:val="22"/>
              </w:rPr>
              <w:t>Es wird mit Hochdruck an elektronischen Lösungen gearbeitet, dies war schon lange absehbar, ist in der Umsetzung schwierig</w:t>
            </w:r>
          </w:p>
          <w:p>
            <w:pPr>
              <w:pStyle w:val="Listenabsatz"/>
              <w:numPr>
                <w:ilvl w:val="0"/>
                <w:numId w:val="31"/>
              </w:numPr>
              <w:ind w:left="450" w:hanging="232"/>
              <w:rPr>
                <w:sz w:val="22"/>
                <w:szCs w:val="22"/>
              </w:rPr>
            </w:pPr>
            <w:r>
              <w:rPr>
                <w:sz w:val="22"/>
                <w:szCs w:val="22"/>
              </w:rPr>
              <w:t>Es gibt eine AG hierzu mit BMI, BMG, BMVI, inklusive Länder-vertretungen, RKI sieht sich nicht permanent als Mitglied dieser AG und möchte sich zurückhalten und nur gezielt bei Fragen unterstützen</w:t>
            </w:r>
          </w:p>
          <w:p>
            <w:pPr>
              <w:pStyle w:val="Listenabsatz"/>
              <w:numPr>
                <w:ilvl w:val="0"/>
                <w:numId w:val="31"/>
              </w:numPr>
              <w:ind w:left="450" w:hanging="232"/>
              <w:rPr>
                <w:sz w:val="22"/>
                <w:szCs w:val="22"/>
              </w:rPr>
            </w:pPr>
            <w:r>
              <w:rPr>
                <w:sz w:val="22"/>
                <w:szCs w:val="22"/>
              </w:rPr>
              <w:t>Manchmal werden auf politischer Ebene Wünsche geäußert (und durchgesetzt) von denen angenommen wird, dass sie einfach sind, wo jedoch technische Infrastruktur nicht gegeben ist</w:t>
            </w:r>
          </w:p>
          <w:p>
            <w:pPr>
              <w:pStyle w:val="Listenabsatz"/>
              <w:numPr>
                <w:ilvl w:val="0"/>
                <w:numId w:val="31"/>
              </w:numPr>
              <w:ind w:left="450" w:hanging="232"/>
              <w:rPr>
                <w:sz w:val="22"/>
                <w:szCs w:val="22"/>
              </w:rPr>
            </w:pPr>
            <w:r>
              <w:rPr>
                <w:sz w:val="22"/>
                <w:szCs w:val="22"/>
              </w:rPr>
              <w:t>Für Spanien z.B. gibt es einen kurzen online-Fragebogen der vor der Einreise ausgefüllt werden muss, Daten werden bei Ankunft über QR-Codes erfasst</w:t>
            </w:r>
          </w:p>
          <w:p>
            <w:pPr>
              <w:pStyle w:val="Listenabsatz"/>
              <w:numPr>
                <w:ilvl w:val="0"/>
                <w:numId w:val="31"/>
              </w:numPr>
              <w:ind w:left="450" w:hanging="232"/>
              <w:rPr>
                <w:sz w:val="22"/>
                <w:szCs w:val="22"/>
              </w:rPr>
            </w:pPr>
            <w:r>
              <w:rPr>
                <w:sz w:val="22"/>
                <w:szCs w:val="22"/>
              </w:rPr>
              <w:t>Was kann RKI zur Lösung beitragen? Nicht klar, eindeutigere Kommunikation?</w:t>
            </w:r>
          </w:p>
          <w:p>
            <w:pPr>
              <w:pStyle w:val="Listenabsatz"/>
              <w:numPr>
                <w:ilvl w:val="0"/>
                <w:numId w:val="31"/>
              </w:numPr>
              <w:ind w:left="450" w:hanging="232"/>
              <w:rPr>
                <w:sz w:val="22"/>
                <w:szCs w:val="22"/>
              </w:rPr>
            </w:pPr>
            <w:r>
              <w:rPr>
                <w:sz w:val="22"/>
                <w:szCs w:val="22"/>
              </w:rPr>
              <w:t xml:space="preserve">Ist bekannt wie die einzelnen deutschen </w:t>
            </w:r>
            <w:proofErr w:type="spellStart"/>
            <w:r>
              <w:rPr>
                <w:sz w:val="22"/>
                <w:szCs w:val="22"/>
              </w:rPr>
              <w:t>PoEs</w:t>
            </w:r>
            <w:proofErr w:type="spellEnd"/>
            <w:r>
              <w:rPr>
                <w:sz w:val="22"/>
                <w:szCs w:val="22"/>
              </w:rPr>
              <w:t xml:space="preserve"> es gestalten? Nein, ist am RKI nicht bekannt, es läuft aktuell eine BMG-Abfrage bei der AGI, Verständnis hiervon ist sehr wichtig</w:t>
            </w:r>
          </w:p>
          <w:p>
            <w:pPr>
              <w:pStyle w:val="Listenabsatz"/>
              <w:numPr>
                <w:ilvl w:val="0"/>
                <w:numId w:val="31"/>
              </w:numPr>
              <w:ind w:left="450" w:hanging="232"/>
              <w:rPr>
                <w:sz w:val="22"/>
                <w:szCs w:val="22"/>
              </w:rPr>
            </w:pPr>
            <w:r>
              <w:rPr>
                <w:sz w:val="22"/>
                <w:szCs w:val="22"/>
              </w:rPr>
              <w:t>Parallel versucht Janna Seifried (Abt. 3) Teststationen für die Voxco-Abfrage einzubinden</w:t>
            </w:r>
          </w:p>
          <w:p>
            <w:pPr>
              <w:pStyle w:val="Listenabsatz"/>
              <w:numPr>
                <w:ilvl w:val="0"/>
                <w:numId w:val="31"/>
              </w:numPr>
              <w:ind w:left="450" w:hanging="232"/>
              <w:rPr>
                <w:sz w:val="22"/>
                <w:szCs w:val="22"/>
              </w:rPr>
            </w:pPr>
            <w:r>
              <w:rPr>
                <w:sz w:val="22"/>
                <w:szCs w:val="22"/>
              </w:rPr>
              <w:t xml:space="preserve">Eckmanns, AL1 und AL3 sollten sich auf Basis der Strategie zur molekularer Surveillance zusammen setzen um dies zu </w:t>
            </w:r>
            <w:r>
              <w:rPr>
                <w:sz w:val="22"/>
                <w:szCs w:val="22"/>
              </w:rPr>
              <w:lastRenderedPageBreak/>
              <w:t>besprechen, eventuell können Knackpunkte und Bruchstellen für weiterführende Diskussion visualisiert werden</w:t>
            </w:r>
          </w:p>
          <w:p>
            <w:pPr>
              <w:rPr>
                <w:sz w:val="22"/>
              </w:rPr>
            </w:pPr>
          </w:p>
        </w:tc>
        <w:tc>
          <w:tcPr>
            <w:tcW w:w="1418" w:type="dxa"/>
          </w:tcPr>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tc>
      </w:tr>
      <w:tr>
        <w:tblPrEx>
          <w:tblLook w:val="00A0" w:firstRow="1" w:lastRow="0" w:firstColumn="1" w:lastColumn="0" w:noHBand="0" w:noVBand="0"/>
        </w:tblPrEx>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18" w:type="dxa"/>
          </w:tcPr>
          <w:p>
            <w:pPr>
              <w:rPr>
                <w:sz w:val="22"/>
                <w:szCs w:val="22"/>
              </w:rPr>
            </w:pPr>
          </w:p>
          <w:p>
            <w:pPr>
              <w:rPr>
                <w:sz w:val="22"/>
                <w:szCs w:val="22"/>
              </w:rPr>
            </w:pPr>
          </w:p>
          <w:p>
            <w:pPr>
              <w:rPr>
                <w:sz w:val="22"/>
                <w:szCs w:val="22"/>
              </w:rPr>
            </w:pPr>
            <w:r>
              <w:rPr>
                <w:sz w:val="22"/>
                <w:szCs w:val="22"/>
              </w:rPr>
              <w:t>FG32</w:t>
            </w:r>
          </w:p>
        </w:tc>
      </w:tr>
      <w:tr>
        <w:tblPrEx>
          <w:tblLook w:val="00A0" w:firstRow="1" w:lastRow="0" w:firstColumn="1" w:lastColumn="0" w:noHBand="0" w:noVBand="0"/>
        </w:tblPrEx>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2"/>
              </w:rPr>
            </w:pPr>
          </w:p>
        </w:tc>
        <w:tc>
          <w:tcPr>
            <w:tcW w:w="1418" w:type="dxa"/>
          </w:tcPr>
          <w:p>
            <w:pPr>
              <w:rPr>
                <w:sz w:val="22"/>
                <w:szCs w:val="22"/>
              </w:rPr>
            </w:pPr>
          </w:p>
          <w:p>
            <w:pPr>
              <w:rPr>
                <w:sz w:val="22"/>
                <w:szCs w:val="22"/>
              </w:rPr>
            </w:pPr>
            <w:r>
              <w:rPr>
                <w:sz w:val="22"/>
                <w:szCs w:val="22"/>
              </w:rPr>
              <w:t>alle</w:t>
            </w:r>
          </w:p>
        </w:tc>
      </w:tr>
      <w:tr>
        <w:tblPrEx>
          <w:tblLook w:val="00A0" w:firstRow="1" w:lastRow="0" w:firstColumn="1" w:lastColumn="0" w:noHBand="0" w:noVBand="0"/>
        </w:tblPrEx>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Freitag, 14.08.2020, 11:00 Uhr, via Vitero</w:t>
            </w:r>
          </w:p>
          <w:p>
            <w:pPr>
              <w:rPr>
                <w:sz w:val="22"/>
              </w:rPr>
            </w:pPr>
          </w:p>
        </w:tc>
        <w:tc>
          <w:tcPr>
            <w:tcW w:w="1418"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9A71AF23-BA0F-4F9B-BE31-F6B17C8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table" w:customStyle="1" w:styleId="Tabellenraster1">
    <w:name w:val="Tabellenraster1"/>
    <w:basedOn w:val="NormaleTabelle"/>
    <w:next w:val="Tabellenraster"/>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97504437">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8-12_Lage-AG\COVID-19_International_Lage_2020-08-11.pptx" TargetMode="External"/><Relationship Id="rId13" Type="http://schemas.openxmlformats.org/officeDocument/2006/relationships/hyperlink" Target="file:///S:\Wissdaten\RKI_nCoV-Lage\1.Lagemanagement\1.3.Besprechungen_TKs\1.Lage_AG\2020-08-12_Lage-AG\ToolsZumBerechnenDerTeststrategie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0-08-12_Lage-AG\Vorstellung_Tool_Teststrategien.ppt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0-08-12_Lage-AG\KontaktpersonenManagement%2009.08.2020_UR_LS.doc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rki.local\daten\Wissdaten\RKI_nCoV-Lage\1.Lagemanagement\1.3.Besprechungen_TKs\1.Lage_AG\2020-08-12_Lage-AG\20200731_Strategie_bis%20April2021_final_clean.doc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8-12_Lage-AG\Lage-National_2020-08-12.ppt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61970-49CC-4959-8DB2-76DF13D1C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2795</Words>
  <Characters>17609</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19</cp:revision>
  <dcterms:created xsi:type="dcterms:W3CDTF">2020-08-12T06:56:00Z</dcterms:created>
  <dcterms:modified xsi:type="dcterms:W3CDTF">2021-05-10T14:15:00Z</dcterms:modified>
</cp:coreProperties>
</file>