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14.08.2020,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Viterokonferenz</w:t>
          </w:r>
        </w:sdtContent>
      </w:sdt>
    </w:p>
    <w:p>
      <w:pPr>
        <w:rPr>
          <w:b/>
          <w:sz w:val="22"/>
        </w:rPr>
      </w:pPr>
      <w:r>
        <w:rPr>
          <w:b/>
          <w:sz w:val="22"/>
        </w:rPr>
        <w:t>Moderation: Osamah Hamouda</w:t>
      </w:r>
    </w:p>
    <w:p>
      <w:pPr>
        <w:spacing w:after="0"/>
        <w:rPr>
          <w:b/>
          <w:sz w:val="22"/>
        </w:rPr>
      </w:pPr>
      <w:r>
        <w:rPr>
          <w:b/>
          <w:sz w:val="22"/>
        </w:rPr>
        <w:t xml:space="preserve">Teilnehmende: </w:t>
      </w:r>
    </w:p>
    <w:p>
      <w:pPr>
        <w:pStyle w:val="Listenabsatz"/>
        <w:numPr>
          <w:ilvl w:val="0"/>
          <w:numId w:val="2"/>
        </w:numPr>
        <w:spacing w:after="0" w:line="233" w:lineRule="auto"/>
        <w:ind w:hanging="357"/>
        <w:contextualSpacing w:val="0"/>
        <w:rPr>
          <w:sz w:val="21"/>
          <w:szCs w:val="21"/>
        </w:rPr>
      </w:pPr>
      <w:r>
        <w:rPr>
          <w:sz w:val="21"/>
          <w:szCs w:val="21"/>
        </w:rPr>
        <w:t>Abt. 1</w:t>
      </w:r>
    </w:p>
    <w:p>
      <w:pPr>
        <w:pStyle w:val="Listenabsatz"/>
        <w:numPr>
          <w:ilvl w:val="1"/>
          <w:numId w:val="2"/>
        </w:numPr>
        <w:spacing w:after="0" w:line="233" w:lineRule="auto"/>
        <w:contextualSpacing w:val="0"/>
        <w:rPr>
          <w:sz w:val="21"/>
          <w:szCs w:val="21"/>
        </w:rPr>
      </w:pPr>
      <w:r>
        <w:rPr>
          <w:sz w:val="21"/>
          <w:szCs w:val="21"/>
        </w:rPr>
        <w:t>Martin Mielke</w:t>
      </w:r>
    </w:p>
    <w:p>
      <w:pPr>
        <w:pStyle w:val="Listenabsatz"/>
        <w:numPr>
          <w:ilvl w:val="0"/>
          <w:numId w:val="2"/>
        </w:numPr>
        <w:spacing w:after="0" w:line="233" w:lineRule="auto"/>
        <w:ind w:hanging="357"/>
        <w:contextualSpacing w:val="0"/>
        <w:rPr>
          <w:sz w:val="21"/>
          <w:szCs w:val="21"/>
        </w:rPr>
      </w:pPr>
      <w:r>
        <w:rPr>
          <w:sz w:val="21"/>
          <w:szCs w:val="21"/>
        </w:rPr>
        <w:t>Abt. 3</w:t>
      </w:r>
    </w:p>
    <w:p>
      <w:pPr>
        <w:pStyle w:val="Listenabsatz"/>
        <w:numPr>
          <w:ilvl w:val="1"/>
          <w:numId w:val="2"/>
        </w:numPr>
        <w:spacing w:after="0" w:line="233" w:lineRule="auto"/>
        <w:contextualSpacing w:val="0"/>
        <w:rPr>
          <w:sz w:val="21"/>
          <w:szCs w:val="21"/>
        </w:rPr>
      </w:pPr>
      <w:r>
        <w:rPr>
          <w:sz w:val="21"/>
          <w:szCs w:val="21"/>
        </w:rPr>
        <w:t>Osamah Hamouda</w:t>
      </w:r>
    </w:p>
    <w:p>
      <w:pPr>
        <w:pStyle w:val="Listenabsatz"/>
        <w:numPr>
          <w:ilvl w:val="0"/>
          <w:numId w:val="2"/>
        </w:numPr>
        <w:spacing w:after="0" w:line="233" w:lineRule="auto"/>
        <w:ind w:hanging="357"/>
        <w:contextualSpacing w:val="0"/>
        <w:rPr>
          <w:sz w:val="21"/>
          <w:szCs w:val="21"/>
        </w:rPr>
      </w:pPr>
      <w:r>
        <w:rPr>
          <w:sz w:val="21"/>
          <w:szCs w:val="21"/>
        </w:rPr>
        <w:t>ZIG</w:t>
      </w:r>
    </w:p>
    <w:p>
      <w:pPr>
        <w:pStyle w:val="Listenabsatz"/>
        <w:numPr>
          <w:ilvl w:val="1"/>
          <w:numId w:val="2"/>
        </w:numPr>
        <w:spacing w:after="0" w:line="233" w:lineRule="auto"/>
        <w:contextualSpacing w:val="0"/>
        <w:rPr>
          <w:sz w:val="21"/>
          <w:szCs w:val="21"/>
        </w:rPr>
      </w:pPr>
      <w:r>
        <w:rPr>
          <w:sz w:val="21"/>
          <w:szCs w:val="21"/>
        </w:rPr>
        <w:t>Johanna Hanefeld</w:t>
      </w:r>
    </w:p>
    <w:p>
      <w:pPr>
        <w:pStyle w:val="Listenabsatz"/>
        <w:numPr>
          <w:ilvl w:val="0"/>
          <w:numId w:val="2"/>
        </w:numPr>
        <w:spacing w:after="0"/>
        <w:contextualSpacing w:val="0"/>
        <w:rPr>
          <w:sz w:val="21"/>
          <w:szCs w:val="21"/>
        </w:rPr>
      </w:pPr>
      <w:r>
        <w:rPr>
          <w:sz w:val="21"/>
          <w:szCs w:val="21"/>
        </w:rPr>
        <w:t>FG12</w:t>
      </w:r>
    </w:p>
    <w:p>
      <w:pPr>
        <w:pStyle w:val="Listenabsatz"/>
        <w:numPr>
          <w:ilvl w:val="1"/>
          <w:numId w:val="2"/>
        </w:numPr>
        <w:spacing w:after="0" w:line="233" w:lineRule="auto"/>
        <w:contextualSpacing w:val="0"/>
        <w:rPr>
          <w:sz w:val="21"/>
          <w:szCs w:val="21"/>
        </w:rPr>
      </w:pPr>
      <w:r>
        <w:rPr>
          <w:sz w:val="21"/>
          <w:szCs w:val="21"/>
        </w:rPr>
        <w:t>Annette Mankertz</w:t>
      </w:r>
    </w:p>
    <w:p>
      <w:pPr>
        <w:pStyle w:val="Listenabsatz"/>
        <w:numPr>
          <w:ilvl w:val="0"/>
          <w:numId w:val="3"/>
        </w:numPr>
        <w:spacing w:after="0"/>
        <w:contextualSpacing w:val="0"/>
        <w:rPr>
          <w:sz w:val="21"/>
          <w:szCs w:val="21"/>
        </w:rPr>
      </w:pPr>
      <w:r>
        <w:rPr>
          <w:sz w:val="21"/>
          <w:szCs w:val="21"/>
        </w:rPr>
        <w:t>FG14</w:t>
      </w:r>
    </w:p>
    <w:p>
      <w:pPr>
        <w:pStyle w:val="Listenabsatz"/>
        <w:numPr>
          <w:ilvl w:val="1"/>
          <w:numId w:val="2"/>
        </w:numPr>
        <w:spacing w:after="0"/>
        <w:contextualSpacing w:val="0"/>
        <w:rPr>
          <w:sz w:val="21"/>
          <w:szCs w:val="21"/>
        </w:rPr>
      </w:pPr>
      <w:r>
        <w:rPr>
          <w:sz w:val="21"/>
          <w:szCs w:val="21"/>
        </w:rPr>
        <w:t>Melanie Brunke</w:t>
      </w:r>
    </w:p>
    <w:p>
      <w:pPr>
        <w:pStyle w:val="Listenabsatz"/>
        <w:numPr>
          <w:ilvl w:val="0"/>
          <w:numId w:val="3"/>
        </w:numPr>
        <w:spacing w:after="0"/>
        <w:contextualSpacing w:val="0"/>
        <w:rPr>
          <w:sz w:val="21"/>
          <w:szCs w:val="21"/>
        </w:rPr>
      </w:pPr>
      <w:r>
        <w:rPr>
          <w:sz w:val="21"/>
          <w:szCs w:val="21"/>
        </w:rPr>
        <w:t>FG17</w:t>
      </w:r>
    </w:p>
    <w:p>
      <w:pPr>
        <w:pStyle w:val="Listenabsatz"/>
        <w:numPr>
          <w:ilvl w:val="1"/>
          <w:numId w:val="2"/>
        </w:numPr>
        <w:spacing w:after="0"/>
        <w:contextualSpacing w:val="0"/>
        <w:rPr>
          <w:sz w:val="21"/>
          <w:szCs w:val="21"/>
        </w:rPr>
      </w:pPr>
      <w:r>
        <w:rPr>
          <w:sz w:val="21"/>
          <w:szCs w:val="21"/>
        </w:rPr>
        <w:t>Dschin-Je Oh</w:t>
      </w:r>
    </w:p>
    <w:p>
      <w:pPr>
        <w:pStyle w:val="Listenabsatz"/>
        <w:numPr>
          <w:ilvl w:val="0"/>
          <w:numId w:val="2"/>
        </w:numPr>
        <w:spacing w:after="0" w:line="233" w:lineRule="auto"/>
        <w:ind w:hanging="357"/>
        <w:contextualSpacing w:val="0"/>
        <w:rPr>
          <w:sz w:val="21"/>
          <w:szCs w:val="21"/>
        </w:rPr>
      </w:pPr>
      <w:r>
        <w:rPr>
          <w:sz w:val="21"/>
          <w:szCs w:val="21"/>
        </w:rPr>
        <w:t>FG24</w:t>
      </w:r>
    </w:p>
    <w:p>
      <w:pPr>
        <w:pStyle w:val="Listenabsatz"/>
        <w:numPr>
          <w:ilvl w:val="1"/>
          <w:numId w:val="2"/>
        </w:numPr>
        <w:spacing w:after="0" w:line="233" w:lineRule="auto"/>
        <w:contextualSpacing w:val="0"/>
        <w:rPr>
          <w:sz w:val="21"/>
          <w:szCs w:val="21"/>
        </w:rPr>
      </w:pPr>
      <w:r>
        <w:rPr>
          <w:sz w:val="21"/>
          <w:szCs w:val="21"/>
        </w:rPr>
        <w:t>Thomas Ziese</w:t>
      </w:r>
    </w:p>
    <w:p>
      <w:pPr>
        <w:pStyle w:val="Listenabsatz"/>
        <w:numPr>
          <w:ilvl w:val="0"/>
          <w:numId w:val="4"/>
        </w:numPr>
        <w:spacing w:after="0"/>
        <w:contextualSpacing w:val="0"/>
        <w:rPr>
          <w:sz w:val="21"/>
          <w:szCs w:val="21"/>
        </w:rPr>
      </w:pPr>
      <w:r>
        <w:rPr>
          <w:sz w:val="21"/>
          <w:szCs w:val="21"/>
        </w:rPr>
        <w:t>FG 32</w:t>
      </w:r>
    </w:p>
    <w:p>
      <w:pPr>
        <w:pStyle w:val="Listenabsatz"/>
        <w:numPr>
          <w:ilvl w:val="1"/>
          <w:numId w:val="2"/>
        </w:numPr>
        <w:spacing w:after="0"/>
        <w:contextualSpacing w:val="0"/>
        <w:rPr>
          <w:sz w:val="21"/>
          <w:szCs w:val="21"/>
        </w:rPr>
      </w:pPr>
      <w:r>
        <w:rPr>
          <w:sz w:val="21"/>
          <w:szCs w:val="21"/>
        </w:rPr>
        <w:t>Michaela Diercke</w:t>
      </w:r>
    </w:p>
    <w:p>
      <w:pPr>
        <w:pStyle w:val="Listenabsatz"/>
        <w:numPr>
          <w:ilvl w:val="1"/>
          <w:numId w:val="2"/>
        </w:numPr>
        <w:spacing w:after="0"/>
        <w:contextualSpacing w:val="0"/>
        <w:rPr>
          <w:sz w:val="21"/>
          <w:szCs w:val="21"/>
        </w:rPr>
      </w:pPr>
      <w:r>
        <w:rPr>
          <w:sz w:val="21"/>
          <w:szCs w:val="21"/>
        </w:rPr>
        <w:t>Inessa Markus</w:t>
      </w:r>
    </w:p>
    <w:p>
      <w:pPr>
        <w:pStyle w:val="Listenabsatz"/>
        <w:numPr>
          <w:ilvl w:val="1"/>
          <w:numId w:val="2"/>
        </w:numPr>
        <w:spacing w:after="0"/>
        <w:contextualSpacing w:val="0"/>
        <w:rPr>
          <w:sz w:val="21"/>
          <w:szCs w:val="21"/>
        </w:rPr>
      </w:pPr>
      <w:r>
        <w:rPr>
          <w:sz w:val="21"/>
          <w:szCs w:val="21"/>
        </w:rPr>
        <w:t>Ariane Halm</w:t>
      </w:r>
    </w:p>
    <w:p>
      <w:pPr>
        <w:pStyle w:val="Listenabsatz"/>
        <w:numPr>
          <w:ilvl w:val="1"/>
          <w:numId w:val="2"/>
        </w:numPr>
        <w:spacing w:after="0"/>
        <w:contextualSpacing w:val="0"/>
        <w:rPr>
          <w:sz w:val="21"/>
          <w:szCs w:val="21"/>
        </w:rPr>
      </w:pPr>
      <w:r>
        <w:rPr>
          <w:sz w:val="21"/>
          <w:szCs w:val="21"/>
        </w:rPr>
        <w:t>Maria an der Heiden</w:t>
      </w:r>
    </w:p>
    <w:p>
      <w:pPr>
        <w:pStyle w:val="Listenabsatz"/>
        <w:numPr>
          <w:ilvl w:val="1"/>
          <w:numId w:val="2"/>
        </w:numPr>
        <w:spacing w:after="0"/>
        <w:contextualSpacing w:val="0"/>
        <w:rPr>
          <w:sz w:val="21"/>
          <w:szCs w:val="21"/>
        </w:rPr>
      </w:pPr>
      <w:r>
        <w:rPr>
          <w:sz w:val="21"/>
          <w:szCs w:val="21"/>
        </w:rPr>
        <w:t>Ute Rexroth</w:t>
      </w:r>
    </w:p>
    <w:p>
      <w:pPr>
        <w:pStyle w:val="Listenabsatz"/>
        <w:numPr>
          <w:ilvl w:val="0"/>
          <w:numId w:val="4"/>
        </w:numPr>
        <w:spacing w:after="0"/>
        <w:contextualSpacing w:val="0"/>
        <w:rPr>
          <w:sz w:val="21"/>
          <w:szCs w:val="21"/>
        </w:rPr>
      </w:pPr>
      <w:r>
        <w:rPr>
          <w:sz w:val="21"/>
          <w:szCs w:val="21"/>
        </w:rPr>
        <w:t>FG34</w:t>
      </w:r>
    </w:p>
    <w:p>
      <w:pPr>
        <w:pStyle w:val="Listenabsatz"/>
        <w:numPr>
          <w:ilvl w:val="1"/>
          <w:numId w:val="2"/>
        </w:numPr>
        <w:spacing w:after="0"/>
        <w:contextualSpacing w:val="0"/>
        <w:rPr>
          <w:sz w:val="21"/>
          <w:szCs w:val="21"/>
        </w:rPr>
      </w:pPr>
      <w:r>
        <w:rPr>
          <w:sz w:val="21"/>
          <w:szCs w:val="21"/>
        </w:rPr>
        <w:t>Gyde Steffen</w:t>
      </w:r>
    </w:p>
    <w:p>
      <w:pPr>
        <w:pStyle w:val="Listenabsatz"/>
        <w:numPr>
          <w:ilvl w:val="1"/>
          <w:numId w:val="2"/>
        </w:numPr>
        <w:spacing w:after="0"/>
        <w:contextualSpacing w:val="0"/>
        <w:rPr>
          <w:sz w:val="21"/>
          <w:szCs w:val="21"/>
        </w:rPr>
      </w:pPr>
      <w:r>
        <w:rPr>
          <w:sz w:val="21"/>
          <w:szCs w:val="21"/>
        </w:rPr>
        <w:t>Andrea Sailer (Protokoll)</w:t>
      </w:r>
    </w:p>
    <w:p>
      <w:pPr>
        <w:pStyle w:val="Listenabsatz"/>
        <w:numPr>
          <w:ilvl w:val="0"/>
          <w:numId w:val="2"/>
        </w:numPr>
        <w:spacing w:after="0"/>
        <w:contextualSpacing w:val="0"/>
        <w:rPr>
          <w:sz w:val="21"/>
          <w:szCs w:val="21"/>
        </w:rPr>
      </w:pPr>
      <w:r>
        <w:rPr>
          <w:sz w:val="21"/>
          <w:szCs w:val="21"/>
        </w:rPr>
        <w:t>FG36</w:t>
      </w:r>
    </w:p>
    <w:p>
      <w:pPr>
        <w:pStyle w:val="Listenabsatz"/>
        <w:numPr>
          <w:ilvl w:val="1"/>
          <w:numId w:val="2"/>
        </w:numPr>
        <w:spacing w:after="0"/>
        <w:contextualSpacing w:val="0"/>
        <w:rPr>
          <w:sz w:val="21"/>
          <w:szCs w:val="21"/>
        </w:rPr>
      </w:pPr>
      <w:r>
        <w:rPr>
          <w:sz w:val="21"/>
          <w:szCs w:val="21"/>
        </w:rPr>
        <w:t>Silke Buda</w:t>
      </w:r>
    </w:p>
    <w:p>
      <w:pPr>
        <w:pStyle w:val="Listenabsatz"/>
        <w:numPr>
          <w:ilvl w:val="1"/>
          <w:numId w:val="2"/>
        </w:numPr>
        <w:spacing w:after="0"/>
        <w:contextualSpacing w:val="0"/>
        <w:rPr>
          <w:sz w:val="21"/>
          <w:szCs w:val="21"/>
        </w:rPr>
      </w:pPr>
      <w:r>
        <w:rPr>
          <w:sz w:val="21"/>
          <w:szCs w:val="21"/>
        </w:rPr>
        <w:t>Walter Haas</w:t>
      </w:r>
    </w:p>
    <w:p>
      <w:pPr>
        <w:pStyle w:val="Listenabsatz"/>
        <w:numPr>
          <w:ilvl w:val="0"/>
          <w:numId w:val="2"/>
        </w:numPr>
        <w:spacing w:after="0"/>
        <w:contextualSpacing w:val="0"/>
        <w:rPr>
          <w:sz w:val="21"/>
          <w:szCs w:val="21"/>
        </w:rPr>
      </w:pPr>
      <w:r>
        <w:rPr>
          <w:sz w:val="21"/>
          <w:szCs w:val="21"/>
        </w:rPr>
        <w:t>FG37</w:t>
      </w:r>
    </w:p>
    <w:p>
      <w:pPr>
        <w:pStyle w:val="Listenabsatz"/>
        <w:numPr>
          <w:ilvl w:val="1"/>
          <w:numId w:val="2"/>
        </w:numPr>
        <w:spacing w:after="0"/>
        <w:contextualSpacing w:val="0"/>
        <w:rPr>
          <w:sz w:val="21"/>
          <w:szCs w:val="21"/>
        </w:rPr>
      </w:pPr>
      <w:r>
        <w:rPr>
          <w:sz w:val="21"/>
          <w:szCs w:val="21"/>
        </w:rPr>
        <w:t>Nadine Muller</w:t>
      </w:r>
    </w:p>
    <w:p>
      <w:pPr>
        <w:pStyle w:val="Listenabsatz"/>
        <w:numPr>
          <w:ilvl w:val="0"/>
          <w:numId w:val="3"/>
        </w:numPr>
        <w:spacing w:after="0"/>
        <w:contextualSpacing w:val="0"/>
        <w:rPr>
          <w:sz w:val="21"/>
          <w:szCs w:val="21"/>
        </w:rPr>
      </w:pPr>
      <w:r>
        <w:rPr>
          <w:sz w:val="21"/>
          <w:szCs w:val="21"/>
        </w:rPr>
        <w:t>IBBS</w:t>
      </w:r>
    </w:p>
    <w:p>
      <w:pPr>
        <w:pStyle w:val="Listenabsatz"/>
        <w:numPr>
          <w:ilvl w:val="1"/>
          <w:numId w:val="3"/>
        </w:numPr>
        <w:spacing w:after="0"/>
        <w:contextualSpacing w:val="0"/>
        <w:rPr>
          <w:sz w:val="21"/>
          <w:szCs w:val="21"/>
        </w:rPr>
      </w:pPr>
      <w:r>
        <w:rPr>
          <w:sz w:val="21"/>
          <w:szCs w:val="21"/>
        </w:rPr>
        <w:t>Christian Herzog</w:t>
      </w:r>
    </w:p>
    <w:p>
      <w:pPr>
        <w:pStyle w:val="Listenabsatz"/>
        <w:numPr>
          <w:ilvl w:val="0"/>
          <w:numId w:val="3"/>
        </w:numPr>
        <w:spacing w:after="0"/>
        <w:contextualSpacing w:val="0"/>
        <w:rPr>
          <w:sz w:val="21"/>
          <w:szCs w:val="21"/>
        </w:rPr>
      </w:pPr>
      <w:r>
        <w:rPr>
          <w:sz w:val="21"/>
          <w:szCs w:val="21"/>
        </w:rPr>
        <w:t>P1</w:t>
      </w:r>
    </w:p>
    <w:p>
      <w:pPr>
        <w:pStyle w:val="Listenabsatz"/>
        <w:numPr>
          <w:ilvl w:val="1"/>
          <w:numId w:val="3"/>
        </w:numPr>
        <w:spacing w:after="0"/>
        <w:contextualSpacing w:val="0"/>
        <w:rPr>
          <w:sz w:val="21"/>
          <w:szCs w:val="21"/>
        </w:rPr>
      </w:pPr>
      <w:r>
        <w:rPr>
          <w:sz w:val="21"/>
          <w:szCs w:val="21"/>
        </w:rPr>
        <w:t>Christina Leuker</w:t>
      </w:r>
    </w:p>
    <w:p>
      <w:pPr>
        <w:pStyle w:val="Listenabsatz"/>
        <w:numPr>
          <w:ilvl w:val="0"/>
          <w:numId w:val="3"/>
        </w:numPr>
        <w:spacing w:after="0"/>
        <w:contextualSpacing w:val="0"/>
        <w:rPr>
          <w:sz w:val="21"/>
          <w:szCs w:val="21"/>
        </w:rPr>
      </w:pPr>
      <w:r>
        <w:rPr>
          <w:sz w:val="21"/>
          <w:szCs w:val="21"/>
        </w:rPr>
        <w:t>Presse</w:t>
      </w:r>
    </w:p>
    <w:p>
      <w:pPr>
        <w:pStyle w:val="Listenabsatz"/>
        <w:numPr>
          <w:ilvl w:val="1"/>
          <w:numId w:val="3"/>
        </w:numPr>
        <w:spacing w:after="0"/>
        <w:contextualSpacing w:val="0"/>
        <w:rPr>
          <w:sz w:val="21"/>
          <w:szCs w:val="21"/>
        </w:rPr>
      </w:pPr>
      <w:r>
        <w:rPr>
          <w:sz w:val="21"/>
          <w:szCs w:val="21"/>
        </w:rPr>
        <w:t>Ronja Wenchel</w:t>
      </w:r>
    </w:p>
    <w:p>
      <w:pPr>
        <w:pStyle w:val="Listenabsatz"/>
        <w:numPr>
          <w:ilvl w:val="0"/>
          <w:numId w:val="2"/>
        </w:numPr>
        <w:spacing w:after="0"/>
        <w:contextualSpacing w:val="0"/>
        <w:rPr>
          <w:sz w:val="21"/>
          <w:szCs w:val="21"/>
        </w:rPr>
      </w:pPr>
      <w:r>
        <w:rPr>
          <w:sz w:val="21"/>
          <w:szCs w:val="21"/>
        </w:rPr>
        <w:t>ZIG1</w:t>
      </w:r>
    </w:p>
    <w:p>
      <w:pPr>
        <w:pStyle w:val="Listenabsatz"/>
        <w:numPr>
          <w:ilvl w:val="1"/>
          <w:numId w:val="2"/>
        </w:numPr>
        <w:spacing w:after="0"/>
        <w:contextualSpacing w:val="0"/>
        <w:rPr>
          <w:sz w:val="21"/>
          <w:szCs w:val="21"/>
        </w:rPr>
      </w:pPr>
      <w:r>
        <w:rPr>
          <w:sz w:val="21"/>
          <w:szCs w:val="21"/>
        </w:rPr>
        <w:t>Eugenia Romo Ventura</w:t>
      </w:r>
    </w:p>
    <w:p>
      <w:pPr>
        <w:pStyle w:val="Listenabsatz"/>
        <w:numPr>
          <w:ilvl w:val="0"/>
          <w:numId w:val="2"/>
        </w:numPr>
        <w:spacing w:after="0"/>
        <w:ind w:left="714" w:hanging="357"/>
        <w:rPr>
          <w:sz w:val="21"/>
          <w:szCs w:val="21"/>
        </w:rPr>
      </w:pPr>
      <w:r>
        <w:rPr>
          <w:sz w:val="21"/>
          <w:szCs w:val="21"/>
        </w:rPr>
        <w:lastRenderedPageBreak/>
        <w:t>BMG</w:t>
      </w:r>
    </w:p>
    <w:p>
      <w:pPr>
        <w:pStyle w:val="Listenabsatz"/>
        <w:numPr>
          <w:ilvl w:val="1"/>
          <w:numId w:val="2"/>
        </w:numPr>
        <w:spacing w:after="0"/>
        <w:contextualSpacing w:val="0"/>
        <w:rPr>
          <w:sz w:val="21"/>
          <w:szCs w:val="21"/>
        </w:rPr>
      </w:pPr>
      <w:r>
        <w:rPr>
          <w:sz w:val="21"/>
          <w:szCs w:val="21"/>
        </w:rPr>
        <w:t>Iris Andernach</w:t>
      </w:r>
    </w:p>
    <w:p>
      <w:pPr>
        <w:pStyle w:val="Listenabsatz"/>
        <w:numPr>
          <w:ilvl w:val="1"/>
          <w:numId w:val="2"/>
        </w:numPr>
        <w:spacing w:after="0"/>
        <w:contextualSpacing w:val="0"/>
        <w:rPr>
          <w:sz w:val="22"/>
        </w:rPr>
      </w:pPr>
      <w:r>
        <w:rPr>
          <w:sz w:val="21"/>
          <w:szCs w:val="21"/>
        </w:rPr>
        <w:t>Christophe Bayer</w:t>
      </w:r>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5"/>
              </w:numPr>
              <w:ind w:left="453" w:hanging="340"/>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w:t>
            </w:r>
          </w:p>
          <w:p>
            <w:pPr>
              <w:pStyle w:val="Listenabsatz"/>
              <w:numPr>
                <w:ilvl w:val="0"/>
                <w:numId w:val="5"/>
              </w:numPr>
              <w:ind w:left="453" w:hanging="340"/>
              <w:rPr>
                <w:sz w:val="22"/>
                <w:szCs w:val="22"/>
              </w:rPr>
            </w:pPr>
            <w:r>
              <w:rPr>
                <w:sz w:val="22"/>
                <w:szCs w:val="22"/>
              </w:rPr>
              <w:t>Ca. 20,6 Mio. Fälle und ca. 750.000 Verstorbene (3,6%)</w:t>
            </w:r>
          </w:p>
          <w:p>
            <w:pPr>
              <w:pStyle w:val="Listenabsatz"/>
              <w:numPr>
                <w:ilvl w:val="0"/>
                <w:numId w:val="5"/>
              </w:numPr>
              <w:ind w:left="453" w:hanging="340"/>
              <w:rPr>
                <w:sz w:val="22"/>
                <w:szCs w:val="22"/>
              </w:rPr>
            </w:pPr>
            <w:r>
              <w:rPr>
                <w:sz w:val="22"/>
                <w:szCs w:val="22"/>
              </w:rPr>
              <w:t xml:space="preserve">Top 10 Länder nach Anzahl neuer Fälle in den letzten 7 Tagen: </w:t>
            </w:r>
          </w:p>
          <w:p>
            <w:pPr>
              <w:pStyle w:val="Listenabsatz"/>
              <w:numPr>
                <w:ilvl w:val="1"/>
                <w:numId w:val="5"/>
              </w:numPr>
              <w:ind w:left="907" w:hanging="340"/>
              <w:rPr>
                <w:sz w:val="22"/>
                <w:szCs w:val="22"/>
              </w:rPr>
            </w:pPr>
            <w:r>
              <w:rPr>
                <w:sz w:val="22"/>
                <w:szCs w:val="22"/>
              </w:rPr>
              <w:t>Bleiben unverändert</w:t>
            </w:r>
          </w:p>
          <w:p>
            <w:pPr>
              <w:pStyle w:val="Listenabsatz"/>
              <w:numPr>
                <w:ilvl w:val="0"/>
                <w:numId w:val="5"/>
              </w:numPr>
              <w:ind w:left="453" w:hanging="340"/>
              <w:rPr>
                <w:sz w:val="22"/>
                <w:szCs w:val="22"/>
              </w:rPr>
            </w:pPr>
            <w:r>
              <w:rPr>
                <w:sz w:val="22"/>
                <w:szCs w:val="22"/>
              </w:rPr>
              <w:t>7-Tages-Inzidenz pro 100.000 Einwohner</w:t>
            </w:r>
          </w:p>
          <w:p>
            <w:pPr>
              <w:pStyle w:val="Listenabsatz"/>
              <w:numPr>
                <w:ilvl w:val="1"/>
                <w:numId w:val="5"/>
              </w:numPr>
              <w:ind w:left="907" w:hanging="340"/>
              <w:rPr>
                <w:sz w:val="22"/>
                <w:szCs w:val="22"/>
              </w:rPr>
            </w:pPr>
            <w:r>
              <w:rPr>
                <w:sz w:val="22"/>
                <w:szCs w:val="22"/>
              </w:rPr>
              <w:t xml:space="preserve">35 Länder mit 7-Tages-Inzidenz &gt;50 </w:t>
            </w:r>
          </w:p>
          <w:p>
            <w:pPr>
              <w:pStyle w:val="Listenabsatz"/>
              <w:numPr>
                <w:ilvl w:val="1"/>
                <w:numId w:val="5"/>
              </w:numPr>
              <w:ind w:left="907" w:hanging="340"/>
              <w:rPr>
                <w:sz w:val="22"/>
                <w:szCs w:val="22"/>
              </w:rPr>
            </w:pPr>
            <w:r>
              <w:rPr>
                <w:sz w:val="22"/>
                <w:szCs w:val="22"/>
              </w:rPr>
              <w:t>Neu dazugekommen: Afrika: Eswatini, Amerika: Belize, Europa: Malta</w:t>
            </w:r>
          </w:p>
          <w:p>
            <w:pPr>
              <w:pStyle w:val="Listenabsatz"/>
              <w:numPr>
                <w:ilvl w:val="1"/>
                <w:numId w:val="5"/>
              </w:numPr>
              <w:ind w:left="907" w:hanging="340"/>
              <w:rPr>
                <w:sz w:val="22"/>
                <w:szCs w:val="22"/>
              </w:rPr>
            </w:pPr>
            <w:r>
              <w:rPr>
                <w:sz w:val="22"/>
                <w:szCs w:val="22"/>
              </w:rPr>
              <w:t xml:space="preserve">Nicht mehr dabei sind: Oman, San Marino, Luxemburg </w:t>
            </w:r>
          </w:p>
          <w:p>
            <w:pPr>
              <w:pStyle w:val="Listenabsatz"/>
              <w:numPr>
                <w:ilvl w:val="0"/>
                <w:numId w:val="5"/>
              </w:numPr>
              <w:ind w:left="453" w:hanging="340"/>
              <w:rPr>
                <w:sz w:val="22"/>
                <w:szCs w:val="22"/>
              </w:rPr>
            </w:pPr>
            <w:r>
              <w:rPr>
                <w:sz w:val="22"/>
                <w:szCs w:val="22"/>
              </w:rPr>
              <w:t>Zusammenfassung der Europäischen Subregionen</w:t>
            </w:r>
          </w:p>
          <w:p>
            <w:pPr>
              <w:pStyle w:val="Listenabsatz"/>
              <w:numPr>
                <w:ilvl w:val="1"/>
                <w:numId w:val="5"/>
              </w:numPr>
              <w:ind w:left="907" w:hanging="340"/>
              <w:rPr>
                <w:sz w:val="22"/>
                <w:szCs w:val="22"/>
              </w:rPr>
            </w:pPr>
            <w:r>
              <w:rPr>
                <w:sz w:val="22"/>
                <w:szCs w:val="22"/>
              </w:rPr>
              <w:t>Länder mit &gt;50 neue Fälle /100.000 Einw. in letzten 2 Tagen: einzelne Regionen in Albanien, Belgien, Bosnien und Herzegowina, Nordmazedonien, Rumänien, Spanien</w:t>
            </w:r>
          </w:p>
          <w:p>
            <w:pPr>
              <w:pStyle w:val="Listenabsatz"/>
              <w:numPr>
                <w:ilvl w:val="0"/>
                <w:numId w:val="5"/>
              </w:numPr>
              <w:ind w:left="453" w:hanging="340"/>
              <w:rPr>
                <w:sz w:val="22"/>
                <w:szCs w:val="22"/>
              </w:rPr>
            </w:pPr>
            <w:r>
              <w:rPr>
                <w:sz w:val="22"/>
                <w:szCs w:val="22"/>
              </w:rPr>
              <w:t xml:space="preserve">Spanien: </w:t>
            </w:r>
          </w:p>
          <w:p>
            <w:pPr>
              <w:pStyle w:val="Listenabsatz"/>
              <w:numPr>
                <w:ilvl w:val="1"/>
                <w:numId w:val="5"/>
              </w:numPr>
              <w:ind w:left="907" w:hanging="340"/>
              <w:rPr>
                <w:sz w:val="22"/>
                <w:szCs w:val="22"/>
              </w:rPr>
            </w:pPr>
            <w:r>
              <w:rPr>
                <w:sz w:val="22"/>
                <w:szCs w:val="22"/>
              </w:rPr>
              <w:t>Situation hat sich in letzten 2 Wochen verschlimmert. Insgesamt mehr als 300.000 Fälle mit ca. 28.500 Todesfällen, fast 9% Fallsterblichkeit</w:t>
            </w:r>
          </w:p>
          <w:p>
            <w:pPr>
              <w:pStyle w:val="Listenabsatz"/>
              <w:numPr>
                <w:ilvl w:val="1"/>
                <w:numId w:val="5"/>
              </w:numPr>
              <w:ind w:left="907" w:hanging="340"/>
              <w:rPr>
                <w:sz w:val="22"/>
                <w:szCs w:val="22"/>
              </w:rPr>
            </w:pPr>
            <w:r>
              <w:rPr>
                <w:sz w:val="22"/>
                <w:szCs w:val="22"/>
              </w:rPr>
              <w:t>In letzten 7 Tagen jedoch nur 0,23% Fallsterblichkeit, aktuellen Fälle sind jünger, als in Frühphase</w:t>
            </w:r>
          </w:p>
          <w:p>
            <w:pPr>
              <w:pStyle w:val="Listenabsatz"/>
              <w:numPr>
                <w:ilvl w:val="1"/>
                <w:numId w:val="5"/>
              </w:numPr>
              <w:ind w:left="907" w:hanging="340"/>
              <w:rPr>
                <w:sz w:val="22"/>
                <w:szCs w:val="22"/>
              </w:rPr>
            </w:pPr>
            <w:r>
              <w:rPr>
                <w:sz w:val="22"/>
                <w:szCs w:val="22"/>
              </w:rPr>
              <w:t xml:space="preserve">7-Tagesinzidenz landesweit knapp über 50 </w:t>
            </w:r>
          </w:p>
          <w:p>
            <w:pPr>
              <w:pStyle w:val="Listenabsatz"/>
              <w:numPr>
                <w:ilvl w:val="1"/>
                <w:numId w:val="5"/>
              </w:numPr>
              <w:ind w:left="907" w:hanging="340"/>
              <w:rPr>
                <w:sz w:val="22"/>
                <w:szCs w:val="22"/>
              </w:rPr>
            </w:pPr>
            <w:r>
              <w:rPr>
                <w:sz w:val="22"/>
                <w:szCs w:val="22"/>
              </w:rPr>
              <w:t>Balearen mit 7T-Inzidenz von 64,13, fast 90% junge Leute</w:t>
            </w:r>
          </w:p>
          <w:p>
            <w:pPr>
              <w:pStyle w:val="Listenabsatz"/>
              <w:numPr>
                <w:ilvl w:val="1"/>
                <w:numId w:val="5"/>
              </w:numPr>
              <w:ind w:left="907" w:hanging="340"/>
              <w:rPr>
                <w:sz w:val="22"/>
                <w:szCs w:val="22"/>
              </w:rPr>
            </w:pPr>
            <w:r>
              <w:rPr>
                <w:sz w:val="22"/>
                <w:szCs w:val="22"/>
              </w:rPr>
              <w:t>Wie groß ist der Anteil von spanischen Touristen? Keine Information hierzu gefunden, wird recherchiert.</w:t>
            </w:r>
          </w:p>
          <w:p>
            <w:pPr>
              <w:pStyle w:val="Listenabsatz"/>
              <w:numPr>
                <w:ilvl w:val="1"/>
                <w:numId w:val="5"/>
              </w:numPr>
              <w:ind w:left="907" w:hanging="340"/>
              <w:rPr>
                <w:sz w:val="22"/>
                <w:szCs w:val="22"/>
              </w:rPr>
            </w:pPr>
            <w:r>
              <w:rPr>
                <w:sz w:val="22"/>
                <w:szCs w:val="22"/>
              </w:rPr>
              <w:t xml:space="preserve">Wie viele haben Symptome und welche Symptome treten bei Fällen unter jungen Leuten auf? Keine Angaben hierzu, </w:t>
            </w:r>
          </w:p>
          <w:p>
            <w:pPr>
              <w:pStyle w:val="Listenabsatz"/>
              <w:ind w:left="907"/>
              <w:rPr>
                <w:sz w:val="22"/>
                <w:szCs w:val="22"/>
              </w:rPr>
            </w:pPr>
            <w:r>
              <w:rPr>
                <w:sz w:val="22"/>
                <w:szCs w:val="22"/>
              </w:rPr>
              <w:t>asymptomatische und milde Fälle steigen</w:t>
            </w:r>
          </w:p>
          <w:p>
            <w:pPr>
              <w:pStyle w:val="Listenabsatz"/>
              <w:numPr>
                <w:ilvl w:val="1"/>
                <w:numId w:val="5"/>
              </w:numPr>
              <w:ind w:left="907" w:hanging="340"/>
              <w:rPr>
                <w:sz w:val="22"/>
                <w:szCs w:val="22"/>
              </w:rPr>
            </w:pPr>
            <w:r>
              <w:rPr>
                <w:sz w:val="22"/>
                <w:szCs w:val="22"/>
              </w:rPr>
              <w:t>Sorge: Ballermann als neues Ischgl</w:t>
            </w:r>
          </w:p>
          <w:p>
            <w:pPr>
              <w:pStyle w:val="Listenabsatz"/>
              <w:numPr>
                <w:ilvl w:val="1"/>
                <w:numId w:val="5"/>
              </w:numPr>
              <w:ind w:left="907" w:hanging="340"/>
              <w:rPr>
                <w:sz w:val="22"/>
                <w:szCs w:val="22"/>
              </w:rPr>
            </w:pPr>
            <w:r>
              <w:rPr>
                <w:sz w:val="22"/>
                <w:szCs w:val="22"/>
              </w:rPr>
              <w:t>Inzidenz geht in verschiedenen Gebieten in Spanien hoch, im BMG wird Risikoeinstufung beraten.</w:t>
            </w:r>
          </w:p>
          <w:p>
            <w:pPr>
              <w:pStyle w:val="Listenabsatz"/>
              <w:numPr>
                <w:ilvl w:val="1"/>
                <w:numId w:val="5"/>
              </w:numPr>
              <w:ind w:left="907" w:hanging="340"/>
              <w:rPr>
                <w:sz w:val="22"/>
                <w:szCs w:val="22"/>
              </w:rPr>
            </w:pPr>
            <w:r>
              <w:rPr>
                <w:sz w:val="22"/>
                <w:szCs w:val="22"/>
              </w:rPr>
              <w:t>Aktuelle Zahl an Todesfälle sagt noch nichts über tatsächliche Todesfälle aus, da deutlicher Zeitverzug bei Todesfällen.</w:t>
            </w:r>
          </w:p>
          <w:p>
            <w:pPr>
              <w:pStyle w:val="Listenabsatz"/>
              <w:numPr>
                <w:ilvl w:val="0"/>
                <w:numId w:val="5"/>
              </w:numPr>
              <w:ind w:left="453" w:hanging="340"/>
              <w:rPr>
                <w:sz w:val="22"/>
                <w:szCs w:val="22"/>
              </w:rPr>
            </w:pPr>
            <w:r>
              <w:rPr>
                <w:sz w:val="22"/>
                <w:szCs w:val="22"/>
              </w:rPr>
              <w:t xml:space="preserve">Italien und Malta  </w:t>
            </w:r>
          </w:p>
          <w:p>
            <w:pPr>
              <w:pStyle w:val="Listenabsatz"/>
              <w:numPr>
                <w:ilvl w:val="1"/>
                <w:numId w:val="5"/>
              </w:numPr>
              <w:ind w:left="907" w:hanging="340"/>
              <w:rPr>
                <w:sz w:val="22"/>
                <w:szCs w:val="22"/>
              </w:rPr>
            </w:pPr>
            <w:r>
              <w:rPr>
                <w:sz w:val="22"/>
                <w:szCs w:val="22"/>
              </w:rPr>
              <w:t>Malta neu dazugekommen, Fälle steigen, aber nicht Todesfälle</w:t>
            </w:r>
          </w:p>
          <w:p>
            <w:pPr>
              <w:pStyle w:val="Listenabsatz"/>
              <w:ind w:left="907"/>
              <w:rPr>
                <w:sz w:val="22"/>
                <w:szCs w:val="22"/>
              </w:rPr>
            </w:pPr>
          </w:p>
          <w:p>
            <w:pPr>
              <w:spacing w:before="120" w:line="276" w:lineRule="auto"/>
              <w:rPr>
                <w:b/>
                <w:sz w:val="22"/>
                <w:szCs w:val="22"/>
              </w:rPr>
            </w:pPr>
            <w:r>
              <w:rPr>
                <w:b/>
                <w:sz w:val="22"/>
                <w:szCs w:val="22"/>
              </w:rPr>
              <w:t xml:space="preserve">National </w:t>
            </w:r>
          </w:p>
          <w:p>
            <w:pPr>
              <w:pStyle w:val="Listenabsatz"/>
              <w:numPr>
                <w:ilvl w:val="0"/>
                <w:numId w:val="5"/>
              </w:numPr>
              <w:ind w:left="453" w:hanging="340"/>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1"/>
                <w:numId w:val="8"/>
              </w:numPr>
              <w:ind w:left="907" w:hanging="340"/>
              <w:rPr>
                <w:sz w:val="22"/>
                <w:szCs w:val="22"/>
              </w:rPr>
            </w:pPr>
            <w:r>
              <w:rPr>
                <w:sz w:val="22"/>
                <w:szCs w:val="22"/>
              </w:rPr>
              <w:t xml:space="preserve">SurvNet übermittelt: 221.413 (+1.449), davon 9.225 (4,2%) Todesfälle (+14), Inzidenz  266/100.000 Einw., ca. 200.200 Genesene, Reff=1,08; 7T Reff=1,14 </w:t>
            </w:r>
          </w:p>
          <w:p>
            <w:pPr>
              <w:pStyle w:val="Listenabsatz"/>
              <w:numPr>
                <w:ilvl w:val="2"/>
                <w:numId w:val="8"/>
              </w:numPr>
              <w:ind w:left="1491" w:hanging="357"/>
              <w:rPr>
                <w:sz w:val="22"/>
                <w:szCs w:val="22"/>
              </w:rPr>
            </w:pPr>
            <w:r>
              <w:rPr>
                <w:sz w:val="22"/>
                <w:szCs w:val="22"/>
              </w:rPr>
              <w:t>deutlich über 1.000 neue Fälle</w:t>
            </w:r>
          </w:p>
          <w:p>
            <w:pPr>
              <w:pStyle w:val="Listenabsatz"/>
              <w:numPr>
                <w:ilvl w:val="1"/>
                <w:numId w:val="8"/>
              </w:numPr>
              <w:ind w:left="907" w:hanging="340"/>
              <w:rPr>
                <w:sz w:val="22"/>
                <w:szCs w:val="22"/>
              </w:rPr>
            </w:pPr>
            <w:r>
              <w:rPr>
                <w:sz w:val="22"/>
                <w:szCs w:val="22"/>
              </w:rPr>
              <w:lastRenderedPageBreak/>
              <w:t>Fälle und Todesfälle pro Bundesland</w:t>
            </w:r>
          </w:p>
          <w:p>
            <w:pPr>
              <w:pStyle w:val="Listenabsatz"/>
              <w:numPr>
                <w:ilvl w:val="2"/>
                <w:numId w:val="8"/>
              </w:numPr>
              <w:ind w:left="1491" w:hanging="357"/>
              <w:rPr>
                <w:sz w:val="22"/>
                <w:szCs w:val="22"/>
              </w:rPr>
            </w:pPr>
            <w:r>
              <w:rPr>
                <w:sz w:val="22"/>
                <w:szCs w:val="22"/>
              </w:rPr>
              <w:t>Berlin hat gestern keine Daten übermittelt. In Bayern nicht erfasste Testergebnisse werden irgendwann für Zuwachs sorgen.</w:t>
            </w:r>
          </w:p>
          <w:p>
            <w:pPr>
              <w:pStyle w:val="Listenabsatz"/>
              <w:numPr>
                <w:ilvl w:val="2"/>
                <w:numId w:val="8"/>
              </w:numPr>
              <w:ind w:left="1491" w:hanging="357"/>
              <w:rPr>
                <w:sz w:val="22"/>
                <w:szCs w:val="22"/>
              </w:rPr>
            </w:pPr>
            <w:r>
              <w:rPr>
                <w:sz w:val="22"/>
                <w:szCs w:val="22"/>
              </w:rPr>
              <w:t>Nur 3 BL mit 1stelligem Anstieg der Fallzahl</w:t>
            </w:r>
          </w:p>
          <w:p>
            <w:pPr>
              <w:pStyle w:val="Listenabsatz"/>
              <w:numPr>
                <w:ilvl w:val="2"/>
                <w:numId w:val="8"/>
              </w:numPr>
              <w:ind w:left="1491" w:hanging="357"/>
              <w:rPr>
                <w:sz w:val="22"/>
                <w:szCs w:val="22"/>
              </w:rPr>
            </w:pPr>
            <w:r>
              <w:rPr>
                <w:sz w:val="22"/>
                <w:szCs w:val="22"/>
              </w:rPr>
              <w:t>höchste 7-Tages Inzidenz in NRW</w:t>
            </w:r>
          </w:p>
          <w:p>
            <w:pPr>
              <w:pStyle w:val="Listenabsatz"/>
              <w:numPr>
                <w:ilvl w:val="1"/>
                <w:numId w:val="5"/>
              </w:numPr>
              <w:ind w:left="924" w:hanging="357"/>
              <w:rPr>
                <w:sz w:val="22"/>
                <w:szCs w:val="22"/>
              </w:rPr>
            </w:pPr>
            <w:r>
              <w:rPr>
                <w:sz w:val="22"/>
                <w:szCs w:val="22"/>
              </w:rPr>
              <w:t>Nowcasting</w:t>
            </w:r>
          </w:p>
          <w:p>
            <w:pPr>
              <w:pStyle w:val="Listenabsatz"/>
              <w:numPr>
                <w:ilvl w:val="2"/>
                <w:numId w:val="8"/>
              </w:numPr>
              <w:ind w:left="1491" w:hanging="357"/>
              <w:rPr>
                <w:sz w:val="22"/>
                <w:szCs w:val="22"/>
              </w:rPr>
            </w:pPr>
            <w:r>
              <w:rPr>
                <w:sz w:val="22"/>
                <w:szCs w:val="22"/>
              </w:rPr>
              <w:t xml:space="preserve"> Stabil um die 1</w:t>
            </w:r>
          </w:p>
          <w:p>
            <w:pPr>
              <w:pStyle w:val="Listenabsatz"/>
              <w:numPr>
                <w:ilvl w:val="1"/>
                <w:numId w:val="5"/>
              </w:numPr>
              <w:ind w:left="924" w:hanging="357"/>
              <w:rPr>
                <w:sz w:val="22"/>
                <w:szCs w:val="22"/>
              </w:rPr>
            </w:pPr>
            <w:r>
              <w:rPr>
                <w:sz w:val="22"/>
                <w:szCs w:val="22"/>
              </w:rPr>
              <w:t>7-Tages-Inzidenz nach Meldedatum Bundesländer</w:t>
            </w:r>
          </w:p>
          <w:p>
            <w:pPr>
              <w:pStyle w:val="Listenabsatz"/>
              <w:numPr>
                <w:ilvl w:val="2"/>
                <w:numId w:val="5"/>
              </w:numPr>
              <w:ind w:left="1491" w:hanging="357"/>
              <w:rPr>
                <w:sz w:val="22"/>
                <w:szCs w:val="22"/>
              </w:rPr>
            </w:pPr>
            <w:r>
              <w:rPr>
                <w:sz w:val="22"/>
                <w:szCs w:val="22"/>
              </w:rPr>
              <w:t>Sehr eindrucksvoller Anstieg der 7-Tages-Inzidenz</w:t>
            </w:r>
          </w:p>
          <w:p>
            <w:pPr>
              <w:pStyle w:val="Listenabsatz"/>
              <w:numPr>
                <w:ilvl w:val="1"/>
                <w:numId w:val="5"/>
              </w:numPr>
              <w:ind w:left="924" w:hanging="357"/>
              <w:rPr>
                <w:sz w:val="22"/>
                <w:szCs w:val="22"/>
              </w:rPr>
            </w:pPr>
            <w:r>
              <w:rPr>
                <w:sz w:val="22"/>
                <w:szCs w:val="22"/>
              </w:rPr>
              <w:t>Geografische Verteilung in Deutschland: 7-Tage-Inzidenz</w:t>
            </w:r>
          </w:p>
          <w:p>
            <w:pPr>
              <w:pStyle w:val="Listenabsatz"/>
              <w:numPr>
                <w:ilvl w:val="2"/>
                <w:numId w:val="5"/>
              </w:numPr>
              <w:ind w:left="1491" w:hanging="357"/>
              <w:rPr>
                <w:sz w:val="22"/>
                <w:szCs w:val="22"/>
              </w:rPr>
            </w:pPr>
            <w:r>
              <w:rPr>
                <w:sz w:val="22"/>
                <w:szCs w:val="22"/>
              </w:rPr>
              <w:t>Nur noch 29 LK ohne Fälle, eher im Osten von Deutschland</w:t>
            </w:r>
          </w:p>
          <w:p>
            <w:pPr>
              <w:pStyle w:val="Listenabsatz"/>
              <w:numPr>
                <w:ilvl w:val="2"/>
                <w:numId w:val="5"/>
              </w:numPr>
              <w:ind w:left="1491" w:hanging="357"/>
              <w:rPr>
                <w:sz w:val="22"/>
                <w:szCs w:val="22"/>
              </w:rPr>
            </w:pPr>
            <w:r>
              <w:rPr>
                <w:sz w:val="22"/>
                <w:szCs w:val="22"/>
              </w:rPr>
              <w:t>NRW sticht farblich hervor</w:t>
            </w:r>
          </w:p>
          <w:p>
            <w:pPr>
              <w:pStyle w:val="Listenabsatz"/>
              <w:numPr>
                <w:ilvl w:val="2"/>
                <w:numId w:val="5"/>
              </w:numPr>
              <w:ind w:left="1491" w:hanging="357"/>
              <w:rPr>
                <w:sz w:val="22"/>
                <w:szCs w:val="22"/>
              </w:rPr>
            </w:pPr>
            <w:r>
              <w:rPr>
                <w:sz w:val="22"/>
                <w:szCs w:val="22"/>
              </w:rPr>
              <w:t>Inzidenz im LK Dingolfing immer noch deutlich &gt; 50</w:t>
            </w:r>
          </w:p>
          <w:p>
            <w:pPr>
              <w:pStyle w:val="Listenabsatz"/>
              <w:numPr>
                <w:ilvl w:val="2"/>
                <w:numId w:val="5"/>
              </w:numPr>
              <w:ind w:left="1491" w:hanging="357"/>
              <w:rPr>
                <w:sz w:val="22"/>
                <w:szCs w:val="22"/>
              </w:rPr>
            </w:pPr>
            <w:r>
              <w:rPr>
                <w:sz w:val="22"/>
                <w:szCs w:val="22"/>
              </w:rPr>
              <w:t>Weitere 7 LK mit Inzidenz &gt;25</w:t>
            </w:r>
          </w:p>
          <w:p>
            <w:pPr>
              <w:pStyle w:val="Listenabsatz"/>
              <w:numPr>
                <w:ilvl w:val="1"/>
                <w:numId w:val="5"/>
              </w:numPr>
              <w:ind w:left="924" w:hanging="357"/>
              <w:rPr>
                <w:sz w:val="22"/>
                <w:szCs w:val="22"/>
              </w:rPr>
            </w:pPr>
            <w:r>
              <w:rPr>
                <w:sz w:val="22"/>
                <w:szCs w:val="22"/>
              </w:rPr>
              <w:t xml:space="preserve">Landkreise mit höchsten Fallzahlen in letzten 7 Tagen: </w:t>
            </w:r>
          </w:p>
          <w:p>
            <w:pPr>
              <w:pStyle w:val="Listenabsatz"/>
              <w:numPr>
                <w:ilvl w:val="2"/>
                <w:numId w:val="5"/>
              </w:numPr>
              <w:ind w:left="1491" w:hanging="357"/>
              <w:rPr>
                <w:sz w:val="22"/>
                <w:szCs w:val="22"/>
              </w:rPr>
            </w:pPr>
            <w:r>
              <w:rPr>
                <w:sz w:val="22"/>
                <w:szCs w:val="22"/>
              </w:rPr>
              <w:t>In 10 LK über 100 Fälle aufgetreten, vor allem in Großstädten. Noch wurden keine Kapazitätsengpässe berichtet, Befürchtung GA kommen an Grenzen</w:t>
            </w:r>
          </w:p>
          <w:p>
            <w:pPr>
              <w:pStyle w:val="Listenabsatz"/>
              <w:numPr>
                <w:ilvl w:val="2"/>
                <w:numId w:val="5"/>
              </w:numPr>
              <w:ind w:left="1491" w:hanging="357"/>
              <w:rPr>
                <w:sz w:val="22"/>
                <w:szCs w:val="22"/>
              </w:rPr>
            </w:pPr>
            <w:r>
              <w:rPr>
                <w:sz w:val="22"/>
                <w:szCs w:val="22"/>
              </w:rPr>
              <w:t xml:space="preserve">Einige LK mit Inzidenzen knapp unter 25 </w:t>
            </w:r>
          </w:p>
          <w:p>
            <w:pPr>
              <w:pStyle w:val="Listenabsatz"/>
              <w:numPr>
                <w:ilvl w:val="1"/>
                <w:numId w:val="5"/>
              </w:numPr>
              <w:ind w:left="924" w:hanging="357"/>
              <w:rPr>
                <w:sz w:val="22"/>
                <w:szCs w:val="22"/>
              </w:rPr>
            </w:pPr>
            <w:r>
              <w:rPr>
                <w:sz w:val="22"/>
                <w:szCs w:val="22"/>
              </w:rPr>
              <w:t>Aktuelle Ausbrüche</w:t>
            </w:r>
          </w:p>
          <w:p>
            <w:pPr>
              <w:pStyle w:val="Listenabsatz"/>
              <w:numPr>
                <w:ilvl w:val="2"/>
                <w:numId w:val="5"/>
              </w:numPr>
              <w:ind w:left="1491" w:hanging="357"/>
              <w:rPr>
                <w:sz w:val="22"/>
                <w:szCs w:val="22"/>
              </w:rPr>
            </w:pPr>
            <w:r>
              <w:rPr>
                <w:sz w:val="22"/>
                <w:szCs w:val="22"/>
              </w:rPr>
              <w:t>SK Herne: noch keine offiziellen Informationen, vermutlich auf Reiserückkehrer zurückzuführen</w:t>
            </w:r>
          </w:p>
          <w:p>
            <w:pPr>
              <w:pStyle w:val="Listenabsatz"/>
              <w:numPr>
                <w:ilvl w:val="2"/>
                <w:numId w:val="5"/>
              </w:numPr>
              <w:ind w:left="1491" w:hanging="357"/>
              <w:rPr>
                <w:sz w:val="22"/>
                <w:szCs w:val="22"/>
              </w:rPr>
            </w:pPr>
            <w:r>
              <w:rPr>
                <w:sz w:val="22"/>
                <w:szCs w:val="22"/>
              </w:rPr>
              <w:t>SK Stuttgart: erst Reiserückkehrer aus Partyort in Kroatien, führte zu Folgeinfektionen (Geburtstagsfeier) in Deutschland</w:t>
            </w:r>
          </w:p>
          <w:p>
            <w:pPr>
              <w:pStyle w:val="Listenabsatz"/>
              <w:numPr>
                <w:ilvl w:val="1"/>
                <w:numId w:val="5"/>
              </w:numPr>
              <w:ind w:left="924" w:hanging="357"/>
              <w:rPr>
                <w:sz w:val="22"/>
                <w:szCs w:val="22"/>
              </w:rPr>
            </w:pPr>
            <w:r>
              <w:rPr>
                <w:sz w:val="22"/>
                <w:szCs w:val="22"/>
              </w:rPr>
              <w:t>Wöchentliche Sterbefallzahlen in Deutschland</w:t>
            </w:r>
          </w:p>
          <w:p>
            <w:pPr>
              <w:pStyle w:val="Listenabsatz"/>
              <w:numPr>
                <w:ilvl w:val="2"/>
                <w:numId w:val="5"/>
              </w:numPr>
              <w:ind w:left="1491" w:hanging="357"/>
              <w:rPr>
                <w:sz w:val="22"/>
                <w:szCs w:val="22"/>
              </w:rPr>
            </w:pPr>
            <w:r>
              <w:rPr>
                <w:sz w:val="22"/>
                <w:szCs w:val="22"/>
              </w:rPr>
              <w:t xml:space="preserve">4 Wochen Verzug, aktuellste Daten von Juli: Es gibt keine Übersterblichkeit mehr. </w:t>
            </w:r>
          </w:p>
          <w:p>
            <w:pPr>
              <w:pStyle w:val="Listenabsatz"/>
              <w:ind w:left="1491"/>
              <w:rPr>
                <w:sz w:val="22"/>
                <w:szCs w:val="22"/>
              </w:rPr>
            </w:pPr>
          </w:p>
          <w:p>
            <w:pPr>
              <w:pStyle w:val="Listenabsatz"/>
              <w:numPr>
                <w:ilvl w:val="0"/>
                <w:numId w:val="5"/>
              </w:numPr>
              <w:ind w:left="453" w:hanging="340"/>
              <w:rPr>
                <w:sz w:val="22"/>
                <w:szCs w:val="22"/>
              </w:rPr>
            </w:pPr>
            <w:r>
              <w:rPr>
                <w:sz w:val="22"/>
                <w:szCs w:val="22"/>
              </w:rPr>
              <w:t xml:space="preserve">Befürchtung: Anstieg wird sich weiter fortsetzen und beschleunigen, nur wenige Interventionsmöglichkeiten. </w:t>
            </w:r>
          </w:p>
          <w:p>
            <w:pPr>
              <w:pStyle w:val="Listenabsatz"/>
              <w:numPr>
                <w:ilvl w:val="1"/>
                <w:numId w:val="5"/>
              </w:numPr>
              <w:ind w:left="924" w:hanging="357"/>
              <w:rPr>
                <w:sz w:val="22"/>
                <w:szCs w:val="22"/>
              </w:rPr>
            </w:pPr>
            <w:r>
              <w:rPr>
                <w:sz w:val="22"/>
                <w:szCs w:val="22"/>
              </w:rPr>
              <w:t>Gestern wurde beim Expertenbeirat Influenza bei einem Gespräch mit Hr. Dietrich von BzGA zum Ausdruck gebracht, dass ein stärkeres Engagement der BzGA wünschenswert wäre. BzGA hat Erfahrungen mit Kampagnen, die mehr auf Situation eingehen und nicht nur auf Risikogruppen. Es fehlen Mittel diese umzusetzen. Vorrangig sollten junge Männer angesprochen werden.</w:t>
            </w:r>
          </w:p>
          <w:p>
            <w:pPr>
              <w:pStyle w:val="Listenabsatz"/>
              <w:numPr>
                <w:ilvl w:val="1"/>
                <w:numId w:val="5"/>
              </w:numPr>
              <w:ind w:left="924" w:hanging="357"/>
              <w:rPr>
                <w:sz w:val="22"/>
                <w:szCs w:val="22"/>
              </w:rPr>
            </w:pPr>
            <w:r>
              <w:rPr>
                <w:sz w:val="22"/>
                <w:szCs w:val="22"/>
              </w:rPr>
              <w:t>Verhaltensänderungen von Menschen über einen langen Zeitraum zu bewirken ist schwierig. Wenig Hoffnung, dass Appelle erfolgreich sind.</w:t>
            </w:r>
          </w:p>
          <w:p>
            <w:pPr>
              <w:pStyle w:val="Listenabsatz"/>
              <w:numPr>
                <w:ilvl w:val="1"/>
                <w:numId w:val="5"/>
              </w:numPr>
              <w:ind w:left="924" w:hanging="357"/>
              <w:rPr>
                <w:sz w:val="22"/>
                <w:szCs w:val="22"/>
              </w:rPr>
            </w:pPr>
            <w:r>
              <w:rPr>
                <w:sz w:val="22"/>
                <w:szCs w:val="22"/>
              </w:rPr>
              <w:t>War nicht eine bildhafte Darstellung von typischen Ansteckungssituationen geplant? Vielleicht ist man auf dieser Ebene erfolgreicher.</w:t>
            </w:r>
          </w:p>
          <w:p>
            <w:pPr>
              <w:pStyle w:val="Listenabsatz"/>
              <w:numPr>
                <w:ilvl w:val="1"/>
                <w:numId w:val="5"/>
              </w:numPr>
              <w:ind w:left="924" w:hanging="357"/>
              <w:rPr>
                <w:sz w:val="22"/>
                <w:szCs w:val="22"/>
              </w:rPr>
            </w:pPr>
            <w:r>
              <w:rPr>
                <w:sz w:val="22"/>
                <w:szCs w:val="22"/>
              </w:rPr>
              <w:t>Studie des MPI dazu, wie sich Leute Informationen suchen, kommt zu dem Schluss, dass sich jüngere Leute weniger informieren und auch nicht bei klassischen Informations</w:t>
            </w:r>
            <w:r>
              <w:rPr>
                <w:sz w:val="22"/>
                <w:szCs w:val="22"/>
              </w:rPr>
              <w:softHyphen/>
              <w:t>kanälen. BzGA hat eigentlich Konzepte, wie sie zielgruppenspezifisch informieren kann.</w:t>
            </w:r>
          </w:p>
          <w:p>
            <w:pPr>
              <w:pStyle w:val="Listenabsatz"/>
              <w:numPr>
                <w:ilvl w:val="1"/>
                <w:numId w:val="5"/>
              </w:numPr>
              <w:ind w:left="924" w:hanging="357"/>
              <w:rPr>
                <w:sz w:val="22"/>
                <w:szCs w:val="22"/>
              </w:rPr>
            </w:pPr>
            <w:r>
              <w:rPr>
                <w:sz w:val="22"/>
                <w:szCs w:val="22"/>
              </w:rPr>
              <w:lastRenderedPageBreak/>
              <w:t>Einzelne Botschaften sollten konkret formuliert werden: Gefahr eines Eintrags von jungen zu älteren Personen,  Abstand halten, kleinere Feiern, Risikogebiete meiden.</w:t>
            </w:r>
          </w:p>
          <w:p>
            <w:pPr>
              <w:pStyle w:val="Listenabsatz"/>
              <w:numPr>
                <w:ilvl w:val="1"/>
                <w:numId w:val="5"/>
              </w:numPr>
              <w:ind w:left="924" w:hanging="357"/>
              <w:rPr>
                <w:sz w:val="22"/>
                <w:szCs w:val="22"/>
              </w:rPr>
            </w:pPr>
            <w:r>
              <w:rPr>
                <w:sz w:val="22"/>
                <w:szCs w:val="22"/>
              </w:rPr>
              <w:t>Anmerkung fürs BMG: Nur über Risikogebiete und Reiserückkehrer zu sprechen, lenkt den Fokus in die falsche Richtung. Der Positivenanteil ist bei Reiserückkehrern nicht viel höher als im Land. Nicht geredet wird über Informationskampagnen, die eigentlich adressiert werden sollten.</w:t>
            </w:r>
          </w:p>
          <w:p>
            <w:pPr>
              <w:pStyle w:val="Listenabsatz"/>
              <w:numPr>
                <w:ilvl w:val="1"/>
                <w:numId w:val="5"/>
              </w:numPr>
              <w:ind w:left="924" w:hanging="357"/>
              <w:rPr>
                <w:sz w:val="22"/>
                <w:szCs w:val="22"/>
              </w:rPr>
            </w:pPr>
            <w:r>
              <w:rPr>
                <w:sz w:val="22"/>
                <w:szCs w:val="22"/>
              </w:rPr>
              <w:t>Hr. Bayer sieht das genauso, sollte bei morgendlicher Lage angesprochen werden, auch die Risikokommunikation. Beides wurde bereits diverse Male vorgebracht.</w:t>
            </w:r>
          </w:p>
          <w:p>
            <w:pPr>
              <w:pStyle w:val="Listenabsatz"/>
              <w:numPr>
                <w:ilvl w:val="1"/>
                <w:numId w:val="5"/>
              </w:numPr>
              <w:ind w:left="924" w:hanging="357"/>
              <w:rPr>
                <w:sz w:val="22"/>
                <w:szCs w:val="22"/>
              </w:rPr>
            </w:pPr>
            <w:r>
              <w:rPr>
                <w:sz w:val="22"/>
                <w:szCs w:val="22"/>
              </w:rPr>
              <w:t>Steuerbarkeit der Medien ist aktuell sehr schwierig. Presse versucht das auch mit dem Argument, dass immer noch die meisten Ansteckungen in Deutschland stattfinden. Im Moment wenig Durchkommen mit Argumenten.</w:t>
            </w:r>
          </w:p>
          <w:p>
            <w:pPr>
              <w:pStyle w:val="Listenabsatz"/>
              <w:numPr>
                <w:ilvl w:val="1"/>
                <w:numId w:val="5"/>
              </w:numPr>
              <w:ind w:left="924" w:hanging="357"/>
              <w:rPr>
                <w:sz w:val="22"/>
                <w:szCs w:val="22"/>
              </w:rPr>
            </w:pPr>
            <w:r>
              <w:rPr>
                <w:sz w:val="22"/>
                <w:szCs w:val="22"/>
              </w:rPr>
              <w:t>Evtl. Text dazu im Epid. Bull, besser noch, im täglichen Situationsbericht die Einschätzung verstärken.</w:t>
            </w:r>
          </w:p>
          <w:p>
            <w:pPr>
              <w:pStyle w:val="Listenabsatz"/>
              <w:numPr>
                <w:ilvl w:val="1"/>
                <w:numId w:val="5"/>
              </w:numPr>
              <w:ind w:left="924" w:hanging="357"/>
              <w:rPr>
                <w:sz w:val="22"/>
                <w:szCs w:val="22"/>
              </w:rPr>
            </w:pPr>
            <w:r>
              <w:rPr>
                <w:sz w:val="22"/>
                <w:szCs w:val="22"/>
              </w:rPr>
              <w:t>Zusammenstellung, wo sich Leute infizieren, könnte sinnvoll sein.</w:t>
            </w:r>
          </w:p>
          <w:p>
            <w:pPr>
              <w:pStyle w:val="Listenabsatz"/>
              <w:ind w:left="924"/>
              <w:rPr>
                <w:sz w:val="22"/>
                <w:szCs w:val="22"/>
              </w:rPr>
            </w:pPr>
          </w:p>
          <w:p>
            <w:pPr>
              <w:pStyle w:val="Listenabsatz"/>
              <w:numPr>
                <w:ilvl w:val="0"/>
                <w:numId w:val="5"/>
              </w:numPr>
              <w:ind w:left="453" w:hanging="340"/>
              <w:rPr>
                <w:sz w:val="22"/>
                <w:szCs w:val="22"/>
              </w:rPr>
            </w:pPr>
            <w:r>
              <w:rPr>
                <w:sz w:val="22"/>
                <w:szCs w:val="22"/>
              </w:rPr>
              <w:t xml:space="preserve">Unterstützung GA Neukölln (Folien </w:t>
            </w:r>
            <w:hyperlink r:id="rId10" w:history="1">
              <w:r>
                <w:rPr>
                  <w:rStyle w:val="Hyperlink"/>
                  <w:sz w:val="22"/>
                  <w:szCs w:val="22"/>
                </w:rPr>
                <w:t>hier</w:t>
              </w:r>
            </w:hyperlink>
            <w:r>
              <w:rPr>
                <w:sz w:val="22"/>
                <w:szCs w:val="22"/>
              </w:rPr>
              <w:t xml:space="preserve">) </w:t>
            </w:r>
          </w:p>
          <w:p>
            <w:pPr>
              <w:pStyle w:val="Listenabsatz"/>
              <w:numPr>
                <w:ilvl w:val="1"/>
                <w:numId w:val="5"/>
              </w:numPr>
              <w:ind w:left="924" w:hanging="357"/>
              <w:rPr>
                <w:sz w:val="22"/>
                <w:szCs w:val="22"/>
              </w:rPr>
            </w:pPr>
            <w:r>
              <w:rPr>
                <w:sz w:val="22"/>
                <w:szCs w:val="22"/>
              </w:rPr>
              <w:t>Fallcluster in Harzer Kiez identifiziert durch freiwillige Testungen in Berliner Schulen, Roma-stämmige Gemeinschaft der Pfingstkirche</w:t>
            </w:r>
          </w:p>
          <w:p>
            <w:pPr>
              <w:pStyle w:val="Listenabsatz"/>
              <w:numPr>
                <w:ilvl w:val="1"/>
                <w:numId w:val="5"/>
              </w:numPr>
              <w:ind w:left="924" w:hanging="357"/>
              <w:rPr>
                <w:sz w:val="22"/>
                <w:szCs w:val="22"/>
              </w:rPr>
            </w:pPr>
            <w:r>
              <w:rPr>
                <w:sz w:val="22"/>
                <w:szCs w:val="22"/>
              </w:rPr>
              <w:t>13.06: 14-tägiger Quarantäneanordnung, 15.-19.06. mehrmalige freiwillige Testungen, 22.06. Amtshilfeersuchen, 23.06. erstes Treffen im GA</w:t>
            </w:r>
          </w:p>
          <w:p>
            <w:pPr>
              <w:pStyle w:val="Listenabsatz"/>
              <w:numPr>
                <w:ilvl w:val="1"/>
                <w:numId w:val="5"/>
              </w:numPr>
              <w:ind w:left="924" w:hanging="357"/>
              <w:rPr>
                <w:sz w:val="22"/>
                <w:szCs w:val="22"/>
              </w:rPr>
            </w:pPr>
            <w:r>
              <w:rPr>
                <w:sz w:val="22"/>
                <w:szCs w:val="22"/>
              </w:rPr>
              <w:t xml:space="preserve">Ziele der Amtshilfe: deskriptive Analyse des Geschehens, Evaluierung und Verbesserungsvorschläge für Datenmanagement. </w:t>
            </w:r>
          </w:p>
          <w:p>
            <w:pPr>
              <w:pStyle w:val="Listenabsatz"/>
              <w:numPr>
                <w:ilvl w:val="1"/>
                <w:numId w:val="5"/>
              </w:numPr>
              <w:ind w:left="924" w:hanging="357"/>
              <w:rPr>
                <w:sz w:val="22"/>
                <w:szCs w:val="22"/>
              </w:rPr>
            </w:pPr>
            <w:r>
              <w:rPr>
                <w:sz w:val="22"/>
                <w:szCs w:val="22"/>
              </w:rPr>
              <w:t>Wunsch nach SurvNet-Schulung und Unterstützung bei zukünftiger Signalerkennung wurde an FG31 weitergeleitet</w:t>
            </w:r>
          </w:p>
          <w:p>
            <w:pPr>
              <w:pStyle w:val="Listenabsatz"/>
              <w:numPr>
                <w:ilvl w:val="1"/>
                <w:numId w:val="5"/>
              </w:numPr>
              <w:ind w:left="924" w:hanging="357"/>
              <w:rPr>
                <w:sz w:val="22"/>
                <w:szCs w:val="22"/>
              </w:rPr>
            </w:pPr>
            <w:r>
              <w:rPr>
                <w:sz w:val="22"/>
                <w:szCs w:val="22"/>
              </w:rPr>
              <w:t>Ende der Häuserblockquarantäne am 26.06.20, freiwillige Testungen von 24.-25.06.2020, Abstrichnahme durch GA- und RKI-Mitarbeitende, Probenanalyse teilweise am RKI</w:t>
            </w:r>
          </w:p>
          <w:p>
            <w:pPr>
              <w:pStyle w:val="Listenabsatz"/>
              <w:numPr>
                <w:ilvl w:val="1"/>
                <w:numId w:val="5"/>
              </w:numPr>
              <w:ind w:left="924" w:hanging="357"/>
              <w:rPr>
                <w:sz w:val="22"/>
                <w:szCs w:val="22"/>
              </w:rPr>
            </w:pPr>
            <w:r>
              <w:rPr>
                <w:sz w:val="22"/>
                <w:szCs w:val="22"/>
              </w:rPr>
              <w:t xml:space="preserve">Ergebnisse: </w:t>
            </w:r>
          </w:p>
          <w:p>
            <w:pPr>
              <w:pStyle w:val="Listenabsatz"/>
              <w:numPr>
                <w:ilvl w:val="2"/>
                <w:numId w:val="5"/>
              </w:numPr>
              <w:ind w:left="1491" w:hanging="357"/>
              <w:rPr>
                <w:sz w:val="22"/>
                <w:szCs w:val="22"/>
              </w:rPr>
            </w:pPr>
            <w:r>
              <w:rPr>
                <w:sz w:val="22"/>
                <w:szCs w:val="22"/>
              </w:rPr>
              <w:t>369 Wohneinheiten betroffen, 1.027 Personen erfasst, 730 hatten mind. 1 Testergebnis, 109 wurden mind. einmal positiv getestet</w:t>
            </w:r>
          </w:p>
          <w:p>
            <w:pPr>
              <w:pStyle w:val="Listenabsatz"/>
              <w:numPr>
                <w:ilvl w:val="2"/>
                <w:numId w:val="5"/>
              </w:numPr>
              <w:ind w:left="1491" w:hanging="357"/>
              <w:rPr>
                <w:sz w:val="22"/>
                <w:szCs w:val="22"/>
              </w:rPr>
            </w:pPr>
            <w:r>
              <w:rPr>
                <w:sz w:val="22"/>
                <w:szCs w:val="22"/>
              </w:rPr>
              <w:t>Zeitlicher Verlauf: neue Fälle während Quarantäne aufgetreten</w:t>
            </w:r>
          </w:p>
          <w:p>
            <w:pPr>
              <w:pStyle w:val="Listenabsatz"/>
              <w:numPr>
                <w:ilvl w:val="2"/>
                <w:numId w:val="5"/>
              </w:numPr>
              <w:ind w:left="1491" w:hanging="357"/>
              <w:rPr>
                <w:sz w:val="22"/>
                <w:szCs w:val="22"/>
              </w:rPr>
            </w:pPr>
            <w:r>
              <w:rPr>
                <w:sz w:val="22"/>
                <w:szCs w:val="22"/>
              </w:rPr>
              <w:t>Nach Altersgruppe und Geschlecht: Geschlecht ausgeglichen, 51% unter 18, keine Fälle über 60 Jahre</w:t>
            </w:r>
          </w:p>
          <w:p>
            <w:pPr>
              <w:pStyle w:val="Listenabsatz"/>
              <w:numPr>
                <w:ilvl w:val="2"/>
                <w:numId w:val="5"/>
              </w:numPr>
              <w:ind w:left="1491" w:hanging="357"/>
              <w:rPr>
                <w:sz w:val="22"/>
                <w:szCs w:val="22"/>
              </w:rPr>
            </w:pPr>
            <w:r>
              <w:rPr>
                <w:sz w:val="22"/>
                <w:szCs w:val="22"/>
              </w:rPr>
              <w:t>Erkrankungsrate (unter erfassten Bewohnern) nach Häuserblock: 4%-17%</w:t>
            </w:r>
          </w:p>
          <w:p>
            <w:pPr>
              <w:pStyle w:val="Listenabsatz"/>
              <w:numPr>
                <w:ilvl w:val="2"/>
                <w:numId w:val="5"/>
              </w:numPr>
              <w:ind w:left="1491" w:hanging="357"/>
              <w:rPr>
                <w:sz w:val="22"/>
                <w:szCs w:val="22"/>
              </w:rPr>
            </w:pPr>
            <w:r>
              <w:rPr>
                <w:sz w:val="22"/>
                <w:szCs w:val="22"/>
              </w:rPr>
              <w:t>Fallanteil unter allen getesteten Personen: 3% - 26%</w:t>
            </w:r>
          </w:p>
          <w:p>
            <w:pPr>
              <w:pStyle w:val="Listenabsatz"/>
              <w:numPr>
                <w:ilvl w:val="1"/>
                <w:numId w:val="5"/>
              </w:numPr>
              <w:ind w:left="924" w:hanging="357"/>
              <w:rPr>
                <w:sz w:val="22"/>
                <w:szCs w:val="22"/>
              </w:rPr>
            </w:pPr>
            <w:r>
              <w:rPr>
                <w:sz w:val="22"/>
                <w:szCs w:val="22"/>
              </w:rPr>
              <w:t xml:space="preserve">Limitationen: </w:t>
            </w:r>
          </w:p>
          <w:p>
            <w:pPr>
              <w:pStyle w:val="Listenabsatz"/>
              <w:numPr>
                <w:ilvl w:val="2"/>
                <w:numId w:val="5"/>
              </w:numPr>
              <w:ind w:left="1491" w:hanging="357"/>
              <w:rPr>
                <w:sz w:val="22"/>
                <w:szCs w:val="22"/>
              </w:rPr>
            </w:pPr>
            <w:r>
              <w:rPr>
                <w:sz w:val="22"/>
                <w:szCs w:val="22"/>
              </w:rPr>
              <w:t>durch Datenqualität und -verfügbarkeit sehr limitiert, Nenner unbekannt, Untererfassung dort lebender Personen möglich</w:t>
            </w:r>
          </w:p>
          <w:p>
            <w:pPr>
              <w:pStyle w:val="Listenabsatz"/>
              <w:numPr>
                <w:ilvl w:val="2"/>
                <w:numId w:val="5"/>
              </w:numPr>
              <w:ind w:left="1491" w:hanging="357"/>
              <w:rPr>
                <w:sz w:val="22"/>
                <w:szCs w:val="22"/>
              </w:rPr>
            </w:pPr>
            <w:r>
              <w:rPr>
                <w:sz w:val="22"/>
                <w:szCs w:val="22"/>
              </w:rPr>
              <w:lastRenderedPageBreak/>
              <w:t xml:space="preserve">Quarantäne nicht von allen Personen eingehalten, </w:t>
            </w:r>
          </w:p>
          <w:p>
            <w:pPr>
              <w:pStyle w:val="Listenabsatz"/>
              <w:numPr>
                <w:ilvl w:val="2"/>
                <w:numId w:val="5"/>
              </w:numPr>
              <w:ind w:left="1491" w:hanging="357"/>
              <w:rPr>
                <w:sz w:val="22"/>
                <w:szCs w:val="22"/>
              </w:rPr>
            </w:pPr>
            <w:r>
              <w:rPr>
                <w:sz w:val="22"/>
                <w:szCs w:val="22"/>
              </w:rPr>
              <w:t>Befürchtung der Bewohner, dass bei pos. Test die Quarantäne verlängert werden könnte</w:t>
            </w:r>
          </w:p>
          <w:p>
            <w:pPr>
              <w:pStyle w:val="Listenabsatz"/>
              <w:numPr>
                <w:ilvl w:val="2"/>
                <w:numId w:val="5"/>
              </w:numPr>
              <w:ind w:left="1491" w:hanging="357"/>
              <w:rPr>
                <w:sz w:val="22"/>
                <w:szCs w:val="22"/>
              </w:rPr>
            </w:pPr>
            <w:r>
              <w:rPr>
                <w:sz w:val="22"/>
                <w:szCs w:val="22"/>
              </w:rPr>
              <w:t>40 Proben verloren gegangen</w:t>
            </w:r>
          </w:p>
          <w:p>
            <w:pPr>
              <w:pStyle w:val="Listenabsatz"/>
              <w:numPr>
                <w:ilvl w:val="1"/>
                <w:numId w:val="5"/>
              </w:numPr>
              <w:ind w:left="924" w:hanging="357"/>
              <w:rPr>
                <w:sz w:val="22"/>
                <w:szCs w:val="22"/>
              </w:rPr>
            </w:pPr>
            <w:r>
              <w:rPr>
                <w:sz w:val="22"/>
                <w:szCs w:val="22"/>
              </w:rPr>
              <w:t>Schlussfolgerungen:</w:t>
            </w:r>
          </w:p>
          <w:p>
            <w:pPr>
              <w:pStyle w:val="Listenabsatz"/>
              <w:numPr>
                <w:ilvl w:val="2"/>
                <w:numId w:val="5"/>
              </w:numPr>
              <w:ind w:left="1491" w:hanging="357"/>
              <w:rPr>
                <w:sz w:val="22"/>
                <w:szCs w:val="22"/>
              </w:rPr>
            </w:pPr>
            <w:r>
              <w:rPr>
                <w:sz w:val="22"/>
                <w:szCs w:val="22"/>
              </w:rPr>
              <w:t>Unsicher, ob Ausbruch beendet ist, Angebot der separaten Unterbringung der Fälle wurde nicht angenommen</w:t>
            </w:r>
          </w:p>
          <w:p>
            <w:pPr>
              <w:pStyle w:val="Listenabsatz"/>
              <w:numPr>
                <w:ilvl w:val="2"/>
                <w:numId w:val="5"/>
              </w:numPr>
              <w:ind w:left="1491" w:hanging="357"/>
              <w:rPr>
                <w:sz w:val="22"/>
                <w:szCs w:val="22"/>
              </w:rPr>
            </w:pPr>
            <w:r>
              <w:rPr>
                <w:sz w:val="22"/>
                <w:szCs w:val="22"/>
              </w:rPr>
              <w:t>Quarantänemanagement in vielen Bereichen der Situation angepasst</w:t>
            </w:r>
          </w:p>
          <w:p>
            <w:pPr>
              <w:pStyle w:val="Listenabsatz"/>
              <w:numPr>
                <w:ilvl w:val="2"/>
                <w:numId w:val="5"/>
              </w:numPr>
              <w:ind w:left="1491" w:hanging="357"/>
              <w:rPr>
                <w:sz w:val="22"/>
                <w:szCs w:val="22"/>
              </w:rPr>
            </w:pPr>
            <w:r>
              <w:rPr>
                <w:sz w:val="22"/>
                <w:szCs w:val="22"/>
              </w:rPr>
              <w:t xml:space="preserve">Komplette Quarantäne der Häuserblöcke evtl. nicht nötig gewesen? </w:t>
            </w:r>
          </w:p>
          <w:p>
            <w:pPr>
              <w:pStyle w:val="Listenabsatz"/>
              <w:numPr>
                <w:ilvl w:val="1"/>
                <w:numId w:val="5"/>
              </w:numPr>
              <w:ind w:left="924" w:hanging="357"/>
              <w:rPr>
                <w:sz w:val="22"/>
                <w:szCs w:val="22"/>
              </w:rPr>
            </w:pPr>
            <w:r>
              <w:rPr>
                <w:sz w:val="22"/>
                <w:szCs w:val="22"/>
              </w:rPr>
              <w:t xml:space="preserve">Empfehlungen: </w:t>
            </w:r>
          </w:p>
          <w:p>
            <w:pPr>
              <w:pStyle w:val="Listenabsatz"/>
              <w:numPr>
                <w:ilvl w:val="2"/>
                <w:numId w:val="5"/>
              </w:numPr>
              <w:ind w:left="1491" w:hanging="357"/>
              <w:rPr>
                <w:sz w:val="22"/>
                <w:szCs w:val="22"/>
              </w:rPr>
            </w:pPr>
            <w:r>
              <w:rPr>
                <w:sz w:val="22"/>
                <w:szCs w:val="22"/>
              </w:rPr>
              <w:t>weitere niederschwellige Testangebote und gesundheitliche Ausklärung, Verbesserung des Datenmanagements, Austausch mit anderen GA mit ähnlichen COVID-19 Geschehen zu Erfahrungen</w:t>
            </w:r>
          </w:p>
          <w:p>
            <w:pPr>
              <w:pStyle w:val="Listenabsatz"/>
              <w:numPr>
                <w:ilvl w:val="1"/>
                <w:numId w:val="5"/>
              </w:numPr>
              <w:ind w:left="924" w:hanging="357"/>
              <w:rPr>
                <w:sz w:val="22"/>
                <w:szCs w:val="22"/>
              </w:rPr>
            </w:pPr>
            <w:r>
              <w:rPr>
                <w:sz w:val="22"/>
                <w:szCs w:val="22"/>
              </w:rPr>
              <w:t>Einreichung für ESCAIDE? Vielleicht nicht genug für wissenschaftliche Publikation, evtl. Veröffentlichung im Epid. Bull.?</w:t>
            </w:r>
          </w:p>
          <w:p>
            <w:pPr>
              <w:pStyle w:val="Listenabsatz"/>
              <w:numPr>
                <w:ilvl w:val="1"/>
                <w:numId w:val="5"/>
              </w:numPr>
              <w:ind w:left="924" w:hanging="357"/>
              <w:rPr>
                <w:sz w:val="22"/>
                <w:szCs w:val="22"/>
              </w:rPr>
            </w:pPr>
            <w:r>
              <w:rPr>
                <w:sz w:val="22"/>
                <w:szCs w:val="22"/>
              </w:rPr>
              <w:t xml:space="preserve">Vorschlag: GA und Community Vertreter zu einem Webseminar einzuladen, um Austausch zu verbessern. Frage, wie verfügbar sind GA im Moment. Sollte nicht zumindest das Papier zur Kontaktaufnahme und Zusammenarbeit mit marginalisierten Gruppen abgewartet werden? </w:t>
            </w:r>
          </w:p>
          <w:p>
            <w:pPr>
              <w:ind w:left="567"/>
              <w:rPr>
                <w:sz w:val="22"/>
                <w:szCs w:val="22"/>
              </w:rPr>
            </w:pPr>
          </w:p>
        </w:tc>
        <w:tc>
          <w:tcPr>
            <w:tcW w:w="1492" w:type="dxa"/>
          </w:tcPr>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Ariane Halm</w:t>
            </w:r>
          </w:p>
          <w:p>
            <w:pPr>
              <w:rPr>
                <w:sz w:val="22"/>
                <w:szCs w:val="22"/>
              </w:rPr>
            </w:pPr>
            <w:r>
              <w:rPr>
                <w:sz w:val="22"/>
                <w:szCs w:val="22"/>
              </w:rPr>
              <w:t>FG32 / FG34 / PAE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5"/>
              </w:numPr>
              <w:ind w:left="453" w:hanging="340"/>
              <w:rPr>
                <w:sz w:val="22"/>
                <w:szCs w:val="22"/>
              </w:rPr>
            </w:pPr>
            <w:r>
              <w:rPr>
                <w:sz w:val="22"/>
                <w:szCs w:val="22"/>
              </w:rPr>
              <w:t xml:space="preserve">Heute Morgen Austausch mit indischer Botschaft in Berlin: Kooperation mit indischem Public Health Institut wurde anregt, großes Lob für RKI Webseite. </w:t>
            </w:r>
          </w:p>
          <w:p>
            <w:pPr>
              <w:pStyle w:val="Listenabsatz"/>
              <w:numPr>
                <w:ilvl w:val="0"/>
                <w:numId w:val="5"/>
              </w:numPr>
              <w:ind w:left="453" w:hanging="340"/>
              <w:rPr>
                <w:sz w:val="22"/>
                <w:szCs w:val="22"/>
              </w:rPr>
            </w:pPr>
            <w:r>
              <w:rPr>
                <w:sz w:val="22"/>
                <w:szCs w:val="22"/>
              </w:rPr>
              <w:t>Im Rahmen von Corona global sind viele Projekte für die nächsten 2 Jahre geplant.  Die Projekte müssen gebündelt werden, hierzu wird nächste Woche ein Meeting stattfinden.</w:t>
            </w:r>
          </w:p>
          <w:p>
            <w:pPr>
              <w:pStyle w:val="Listenabsatz"/>
              <w:numPr>
                <w:ilvl w:val="0"/>
                <w:numId w:val="5"/>
              </w:numPr>
              <w:ind w:left="453" w:hanging="340"/>
              <w:rPr>
                <w:sz w:val="22"/>
                <w:szCs w:val="22"/>
              </w:rPr>
            </w:pPr>
            <w:r>
              <w:rPr>
                <w:sz w:val="22"/>
                <w:szCs w:val="22"/>
              </w:rPr>
              <w:t>Hilfeersuchen aus Usbekistan eine Mission zu entsenden</w:t>
            </w:r>
          </w:p>
          <w:p>
            <w:pPr>
              <w:pStyle w:val="Listenabsatz"/>
              <w:numPr>
                <w:ilvl w:val="0"/>
                <w:numId w:val="5"/>
              </w:numPr>
              <w:ind w:left="453" w:hanging="340"/>
              <w:rPr>
                <w:sz w:val="22"/>
                <w:szCs w:val="22"/>
              </w:rPr>
            </w:pPr>
            <w:r>
              <w:rPr>
                <w:sz w:val="22"/>
                <w:szCs w:val="22"/>
              </w:rPr>
              <w:t>Bitte um Unterstützung aus Kosovo: hier besteht durch die Verknüpfung mit Reiserückkehrern großes Interesse vom BMG.</w:t>
            </w:r>
          </w:p>
          <w:p>
            <w:pPr>
              <w:pStyle w:val="Listenabsatz"/>
              <w:numPr>
                <w:ilvl w:val="1"/>
                <w:numId w:val="5"/>
              </w:numPr>
              <w:ind w:left="924" w:hanging="357"/>
              <w:rPr>
                <w:sz w:val="22"/>
                <w:szCs w:val="22"/>
              </w:rPr>
            </w:pPr>
            <w:r>
              <w:rPr>
                <w:sz w:val="22"/>
                <w:szCs w:val="22"/>
              </w:rPr>
              <w:t>Mit dem Kosovo gab es bereits Projekte, deshalb einige Mitarbeiter (FG32) mit Kontakten zu Kollegen im Kosovo</w:t>
            </w:r>
          </w:p>
          <w:p>
            <w:pPr>
              <w:pStyle w:val="Listenabsatz"/>
              <w:numPr>
                <w:ilvl w:val="0"/>
                <w:numId w:val="5"/>
              </w:numPr>
              <w:ind w:left="453" w:hanging="340"/>
              <w:rPr>
                <w:sz w:val="22"/>
                <w:szCs w:val="22"/>
              </w:rPr>
            </w:pPr>
            <w:r>
              <w:rPr>
                <w:sz w:val="22"/>
                <w:szCs w:val="22"/>
              </w:rPr>
              <w:t>Das Ausweisen der Risikogebiete bedeutet ein enormes Arbeitsvolumen für Public Health Intelligence</w:t>
            </w:r>
          </w:p>
          <w:p>
            <w:pPr>
              <w:pStyle w:val="Listenabsatz"/>
              <w:ind w:left="453"/>
              <w:rPr>
                <w:b/>
                <w:sz w:val="22"/>
                <w:szCs w:val="22"/>
              </w:rPr>
            </w:pPr>
          </w:p>
          <w:p>
            <w:pPr>
              <w:pStyle w:val="Listenabsatz"/>
              <w:numPr>
                <w:ilvl w:val="0"/>
                <w:numId w:val="5"/>
              </w:numPr>
              <w:ind w:left="453" w:hanging="340"/>
              <w:rPr>
                <w:sz w:val="22"/>
                <w:szCs w:val="22"/>
              </w:rPr>
            </w:pPr>
            <w:r>
              <w:rPr>
                <w:sz w:val="22"/>
                <w:szCs w:val="22"/>
              </w:rPr>
              <w:t>Anerkennung PCR-Testung aus Risikogebieten</w:t>
            </w:r>
          </w:p>
          <w:p>
            <w:pPr>
              <w:pStyle w:val="Listenabsatz"/>
              <w:numPr>
                <w:ilvl w:val="1"/>
                <w:numId w:val="5"/>
              </w:numPr>
              <w:ind w:left="924" w:hanging="357"/>
              <w:rPr>
                <w:sz w:val="22"/>
                <w:szCs w:val="22"/>
              </w:rPr>
            </w:pPr>
            <w:r>
              <w:rPr>
                <w:sz w:val="22"/>
                <w:szCs w:val="22"/>
              </w:rPr>
              <w:t xml:space="preserve">Aus Telefonhotline: GA haben Schwierigkeiten mit Anerkennung von PCR-Testung, wenn sie im Ausland durchgeführt wurden. </w:t>
            </w:r>
          </w:p>
          <w:p>
            <w:pPr>
              <w:pStyle w:val="Listenabsatz"/>
              <w:numPr>
                <w:ilvl w:val="1"/>
                <w:numId w:val="5"/>
              </w:numPr>
              <w:ind w:left="924" w:hanging="357"/>
              <w:rPr>
                <w:sz w:val="22"/>
                <w:szCs w:val="22"/>
              </w:rPr>
            </w:pPr>
            <w:r>
              <w:rPr>
                <w:sz w:val="22"/>
                <w:szCs w:val="22"/>
              </w:rPr>
              <w:t xml:space="preserve">In Epilag vom 04.08. kam die gleiche Frage auf, Fr. an der Heiden zirkuliert die Antwort. </w:t>
            </w:r>
          </w:p>
          <w:p>
            <w:pPr>
              <w:pStyle w:val="Listenabsatz"/>
              <w:numPr>
                <w:ilvl w:val="1"/>
                <w:numId w:val="5"/>
              </w:numPr>
              <w:ind w:left="924" w:hanging="357"/>
              <w:rPr>
                <w:sz w:val="22"/>
                <w:szCs w:val="22"/>
              </w:rPr>
            </w:pPr>
            <w:r>
              <w:rPr>
                <w:sz w:val="22"/>
                <w:szCs w:val="22"/>
              </w:rPr>
              <w:t xml:space="preserve">Ursprünglich wurden Länder ausgewiesen und ISO Normen genannt. Aufgrund der aktuellen Rechtsituation (laufende </w:t>
            </w:r>
            <w:r>
              <w:rPr>
                <w:sz w:val="22"/>
                <w:szCs w:val="22"/>
              </w:rPr>
              <w:lastRenderedPageBreak/>
              <w:t xml:space="preserve">Gerichtsverfahren) mussten diese entfernt werden. </w:t>
            </w:r>
          </w:p>
          <w:p>
            <w:pPr>
              <w:pStyle w:val="Listenabsatz"/>
              <w:numPr>
                <w:ilvl w:val="1"/>
                <w:numId w:val="5"/>
              </w:numPr>
              <w:ind w:left="924" w:hanging="357"/>
              <w:rPr>
                <w:sz w:val="22"/>
                <w:szCs w:val="22"/>
              </w:rPr>
            </w:pPr>
            <w:r>
              <w:rPr>
                <w:sz w:val="22"/>
                <w:szCs w:val="22"/>
              </w:rPr>
              <w:t>Aus Lagezentrum BMG: Hinweis auf ISO wurde bewusst gestrichen, jeder PCR-Test aus Liste von RKI ist anzuerkennen.</w:t>
            </w:r>
          </w:p>
          <w:p>
            <w:pPr>
              <w:pStyle w:val="Listenabsatz"/>
              <w:ind w:left="453"/>
              <w:rPr>
                <w:sz w:val="22"/>
                <w:szCs w:val="22"/>
              </w:rPr>
            </w:pPr>
          </w:p>
          <w:p>
            <w:pPr>
              <w:pStyle w:val="Listenabsatz"/>
              <w:numPr>
                <w:ilvl w:val="0"/>
                <w:numId w:val="5"/>
              </w:numPr>
              <w:ind w:left="453" w:hanging="340"/>
              <w:rPr>
                <w:sz w:val="22"/>
                <w:szCs w:val="22"/>
              </w:rPr>
            </w:pPr>
            <w:r>
              <w:rPr>
                <w:sz w:val="22"/>
                <w:szCs w:val="22"/>
              </w:rPr>
              <w:t>Positivenanteil</w:t>
            </w:r>
            <w:r>
              <w:rPr>
                <w:b/>
                <w:sz w:val="22"/>
                <w:szCs w:val="22"/>
              </w:rPr>
              <w:t xml:space="preserve"> </w:t>
            </w:r>
            <w:r>
              <w:rPr>
                <w:sz w:val="22"/>
                <w:szCs w:val="22"/>
              </w:rPr>
              <w:t xml:space="preserve">bei Testung von Reiserückkehrern (Folien </w:t>
            </w:r>
            <w:hyperlink r:id="rId11" w:history="1">
              <w:r>
                <w:rPr>
                  <w:rStyle w:val="Hyperlink"/>
                  <w:sz w:val="22"/>
                  <w:szCs w:val="22"/>
                </w:rPr>
                <w:t>hier</w:t>
              </w:r>
            </w:hyperlink>
            <w:r>
              <w:rPr>
                <w:sz w:val="22"/>
                <w:szCs w:val="22"/>
              </w:rPr>
              <w:t>)</w:t>
            </w:r>
          </w:p>
          <w:p>
            <w:pPr>
              <w:pStyle w:val="Listenabsatz"/>
              <w:numPr>
                <w:ilvl w:val="1"/>
                <w:numId w:val="5"/>
              </w:numPr>
              <w:ind w:left="924" w:hanging="357"/>
              <w:rPr>
                <w:sz w:val="22"/>
                <w:szCs w:val="22"/>
              </w:rPr>
            </w:pPr>
            <w:r>
              <w:rPr>
                <w:sz w:val="22"/>
                <w:szCs w:val="22"/>
              </w:rPr>
              <w:t xml:space="preserve">Schwer herauszufinden, wie viele Testungen bei Reiserückkehrern stattfanden, wo Testzentren existieren und welche Labore angebunden sind. Teilweise handelt es sich um Labore, die bisher noch nicht in Erscheinung getreten sind. </w:t>
            </w:r>
          </w:p>
          <w:p>
            <w:pPr>
              <w:pStyle w:val="Listenabsatz"/>
              <w:numPr>
                <w:ilvl w:val="1"/>
                <w:numId w:val="5"/>
              </w:numPr>
              <w:ind w:left="924" w:hanging="357"/>
              <w:rPr>
                <w:sz w:val="22"/>
                <w:szCs w:val="22"/>
              </w:rPr>
            </w:pPr>
            <w:r>
              <w:rPr>
                <w:sz w:val="22"/>
                <w:szCs w:val="22"/>
              </w:rPr>
              <w:t>Informationen wurden per Telefon und Email von den Laboren erhoben.</w:t>
            </w:r>
          </w:p>
          <w:p>
            <w:pPr>
              <w:pStyle w:val="Listenabsatz"/>
              <w:numPr>
                <w:ilvl w:val="1"/>
                <w:numId w:val="5"/>
              </w:numPr>
              <w:ind w:left="924" w:hanging="357"/>
              <w:rPr>
                <w:sz w:val="22"/>
                <w:szCs w:val="22"/>
              </w:rPr>
            </w:pPr>
            <w:r>
              <w:rPr>
                <w:sz w:val="22"/>
                <w:szCs w:val="22"/>
              </w:rPr>
              <w:t>Frage nach Testungen von Reiserückkehrern wurde in Testlaborabfrage implementiert (ab Montag). Es ist jedoch fraglich, ob Labore diese von anderen Einsendern unterscheiden können. Frage auf Anforderungsschein nicht vorhanden, müsste händisch vermerkt werden.</w:t>
            </w:r>
          </w:p>
          <w:p>
            <w:pPr>
              <w:pStyle w:val="Listenabsatz"/>
              <w:numPr>
                <w:ilvl w:val="1"/>
                <w:numId w:val="5"/>
              </w:numPr>
              <w:ind w:left="924" w:hanging="357"/>
              <w:rPr>
                <w:sz w:val="22"/>
                <w:szCs w:val="22"/>
              </w:rPr>
            </w:pPr>
            <w:r>
              <w:rPr>
                <w:sz w:val="22"/>
                <w:szCs w:val="22"/>
              </w:rPr>
              <w:t>Ganze Reihe von verschiedenen Testzentren: Flughäfen, Autobahnen, (Bus-)Bahnhöfen, Fähren</w:t>
            </w:r>
          </w:p>
          <w:p>
            <w:pPr>
              <w:pStyle w:val="Listenabsatz"/>
              <w:numPr>
                <w:ilvl w:val="1"/>
                <w:numId w:val="5"/>
              </w:numPr>
              <w:ind w:left="924" w:hanging="357"/>
              <w:rPr>
                <w:sz w:val="22"/>
                <w:szCs w:val="22"/>
              </w:rPr>
            </w:pPr>
            <w:r>
              <w:rPr>
                <w:sz w:val="22"/>
                <w:szCs w:val="22"/>
              </w:rPr>
              <w:t>Testergebnisse – erfasste Positivenraten bei Einreisenden: Bayern: 0,5-3%, sonst zumeist Positivenraten um 1%, zusammengefasste Daten aus Flughäfen: 1,3%.</w:t>
            </w:r>
          </w:p>
          <w:p>
            <w:pPr>
              <w:pStyle w:val="Listenabsatz"/>
              <w:numPr>
                <w:ilvl w:val="1"/>
                <w:numId w:val="5"/>
              </w:numPr>
              <w:ind w:left="924" w:hanging="357"/>
              <w:rPr>
                <w:sz w:val="22"/>
                <w:szCs w:val="22"/>
              </w:rPr>
            </w:pPr>
            <w:r>
              <w:rPr>
                <w:sz w:val="22"/>
                <w:szCs w:val="22"/>
              </w:rPr>
              <w:t>Nur im Südosten von Bayern erhöhte Positivenraten: Passau: 3% (spricht für osteuropäische Regionen, Arbeiter, Erntehelfer) und Traunstein: 1,9%. Bei allen andern Teststellen weicht die Positivenquote kaum von der Quote der gesamten Testungen in Deutschland ab. Rückkehrer haben kein zusätzliches Risiko.</w:t>
            </w:r>
          </w:p>
          <w:p>
            <w:pPr>
              <w:pStyle w:val="Listenabsatz"/>
              <w:numPr>
                <w:ilvl w:val="1"/>
                <w:numId w:val="5"/>
              </w:numPr>
              <w:ind w:left="924" w:hanging="357"/>
              <w:rPr>
                <w:sz w:val="22"/>
                <w:szCs w:val="22"/>
              </w:rPr>
            </w:pPr>
            <w:r>
              <w:rPr>
                <w:sz w:val="22"/>
                <w:szCs w:val="22"/>
              </w:rPr>
              <w:t>Berücksichtigt werden sollte, dass nicht nur bei Rückkehrern aus Risikogebieten getestet wird.</w:t>
            </w:r>
          </w:p>
          <w:p>
            <w:pPr>
              <w:pStyle w:val="Listenabsatz"/>
              <w:numPr>
                <w:ilvl w:val="1"/>
                <w:numId w:val="5"/>
              </w:numPr>
              <w:ind w:left="924" w:hanging="357"/>
              <w:rPr>
                <w:sz w:val="22"/>
                <w:szCs w:val="22"/>
              </w:rPr>
            </w:pPr>
            <w:r>
              <w:rPr>
                <w:sz w:val="22"/>
                <w:szCs w:val="22"/>
              </w:rPr>
              <w:t xml:space="preserve">Es gibt keine Info, ob die positiv Getesteten symptomatisch oder asymptomatisch waren. </w:t>
            </w:r>
          </w:p>
          <w:p>
            <w:pPr>
              <w:pStyle w:val="Listenabsatz"/>
              <w:numPr>
                <w:ilvl w:val="1"/>
                <w:numId w:val="5"/>
              </w:numPr>
              <w:ind w:left="924" w:hanging="357"/>
              <w:rPr>
                <w:sz w:val="22"/>
                <w:szCs w:val="22"/>
              </w:rPr>
            </w:pPr>
            <w:r>
              <w:rPr>
                <w:sz w:val="22"/>
                <w:szCs w:val="22"/>
              </w:rPr>
              <w:t xml:space="preserve">Hr. Kleist hat angeboten, Tests zu modellieren. Dies könnte für Kommunikation mit Politik genutzt werden. </w:t>
            </w:r>
          </w:p>
          <w:p>
            <w:pPr>
              <w:pStyle w:val="Listenabsatz"/>
              <w:numPr>
                <w:ilvl w:val="1"/>
                <w:numId w:val="5"/>
              </w:numPr>
              <w:ind w:left="924" w:hanging="357"/>
              <w:rPr>
                <w:sz w:val="22"/>
                <w:szCs w:val="22"/>
              </w:rPr>
            </w:pPr>
            <w:r>
              <w:rPr>
                <w:sz w:val="22"/>
                <w:szCs w:val="22"/>
              </w:rPr>
              <w:t>Nicht der Ort vermittelt das Risiko, sondern das Verhalten! Statt einer Konzentration auf Orte, sollte das Verhalten der Personen adressiert werden.</w:t>
            </w:r>
          </w:p>
          <w:p>
            <w:pPr>
              <w:pStyle w:val="Listenabsatz"/>
              <w:numPr>
                <w:ilvl w:val="1"/>
                <w:numId w:val="5"/>
              </w:numPr>
              <w:ind w:left="924" w:hanging="357"/>
              <w:rPr>
                <w:sz w:val="22"/>
                <w:szCs w:val="22"/>
              </w:rPr>
            </w:pPr>
            <w:r>
              <w:rPr>
                <w:sz w:val="22"/>
                <w:szCs w:val="22"/>
              </w:rPr>
              <w:t>Schwierigkeiten bei der Übermittlung der Testergebnisse: in kurzer Zeit etablierte Teststellen wurden mit Hilfspersonal besetzt (Anforderungsscheine mit QR-Code kopiert, Vermutung, Befunde werden über Corona-Warn-App übermittelt….) Lag nicht an fehlender Software, sondern an nicht vorhandener Logistik, schlechter Vorbereitung.</w:t>
            </w:r>
          </w:p>
          <w:p>
            <w:pPr>
              <w:pStyle w:val="Listenabsatz"/>
              <w:numPr>
                <w:ilvl w:val="1"/>
                <w:numId w:val="5"/>
              </w:numPr>
              <w:ind w:left="924" w:hanging="357"/>
              <w:rPr>
                <w:sz w:val="22"/>
                <w:szCs w:val="22"/>
              </w:rPr>
            </w:pPr>
            <w:r>
              <w:rPr>
                <w:sz w:val="22"/>
                <w:szCs w:val="22"/>
              </w:rPr>
              <w:t xml:space="preserve">International werden zurzeit gegenseitig Regionen zu Risikogebieten erklärt. Wie könnte RKI die Daten am besten für politische Lösungen aufbereiten, die mehr Sinn machen? </w:t>
            </w:r>
          </w:p>
          <w:p>
            <w:pPr>
              <w:pStyle w:val="Listenabsatz"/>
              <w:ind w:left="924"/>
              <w:rPr>
                <w:b/>
                <w:sz w:val="22"/>
                <w:szCs w:val="22"/>
              </w:rPr>
            </w:pPr>
          </w:p>
        </w:tc>
        <w:tc>
          <w:tcPr>
            <w:tcW w:w="1492" w:type="dxa"/>
          </w:tcPr>
          <w:p>
            <w:pPr>
              <w:rPr>
                <w:sz w:val="22"/>
                <w:szCs w:val="22"/>
              </w:rPr>
            </w:pPr>
          </w:p>
          <w:p>
            <w:pPr>
              <w:rPr>
                <w:sz w:val="22"/>
                <w:szCs w:val="22"/>
              </w:rPr>
            </w:pPr>
          </w:p>
          <w:p>
            <w:pPr>
              <w:rPr>
                <w:sz w:val="22"/>
                <w:szCs w:val="22"/>
              </w:rPr>
            </w:pPr>
            <w:r>
              <w:rPr>
                <w:sz w:val="22"/>
                <w:szCs w:val="22"/>
              </w:rPr>
              <w:t>ZIG</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AL3</w:t>
            </w:r>
          </w:p>
          <w:p>
            <w:pPr>
              <w:rPr>
                <w:sz w:val="22"/>
                <w:szCs w:val="22"/>
              </w:rPr>
            </w:pPr>
          </w:p>
        </w:tc>
      </w:tr>
      <w:tr>
        <w:tc>
          <w:tcPr>
            <w:tcW w:w="684" w:type="dxa"/>
          </w:tcPr>
          <w:p>
            <w:pPr>
              <w:rPr>
                <w:b/>
              </w:rPr>
            </w:pPr>
            <w:r>
              <w:rPr>
                <w:b/>
              </w:rPr>
              <w:lastRenderedPageBreak/>
              <w:t>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pStyle w:val="Listenabsatz"/>
              <w:numPr>
                <w:ilvl w:val="0"/>
                <w:numId w:val="5"/>
              </w:numPr>
              <w:ind w:left="453" w:hanging="340"/>
              <w:rPr>
                <w:sz w:val="22"/>
                <w:szCs w:val="22"/>
              </w:rPr>
            </w:pPr>
            <w:r>
              <w:rPr>
                <w:sz w:val="22"/>
                <w:szCs w:val="22"/>
              </w:rPr>
              <w:lastRenderedPageBreak/>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lastRenderedPageBreak/>
              <w:t>4</w:t>
            </w:r>
          </w:p>
        </w:tc>
        <w:tc>
          <w:tcPr>
            <w:tcW w:w="6795" w:type="dxa"/>
          </w:tcPr>
          <w:p>
            <w:pPr>
              <w:spacing w:line="276" w:lineRule="auto"/>
              <w:rPr>
                <w:b/>
                <w:sz w:val="28"/>
              </w:rPr>
            </w:pPr>
            <w:r>
              <w:rPr>
                <w:b/>
                <w:sz w:val="28"/>
              </w:rPr>
              <w:t>Aktuelle Risikobewertung</w:t>
            </w:r>
          </w:p>
          <w:p>
            <w:pPr>
              <w:pStyle w:val="Listenabsatz"/>
              <w:numPr>
                <w:ilvl w:val="0"/>
                <w:numId w:val="5"/>
              </w:numPr>
              <w:ind w:left="453" w:hanging="340"/>
              <w:rPr>
                <w:sz w:val="22"/>
                <w:szCs w:val="22"/>
              </w:rPr>
            </w:pPr>
            <w:r>
              <w:rPr>
                <w:sz w:val="22"/>
                <w:szCs w:val="22"/>
              </w:rPr>
              <w:t xml:space="preserve">Sollte dahingehend überarbeitet werden, dass es weniger um Ausbrüche geht, sondern der zentrale Punkt die Vermeidung von Risikosituationen ist. Es geht nicht um Reisen oder Reiseländer sondern um Situationen, die man beim Reisen erlebt. </w:t>
            </w:r>
          </w:p>
          <w:p>
            <w:pPr>
              <w:ind w:left="113"/>
              <w:rPr>
                <w:i/>
                <w:sz w:val="22"/>
                <w:szCs w:val="22"/>
              </w:rPr>
            </w:pPr>
            <w:r>
              <w:rPr>
                <w:i/>
                <w:sz w:val="22"/>
                <w:szCs w:val="22"/>
              </w:rPr>
              <w:t>ToDo: Hr. Haas erstellt Entwurf für Text und zirkuliert diesen im Verteiler Krisenstab; am Montag Besprechung im Krisenstab</w:t>
            </w:r>
          </w:p>
          <w:p>
            <w:pPr>
              <w:pStyle w:val="Listenabsatz"/>
              <w:numPr>
                <w:ilvl w:val="0"/>
                <w:numId w:val="5"/>
              </w:numPr>
              <w:ind w:left="453" w:hanging="340"/>
              <w:rPr>
                <w:sz w:val="22"/>
                <w:szCs w:val="22"/>
              </w:rPr>
            </w:pPr>
            <w:r>
              <w:rPr>
                <w:sz w:val="22"/>
                <w:szCs w:val="22"/>
              </w:rPr>
              <w:t xml:space="preserve">Abschnitt zu Superspreading Event ist sehr gelungen und könnte verlinkt werden. </w:t>
            </w:r>
          </w:p>
          <w:p>
            <w:pPr>
              <w:ind w:left="25"/>
              <w:rPr>
                <w:sz w:val="22"/>
                <w:szCs w:val="22"/>
              </w:rPr>
            </w:pPr>
          </w:p>
        </w:tc>
        <w:tc>
          <w:tcPr>
            <w:tcW w:w="1492" w:type="dxa"/>
          </w:tcPr>
          <w:p>
            <w:pPr>
              <w:rPr>
                <w:sz w:val="22"/>
                <w:szCs w:val="22"/>
              </w:rPr>
            </w:pPr>
          </w:p>
          <w:p>
            <w:pPr>
              <w:rPr>
                <w:sz w:val="22"/>
                <w:szCs w:val="22"/>
              </w:rPr>
            </w:pPr>
            <w:r>
              <w:rPr>
                <w:sz w:val="22"/>
                <w:szCs w:val="22"/>
              </w:rPr>
              <w:t>Alle</w:t>
            </w:r>
          </w:p>
          <w:p>
            <w:pPr>
              <w:rPr>
                <w:sz w:val="22"/>
                <w:szCs w:val="22"/>
              </w:rPr>
            </w:pP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25"/>
              </w:numPr>
              <w:ind w:left="453" w:hanging="340"/>
              <w:rPr>
                <w:sz w:val="22"/>
                <w:szCs w:val="22"/>
              </w:rPr>
            </w:pPr>
            <w:r>
              <w:rPr>
                <w:sz w:val="22"/>
                <w:szCs w:val="22"/>
              </w:rPr>
              <w:t>Nicht besprochen</w:t>
            </w:r>
          </w:p>
          <w:p>
            <w:pPr>
              <w:spacing w:before="120"/>
              <w:rPr>
                <w:b/>
                <w:sz w:val="22"/>
                <w:szCs w:val="22"/>
              </w:rPr>
            </w:pPr>
            <w:r>
              <w:rPr>
                <w:b/>
                <w:sz w:val="22"/>
                <w:szCs w:val="22"/>
              </w:rPr>
              <w:t>Presse</w:t>
            </w:r>
          </w:p>
          <w:p>
            <w:pPr>
              <w:pStyle w:val="Listenabsatz"/>
              <w:numPr>
                <w:ilvl w:val="0"/>
                <w:numId w:val="5"/>
              </w:numPr>
              <w:ind w:left="453" w:hanging="340"/>
              <w:rPr>
                <w:sz w:val="22"/>
                <w:szCs w:val="22"/>
              </w:rPr>
            </w:pPr>
            <w:r>
              <w:rPr>
                <w:sz w:val="22"/>
                <w:szCs w:val="22"/>
              </w:rPr>
              <w:t>Ziemlicher Anstieg von Presseanfragen seit Mittwoch</w:t>
            </w:r>
          </w:p>
          <w:p>
            <w:pPr>
              <w:pStyle w:val="Listenabsatz"/>
              <w:numPr>
                <w:ilvl w:val="0"/>
                <w:numId w:val="5"/>
              </w:numPr>
              <w:ind w:left="453" w:hanging="340"/>
              <w:rPr>
                <w:sz w:val="22"/>
                <w:szCs w:val="22"/>
              </w:rPr>
            </w:pPr>
            <w:r>
              <w:rPr>
                <w:sz w:val="22"/>
                <w:szCs w:val="22"/>
              </w:rPr>
              <w:t xml:space="preserve">Es gibt viele Anfragen zu den Testungen bei Reiserückkehrern. Ist geplant, die Zahlen zu veröffentlichen? Im Moment wird auf Anfragen geantwortet, dass Angaben nicht verfügbar sind. </w:t>
            </w:r>
          </w:p>
          <w:p>
            <w:pPr>
              <w:pStyle w:val="Listenabsatz"/>
              <w:numPr>
                <w:ilvl w:val="1"/>
                <w:numId w:val="5"/>
              </w:numPr>
              <w:ind w:left="924" w:hanging="357"/>
              <w:rPr>
                <w:sz w:val="22"/>
                <w:szCs w:val="22"/>
              </w:rPr>
            </w:pPr>
            <w:r>
              <w:rPr>
                <w:sz w:val="22"/>
                <w:szCs w:val="22"/>
              </w:rPr>
              <w:t>Zahlen sind noch zu brisant und zu unsicher. Es kann auch auf die Länder verwiesen werden. Diese sollten relevante Zahlen selbst veröffentlichen (Abt. 1 hat Linksammlung)</w:t>
            </w:r>
          </w:p>
          <w:p>
            <w:pPr>
              <w:pStyle w:val="Listenabsatz"/>
              <w:numPr>
                <w:ilvl w:val="1"/>
                <w:numId w:val="5"/>
              </w:numPr>
              <w:ind w:left="924" w:hanging="357"/>
              <w:rPr>
                <w:sz w:val="22"/>
                <w:szCs w:val="22"/>
              </w:rPr>
            </w:pPr>
            <w:r>
              <w:rPr>
                <w:sz w:val="22"/>
                <w:szCs w:val="22"/>
              </w:rPr>
              <w:t>Die Recherche zur Testung bei Reiserückkehrern fand auf Wunsch des BMG statt, eine verlässliche Aussage kann nicht getroffen werden.</w:t>
            </w:r>
          </w:p>
          <w:p>
            <w:pPr>
              <w:pStyle w:val="Listenabsatz"/>
              <w:numPr>
                <w:ilvl w:val="0"/>
                <w:numId w:val="5"/>
              </w:numPr>
              <w:ind w:left="453" w:hanging="340"/>
              <w:rPr>
                <w:sz w:val="22"/>
                <w:szCs w:val="22"/>
              </w:rPr>
            </w:pPr>
            <w:r>
              <w:rPr>
                <w:sz w:val="22"/>
                <w:szCs w:val="22"/>
              </w:rPr>
              <w:t>Zeitgleich zur Krisenstabsitzung findet PK in Kupferzell statt.</w:t>
            </w: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6</w:t>
            </w:r>
          </w:p>
        </w:tc>
        <w:tc>
          <w:tcPr>
            <w:tcW w:w="6795" w:type="dxa"/>
          </w:tcPr>
          <w:p>
            <w:pPr>
              <w:spacing w:line="276" w:lineRule="auto"/>
              <w:rPr>
                <w:b/>
                <w:sz w:val="28"/>
              </w:rPr>
            </w:pPr>
            <w:r>
              <w:rPr>
                <w:b/>
                <w:sz w:val="28"/>
              </w:rPr>
              <w:t>Neues aus dem BMG</w:t>
            </w:r>
          </w:p>
          <w:p>
            <w:pPr>
              <w:pStyle w:val="Listenabsatz"/>
              <w:numPr>
                <w:ilvl w:val="0"/>
                <w:numId w:val="5"/>
              </w:numPr>
              <w:ind w:left="453" w:hanging="340"/>
              <w:rPr>
                <w:sz w:val="22"/>
                <w:szCs w:val="22"/>
              </w:rPr>
            </w:pPr>
            <w:r>
              <w:rPr>
                <w:sz w:val="22"/>
                <w:szCs w:val="22"/>
              </w:rPr>
              <w:t>Relativ diffuse Themenlage: Impfen und Impfstrategien für Herbst, Testansätze, verschiedene kleinere Themen</w:t>
            </w:r>
          </w:p>
          <w:p>
            <w:pPr>
              <w:pStyle w:val="Listenabsatz"/>
              <w:numPr>
                <w:ilvl w:val="0"/>
                <w:numId w:val="5"/>
              </w:numPr>
              <w:ind w:left="453" w:hanging="340"/>
              <w:rPr>
                <w:sz w:val="22"/>
                <w:szCs w:val="22"/>
              </w:rPr>
            </w:pPr>
            <w:r>
              <w:rPr>
                <w:sz w:val="22"/>
                <w:szCs w:val="22"/>
              </w:rPr>
              <w:t>Besorgnis wegen steigender Fallzahlen</w:t>
            </w:r>
          </w:p>
          <w:p>
            <w:pPr>
              <w:pStyle w:val="Listenabsatz"/>
              <w:numPr>
                <w:ilvl w:val="0"/>
                <w:numId w:val="5"/>
              </w:numPr>
              <w:ind w:left="453" w:hanging="340"/>
              <w:rPr>
                <w:sz w:val="22"/>
                <w:szCs w:val="22"/>
              </w:rPr>
            </w:pPr>
            <w:r>
              <w:rPr>
                <w:sz w:val="22"/>
                <w:szCs w:val="22"/>
              </w:rPr>
              <w:t>Fokus liegt auf Risikogebieten, Vorkommnissen in Bayern</w:t>
            </w:r>
          </w:p>
          <w:p>
            <w:pPr>
              <w:pStyle w:val="Listenabsatz"/>
              <w:numPr>
                <w:ilvl w:val="0"/>
                <w:numId w:val="5"/>
              </w:numPr>
              <w:ind w:left="453" w:hanging="340"/>
              <w:rPr>
                <w:sz w:val="22"/>
                <w:szCs w:val="22"/>
              </w:rPr>
            </w:pPr>
            <w:r>
              <w:rPr>
                <w:sz w:val="22"/>
                <w:szCs w:val="22"/>
              </w:rPr>
              <w:t>Fr. Andernach nimmt Hinweis mit, dass ein Großteil der Fälle sich in Deutschland infiziert. Da, mit Ende der Reisezeit, der Anteil der Reiserückkehrer unter den Fällen wieder sinken wird, wird die Fokussierung darauf wieder abnehmen.</w:t>
            </w:r>
          </w:p>
          <w:p>
            <w:pPr>
              <w:pStyle w:val="Listenabsatz"/>
              <w:ind w:left="453"/>
              <w:rPr>
                <w:b/>
                <w:sz w:val="20"/>
                <w:szCs w:val="20"/>
              </w:rPr>
            </w:pPr>
          </w:p>
        </w:tc>
        <w:tc>
          <w:tcPr>
            <w:tcW w:w="1492" w:type="dxa"/>
          </w:tcPr>
          <w:p>
            <w:pPr>
              <w:rPr>
                <w:sz w:val="22"/>
                <w:szCs w:val="22"/>
              </w:rPr>
            </w:pPr>
          </w:p>
          <w:p>
            <w:pPr>
              <w:rPr>
                <w:sz w:val="22"/>
                <w:szCs w:val="22"/>
              </w:rPr>
            </w:pPr>
          </w:p>
          <w:p>
            <w:pPr>
              <w:rPr>
                <w:sz w:val="22"/>
                <w:szCs w:val="22"/>
              </w:rPr>
            </w:pPr>
            <w:r>
              <w:rPr>
                <w:sz w:val="22"/>
                <w:szCs w:val="22"/>
              </w:rPr>
              <w:t>BMG-Liaison</w:t>
            </w:r>
          </w:p>
        </w:tc>
      </w:tr>
      <w:tr>
        <w:tc>
          <w:tcPr>
            <w:tcW w:w="684" w:type="dxa"/>
          </w:tcPr>
          <w:p>
            <w:pPr>
              <w:rPr>
                <w:b/>
              </w:rPr>
            </w:pPr>
            <w:r>
              <w:rPr>
                <w:b/>
              </w:rPr>
              <w:t>7</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ind w:left="340" w:hanging="340"/>
              <w:rPr>
                <w:b/>
                <w:sz w:val="22"/>
              </w:rPr>
            </w:pPr>
            <w:r>
              <w:rPr>
                <w:b/>
                <w:sz w:val="22"/>
              </w:rPr>
              <w:t>Allgemein</w:t>
            </w:r>
          </w:p>
          <w:p>
            <w:pPr>
              <w:pStyle w:val="Listenabsatz"/>
              <w:numPr>
                <w:ilvl w:val="0"/>
                <w:numId w:val="5"/>
              </w:numPr>
              <w:ind w:left="453" w:hanging="340"/>
              <w:rPr>
                <w:sz w:val="22"/>
                <w:szCs w:val="22"/>
              </w:rPr>
            </w:pPr>
          </w:p>
          <w:p>
            <w:pPr>
              <w:pStyle w:val="Listenabsatz"/>
              <w:numPr>
                <w:ilvl w:val="0"/>
                <w:numId w:val="6"/>
              </w:numPr>
              <w:spacing w:before="120" w:after="120" w:line="276" w:lineRule="auto"/>
              <w:ind w:left="340" w:hanging="340"/>
              <w:rPr>
                <w:i/>
                <w:sz w:val="22"/>
                <w:szCs w:val="22"/>
              </w:rPr>
            </w:pPr>
            <w:r>
              <w:rPr>
                <w:b/>
                <w:sz w:val="22"/>
              </w:rPr>
              <w:t>RKI-intern</w:t>
            </w:r>
          </w:p>
          <w:p>
            <w:pPr>
              <w:pStyle w:val="Listenabsatz"/>
              <w:numPr>
                <w:ilvl w:val="0"/>
                <w:numId w:val="5"/>
              </w:numPr>
              <w:ind w:left="453" w:hanging="340"/>
              <w:rPr>
                <w:sz w:val="22"/>
                <w:szCs w:val="22"/>
              </w:rPr>
            </w:pPr>
            <w:r>
              <w:rPr>
                <w:sz w:val="22"/>
                <w:szCs w:val="22"/>
              </w:rPr>
              <w:t>Vorgestern wurde versehentlich eine alte Version (vor Überarbeitung im Krisenstab) des Strategiepapiers veröffentlicht.  (Anmerkung Datum in Dateinamen sinnvoll)</w:t>
            </w:r>
          </w:p>
          <w:p>
            <w:pPr>
              <w:pStyle w:val="Listenabsatz"/>
              <w:numPr>
                <w:ilvl w:val="1"/>
                <w:numId w:val="5"/>
              </w:numPr>
              <w:ind w:left="907" w:hanging="340"/>
              <w:rPr>
                <w:sz w:val="22"/>
                <w:szCs w:val="22"/>
              </w:rPr>
            </w:pPr>
            <w:r>
              <w:rPr>
                <w:sz w:val="22"/>
                <w:szCs w:val="22"/>
              </w:rPr>
              <w:t>Nun soll das Papier nochmal kurz überarbeitet werden, der Teil zur Impfung mit Hr. Wichmann besprochen und bis Ende nächster Woche fertig gestellt werden. -&gt; Weiterverfolgung des Fortgangs im Krisenstab</w:t>
            </w:r>
          </w:p>
          <w:p>
            <w:pPr>
              <w:pStyle w:val="Listenabsatz"/>
              <w:numPr>
                <w:ilvl w:val="1"/>
                <w:numId w:val="5"/>
              </w:numPr>
              <w:ind w:left="907" w:hanging="340"/>
              <w:rPr>
                <w:sz w:val="22"/>
                <w:szCs w:val="22"/>
              </w:rPr>
            </w:pPr>
            <w:r>
              <w:rPr>
                <w:sz w:val="22"/>
                <w:szCs w:val="22"/>
              </w:rPr>
              <w:lastRenderedPageBreak/>
              <w:t xml:space="preserve">Für die Vorstellung des Papiers wird zusammen mit dem BMG ein passender Weg gesucht. </w:t>
            </w:r>
          </w:p>
          <w:p>
            <w:pPr>
              <w:pStyle w:val="Listenabsatz"/>
              <w:ind w:left="907"/>
              <w:rPr>
                <w:sz w:val="22"/>
                <w:szCs w:val="22"/>
              </w:rPr>
            </w:pPr>
          </w:p>
          <w:p>
            <w:pPr>
              <w:pStyle w:val="Listenabsatz"/>
              <w:numPr>
                <w:ilvl w:val="0"/>
                <w:numId w:val="5"/>
              </w:numPr>
              <w:ind w:left="453" w:hanging="340"/>
              <w:rPr>
                <w:sz w:val="22"/>
                <w:szCs w:val="22"/>
              </w:rPr>
            </w:pPr>
            <w:r>
              <w:rPr>
                <w:sz w:val="22"/>
                <w:szCs w:val="22"/>
              </w:rPr>
              <w:t>Labore haben keine langreichenden Reserven an Testkits. Deshalb wurde in die Laborabfrage die Frage eingefügt, für wie viele Tage im Voraus die Labore Materialien haben.</w:t>
            </w:r>
          </w:p>
          <w:p>
            <w:pPr>
              <w:pStyle w:val="Listenabsatz"/>
              <w:numPr>
                <w:ilvl w:val="1"/>
                <w:numId w:val="5"/>
              </w:numPr>
              <w:ind w:left="907" w:hanging="340"/>
              <w:rPr>
                <w:sz w:val="22"/>
                <w:szCs w:val="22"/>
              </w:rPr>
            </w:pPr>
            <w:r>
              <w:rPr>
                <w:sz w:val="22"/>
                <w:szCs w:val="22"/>
              </w:rPr>
              <w:t>Es ist unwahrscheinlich, dass die hohe Testkapazität für längere Zeit beibehalten werden kann. Der Markt für Testkits wird sich vermutlich verknappen.</w:t>
            </w:r>
          </w:p>
          <w:p>
            <w:pPr>
              <w:rPr>
                <w:sz w:val="22"/>
                <w:szCs w:val="22"/>
              </w:rPr>
            </w:pPr>
            <w:r>
              <w:rPr>
                <w:i/>
                <w:sz w:val="22"/>
                <w:szCs w:val="22"/>
              </w:rPr>
              <w:t xml:space="preserve">ToDo: Für nächsten Bericht mit Ausweisung der Testzahlen soll in Abstimmung mit BMG Disclaimer formuliert werde. </w:t>
            </w:r>
          </w:p>
          <w:p>
            <w:pPr>
              <w:pStyle w:val="Listenabsatz"/>
              <w:ind w:left="453"/>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 / 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Abt.3</w:t>
            </w:r>
          </w:p>
          <w:p>
            <w:pPr>
              <w:rPr>
                <w:sz w:val="22"/>
                <w:szCs w:val="22"/>
              </w:rPr>
            </w:pPr>
          </w:p>
        </w:tc>
      </w:tr>
      <w:tr>
        <w:tc>
          <w:tcPr>
            <w:tcW w:w="684" w:type="dxa"/>
          </w:tcPr>
          <w:p>
            <w:pPr>
              <w:rPr>
                <w:b/>
              </w:rPr>
            </w:pPr>
            <w:r>
              <w:rPr>
                <w:b/>
              </w:rPr>
              <w:lastRenderedPageBreak/>
              <w:t>8</w:t>
            </w:r>
          </w:p>
        </w:tc>
        <w:tc>
          <w:tcPr>
            <w:tcW w:w="6795" w:type="dxa"/>
          </w:tcPr>
          <w:p>
            <w:pPr>
              <w:spacing w:line="276" w:lineRule="auto"/>
              <w:rPr>
                <w:b/>
                <w:sz w:val="28"/>
              </w:rPr>
            </w:pPr>
            <w:r>
              <w:rPr>
                <w:b/>
                <w:sz w:val="28"/>
              </w:rPr>
              <w:t>Dokumente</w:t>
            </w:r>
          </w:p>
          <w:p>
            <w:pPr>
              <w:pStyle w:val="Listenabsatz"/>
              <w:numPr>
                <w:ilvl w:val="0"/>
                <w:numId w:val="5"/>
              </w:numPr>
              <w:ind w:left="453" w:hanging="340"/>
              <w:rPr>
                <w:sz w:val="22"/>
                <w:szCs w:val="22"/>
              </w:rPr>
            </w:pPr>
            <w:r>
              <w:rPr>
                <w:sz w:val="22"/>
                <w:szCs w:val="22"/>
              </w:rPr>
              <w:t>am Montag: Besprechen des Entwurfs zur Definition Reinfektion</w:t>
            </w:r>
          </w:p>
          <w:p>
            <w:pPr>
              <w:pStyle w:val="Listenabsatz"/>
              <w:numPr>
                <w:ilvl w:val="0"/>
                <w:numId w:val="5"/>
              </w:numPr>
              <w:ind w:left="453" w:hanging="340"/>
              <w:rPr>
                <w:sz w:val="22"/>
                <w:szCs w:val="22"/>
              </w:rPr>
            </w:pPr>
            <w:r>
              <w:rPr>
                <w:sz w:val="22"/>
                <w:szCs w:val="22"/>
              </w:rPr>
              <w:t>Änderungen im Kontaktpersonenpapier: noch nicht veröffentlicht</w:t>
            </w:r>
          </w:p>
          <w:p>
            <w:pPr>
              <w:pStyle w:val="Listenabsatz"/>
              <w:ind w:left="453"/>
              <w:rPr>
                <w:i/>
                <w:sz w:val="18"/>
                <w:szCs w:val="18"/>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Informationen zu Arbeitsschutz</w:t>
            </w:r>
          </w:p>
          <w:p>
            <w:pPr>
              <w:pStyle w:val="Listenabsatz"/>
              <w:numPr>
                <w:ilvl w:val="0"/>
                <w:numId w:val="5"/>
              </w:numPr>
              <w:ind w:left="453" w:hanging="340"/>
              <w:rPr>
                <w:sz w:val="22"/>
                <w:szCs w:val="22"/>
              </w:rPr>
            </w:pPr>
            <w:r>
              <w:rPr>
                <w:sz w:val="22"/>
                <w:szCs w:val="22"/>
              </w:rPr>
              <w:t>Nicht besprochen</w:t>
            </w:r>
          </w:p>
          <w:p>
            <w:pPr>
              <w:spacing w:line="276" w:lineRule="auto"/>
              <w:rPr>
                <w:b/>
                <w:sz w:val="18"/>
                <w:szCs w:val="18"/>
              </w:rPr>
            </w:pPr>
          </w:p>
        </w:tc>
        <w:tc>
          <w:tcPr>
            <w:tcW w:w="1492" w:type="dxa"/>
          </w:tcPr>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Labordiagnostik</w:t>
            </w:r>
          </w:p>
          <w:p>
            <w:pPr>
              <w:pStyle w:val="Listenabsatz"/>
              <w:numPr>
                <w:ilvl w:val="0"/>
                <w:numId w:val="5"/>
              </w:numPr>
              <w:ind w:left="453" w:hanging="340"/>
              <w:rPr>
                <w:sz w:val="22"/>
                <w:szCs w:val="22"/>
              </w:rPr>
            </w:pPr>
            <w:r>
              <w:rPr>
                <w:sz w:val="22"/>
                <w:szCs w:val="22"/>
              </w:rPr>
              <w:t>Nicht besprochen</w:t>
            </w:r>
          </w:p>
          <w:p>
            <w:pPr>
              <w:rPr>
                <w:sz w:val="18"/>
                <w:szCs w:val="18"/>
              </w:rPr>
            </w:pPr>
          </w:p>
        </w:tc>
        <w:tc>
          <w:tcPr>
            <w:tcW w:w="1492" w:type="dxa"/>
          </w:tcPr>
          <w:p>
            <w:pPr>
              <w:rPr>
                <w:sz w:val="22"/>
                <w:szCs w:val="22"/>
              </w:rPr>
            </w:pP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szCs w:val="22"/>
              </w:rPr>
            </w:pPr>
            <w:r>
              <w:rPr>
                <w:sz w:val="22"/>
                <w:szCs w:val="22"/>
              </w:rPr>
              <w:t>Nicht besprochen</w:t>
            </w:r>
          </w:p>
          <w:p>
            <w:pPr>
              <w:pStyle w:val="Listenabsatz"/>
              <w:ind w:left="453"/>
              <w:rPr>
                <w:sz w:val="18"/>
                <w:szCs w:val="18"/>
              </w:rPr>
            </w:pPr>
            <w:r>
              <w:rPr>
                <w:sz w:val="18"/>
                <w:szCs w:val="18"/>
              </w:rPr>
              <w:t xml:space="preserve"> </w:t>
            </w:r>
          </w:p>
        </w:tc>
        <w:tc>
          <w:tcPr>
            <w:tcW w:w="1492" w:type="dxa"/>
          </w:tcPr>
          <w:p>
            <w:pPr>
              <w:rPr>
                <w:sz w:val="22"/>
                <w:szCs w:val="22"/>
              </w:rPr>
            </w:pPr>
          </w:p>
          <w:p>
            <w:pPr>
              <w:rPr>
                <w:sz w:val="22"/>
                <w:szCs w:val="22"/>
              </w:rPr>
            </w:pPr>
          </w:p>
        </w:tc>
      </w:tr>
      <w:tr>
        <w:tc>
          <w:tcPr>
            <w:tcW w:w="684" w:type="dxa"/>
          </w:tcPr>
          <w:p>
            <w:pPr>
              <w:rPr>
                <w:b/>
              </w:rPr>
            </w:pPr>
            <w:r>
              <w:rPr>
                <w:b/>
              </w:rPr>
              <w:t>12</w:t>
            </w:r>
          </w:p>
        </w:tc>
        <w:tc>
          <w:tcPr>
            <w:tcW w:w="6795" w:type="dxa"/>
          </w:tcPr>
          <w:p>
            <w:pPr>
              <w:spacing w:line="276" w:lineRule="auto"/>
              <w:rPr>
                <w:b/>
                <w:sz w:val="28"/>
              </w:rPr>
            </w:pPr>
            <w:r>
              <w:rPr>
                <w:b/>
                <w:sz w:val="28"/>
              </w:rPr>
              <w:t>Maßnahmen zum Infektionsschutz</w:t>
            </w:r>
          </w:p>
          <w:p>
            <w:pPr>
              <w:pStyle w:val="Listenabsatz"/>
              <w:numPr>
                <w:ilvl w:val="0"/>
                <w:numId w:val="5"/>
              </w:numPr>
              <w:ind w:left="453" w:hanging="340"/>
            </w:pPr>
            <w:r>
              <w:t>UBA-Stellungnahme zur Lüftung veröffentlicht, verlinkt in FAQ zu Aerosolen</w:t>
            </w:r>
          </w:p>
          <w:p>
            <w:pPr>
              <w:pStyle w:val="Listenabsatz"/>
              <w:numPr>
                <w:ilvl w:val="1"/>
                <w:numId w:val="5"/>
              </w:numPr>
              <w:ind w:left="907" w:hanging="340"/>
              <w:rPr>
                <w:sz w:val="22"/>
                <w:szCs w:val="22"/>
              </w:rPr>
            </w:pPr>
            <w:r>
              <w:rPr>
                <w:sz w:val="22"/>
                <w:szCs w:val="22"/>
              </w:rPr>
              <w:t xml:space="preserve">RKI war an Abstimmung des Dokumentes der UBA beteiligt.  </w:t>
            </w:r>
          </w:p>
          <w:p>
            <w:pPr>
              <w:pStyle w:val="Listenabsatz"/>
              <w:numPr>
                <w:ilvl w:val="1"/>
                <w:numId w:val="5"/>
              </w:numPr>
              <w:ind w:left="907" w:hanging="340"/>
              <w:rPr>
                <w:sz w:val="22"/>
                <w:szCs w:val="22"/>
              </w:rPr>
            </w:pPr>
            <w:r>
              <w:rPr>
                <w:sz w:val="22"/>
                <w:szCs w:val="22"/>
              </w:rPr>
              <w:t>Dokument ist anwenderfreundlich geschrieben. Link wird versendet, evtl. falls Zeit auch kurze Vorstellung im Krisenstab.</w:t>
            </w:r>
          </w:p>
          <w:p>
            <w:pPr>
              <w:pStyle w:val="Listenabsatz"/>
              <w:ind w:left="907"/>
              <w:rPr>
                <w:sz w:val="22"/>
                <w:szCs w:val="22"/>
              </w:rPr>
            </w:pPr>
            <w:r>
              <w:rPr>
                <w:sz w:val="22"/>
                <w:szCs w:val="22"/>
              </w:rPr>
              <w:t xml:space="preserve"> </w:t>
            </w:r>
          </w:p>
        </w:tc>
        <w:tc>
          <w:tcPr>
            <w:tcW w:w="1492" w:type="dxa"/>
          </w:tcPr>
          <w:p>
            <w:pPr>
              <w:rPr>
                <w:sz w:val="22"/>
                <w:szCs w:val="22"/>
              </w:rPr>
            </w:pPr>
          </w:p>
          <w:p>
            <w:pPr>
              <w:rPr>
                <w:sz w:val="22"/>
                <w:szCs w:val="22"/>
              </w:rPr>
            </w:pPr>
          </w:p>
          <w:p>
            <w:pPr>
              <w:rPr>
                <w:sz w:val="22"/>
                <w:szCs w:val="22"/>
              </w:rPr>
            </w:pPr>
            <w:r>
              <w:rPr>
                <w:sz w:val="22"/>
                <w:szCs w:val="22"/>
              </w:rPr>
              <w:t>FG14</w:t>
            </w:r>
          </w:p>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2"/>
              </w:rPr>
            </w:pPr>
            <w:r>
              <w:rPr>
                <w:b/>
                <w:sz w:val="28"/>
              </w:rPr>
              <w:t>Surveillance</w:t>
            </w:r>
          </w:p>
          <w:p>
            <w:pPr>
              <w:pStyle w:val="Listenabsatz"/>
              <w:numPr>
                <w:ilvl w:val="0"/>
                <w:numId w:val="5"/>
              </w:numPr>
              <w:ind w:left="453" w:hanging="340"/>
              <w:rPr>
                <w:sz w:val="22"/>
              </w:rPr>
            </w:pPr>
            <w:r>
              <w:t xml:space="preserve">Clinco100, Studie zu Symptomprävalenz und –dauer bei Erkrankten mit leichtem Verlauf (Folien </w:t>
            </w:r>
            <w:hyperlink r:id="rId12" w:history="1">
              <w:r>
                <w:rPr>
                  <w:rStyle w:val="Hyperlink"/>
                </w:rPr>
                <w:t>hier</w:t>
              </w:r>
            </w:hyperlink>
            <w:r>
              <w:t>)</w:t>
            </w:r>
          </w:p>
          <w:p>
            <w:pPr>
              <w:pStyle w:val="Listenabsatz"/>
              <w:numPr>
                <w:ilvl w:val="1"/>
                <w:numId w:val="5"/>
              </w:numPr>
              <w:ind w:left="907" w:hanging="340"/>
              <w:rPr>
                <w:sz w:val="22"/>
                <w:szCs w:val="22"/>
              </w:rPr>
            </w:pPr>
            <w:r>
              <w:rPr>
                <w:sz w:val="22"/>
                <w:szCs w:val="22"/>
              </w:rPr>
              <w:t>Amtshilfeersuchen des GA Berlin-Mitte 03/2020 zur Aufarbeitung eines Ausbruchs in einem Nachtclub</w:t>
            </w:r>
          </w:p>
          <w:p>
            <w:pPr>
              <w:pStyle w:val="Listenabsatz"/>
              <w:numPr>
                <w:ilvl w:val="1"/>
                <w:numId w:val="5"/>
              </w:numPr>
              <w:ind w:left="907" w:hanging="340"/>
              <w:rPr>
                <w:sz w:val="22"/>
                <w:szCs w:val="22"/>
              </w:rPr>
            </w:pPr>
            <w:r>
              <w:rPr>
                <w:sz w:val="22"/>
                <w:szCs w:val="22"/>
              </w:rPr>
              <w:t>In Routinearbeit war aufgefallen, dass viele Patienten nach 14 Tagen noch Symptome haben.</w:t>
            </w:r>
          </w:p>
          <w:p>
            <w:pPr>
              <w:pStyle w:val="Listenabsatz"/>
              <w:numPr>
                <w:ilvl w:val="1"/>
                <w:numId w:val="5"/>
              </w:numPr>
              <w:ind w:left="907" w:hanging="340"/>
              <w:rPr>
                <w:sz w:val="22"/>
                <w:szCs w:val="22"/>
              </w:rPr>
            </w:pPr>
            <w:r>
              <w:rPr>
                <w:sz w:val="22"/>
                <w:szCs w:val="22"/>
              </w:rPr>
              <w:t>Es gibt wenige klinisch-epidemiologische Studien bei ambulanten Patienten mit mildem Verlauf, gleichzeitig Berichte zu gesundheitlichen Langzeitfolgen auch bei leichtem Verlauf.</w:t>
            </w:r>
          </w:p>
          <w:p>
            <w:pPr>
              <w:pStyle w:val="Listenabsatz"/>
              <w:numPr>
                <w:ilvl w:val="1"/>
                <w:numId w:val="5"/>
              </w:numPr>
              <w:ind w:left="907" w:hanging="340"/>
              <w:rPr>
                <w:sz w:val="22"/>
                <w:szCs w:val="22"/>
              </w:rPr>
            </w:pPr>
            <w:r>
              <w:rPr>
                <w:sz w:val="22"/>
                <w:szCs w:val="22"/>
              </w:rPr>
              <w:t xml:space="preserve">Alle Pat eingeschlossen, die nicht hospitalisiert waren und vor 9. Tag nach Symptombeginn gemeldet wurden. </w:t>
            </w:r>
          </w:p>
          <w:p>
            <w:pPr>
              <w:pStyle w:val="Listenabsatz"/>
              <w:numPr>
                <w:ilvl w:val="1"/>
                <w:numId w:val="5"/>
              </w:numPr>
              <w:ind w:left="907" w:hanging="340"/>
              <w:rPr>
                <w:sz w:val="22"/>
                <w:szCs w:val="22"/>
              </w:rPr>
            </w:pPr>
            <w:r>
              <w:rPr>
                <w:sz w:val="22"/>
                <w:szCs w:val="22"/>
              </w:rPr>
              <w:t>Befragung von 102 Erkrankten, nach 1.bzw. 2. Woche; 14-</w:t>
            </w:r>
            <w:r>
              <w:rPr>
                <w:sz w:val="22"/>
                <w:szCs w:val="22"/>
              </w:rPr>
              <w:lastRenderedPageBreak/>
              <w:t>Tage tagesgenaue Symptomdokumentation; an Tag 30 erneute Befragung; an Tag 60 Befragung von Personen, die an Tag 30 noch symptomatisch waren.</w:t>
            </w:r>
          </w:p>
          <w:p>
            <w:pPr>
              <w:pStyle w:val="Listenabsatz"/>
              <w:numPr>
                <w:ilvl w:val="1"/>
                <w:numId w:val="5"/>
              </w:numPr>
              <w:ind w:left="907" w:hanging="340"/>
              <w:rPr>
                <w:sz w:val="22"/>
                <w:szCs w:val="22"/>
              </w:rPr>
            </w:pPr>
            <w:r>
              <w:rPr>
                <w:sz w:val="22"/>
                <w:szCs w:val="22"/>
              </w:rPr>
              <w:t>Fragen zu spezifischen Symptomen und deren Intensität sowie zum Krankheitsgefühl.</w:t>
            </w:r>
          </w:p>
          <w:p>
            <w:pPr>
              <w:pStyle w:val="Listenabsatz"/>
              <w:numPr>
                <w:ilvl w:val="1"/>
                <w:numId w:val="5"/>
              </w:numPr>
              <w:ind w:left="907" w:hanging="340"/>
              <w:rPr>
                <w:sz w:val="22"/>
                <w:szCs w:val="22"/>
              </w:rPr>
            </w:pPr>
            <w:r>
              <w:rPr>
                <w:sz w:val="22"/>
                <w:szCs w:val="22"/>
              </w:rPr>
              <w:t>Relativ junge Population (Median 35 Jahre) mit wenig Komorbiditäten, 50% Gesundheitsmitarbeitende.</w:t>
            </w:r>
          </w:p>
          <w:p>
            <w:pPr>
              <w:pStyle w:val="Listenabsatz"/>
              <w:numPr>
                <w:ilvl w:val="1"/>
                <w:numId w:val="5"/>
              </w:numPr>
              <w:ind w:left="907" w:hanging="340"/>
              <w:rPr>
                <w:sz w:val="22"/>
                <w:szCs w:val="22"/>
              </w:rPr>
            </w:pPr>
            <w:r>
              <w:rPr>
                <w:sz w:val="22"/>
                <w:szCs w:val="22"/>
              </w:rPr>
              <w:t>Ergebnisse:</w:t>
            </w:r>
          </w:p>
          <w:p>
            <w:pPr>
              <w:pStyle w:val="Listenabsatz"/>
              <w:numPr>
                <w:ilvl w:val="2"/>
                <w:numId w:val="5"/>
              </w:numPr>
              <w:ind w:left="1491" w:hanging="357"/>
              <w:rPr>
                <w:sz w:val="22"/>
                <w:szCs w:val="22"/>
              </w:rPr>
            </w:pPr>
            <w:r>
              <w:rPr>
                <w:sz w:val="22"/>
                <w:szCs w:val="22"/>
              </w:rPr>
              <w:t>94% der Befragten fühlen sich krank, am häufigsten genannt wurde allgemeines Krankheitsgefühl, Kopfschmerzen, Schnupfen, Muskelschmerzen, Husten.</w:t>
            </w:r>
          </w:p>
          <w:p>
            <w:pPr>
              <w:pStyle w:val="Listenabsatz"/>
              <w:numPr>
                <w:ilvl w:val="2"/>
                <w:numId w:val="5"/>
              </w:numPr>
              <w:ind w:left="1491" w:hanging="357"/>
              <w:rPr>
                <w:sz w:val="22"/>
                <w:szCs w:val="22"/>
              </w:rPr>
            </w:pPr>
            <w:r>
              <w:rPr>
                <w:sz w:val="22"/>
                <w:szCs w:val="22"/>
              </w:rPr>
              <w:t xml:space="preserve">Symptomprävalenz im zeitlichen Verlauf: Schnupfen und Husten waren relativ gleichmäßig über beide Wochen verteilt. Kopf- und Muskelschmerzen traten vor allem an den ersten Krankheitstagen auf, Geruchs- und Geschmacksstörungen eher ab der 2.Woche. </w:t>
            </w:r>
          </w:p>
          <w:p>
            <w:pPr>
              <w:pStyle w:val="Listenabsatz"/>
              <w:numPr>
                <w:ilvl w:val="2"/>
                <w:numId w:val="5"/>
              </w:numPr>
              <w:ind w:left="1491" w:hanging="357"/>
              <w:rPr>
                <w:sz w:val="22"/>
                <w:szCs w:val="22"/>
              </w:rPr>
            </w:pPr>
            <w:r>
              <w:rPr>
                <w:sz w:val="22"/>
                <w:szCs w:val="22"/>
              </w:rPr>
              <w:t xml:space="preserve">Im Median fühlten sich die Patienten 11 Tag krank. An Tag 30 fühlte sich immer noch 1/3 krank. </w:t>
            </w:r>
          </w:p>
          <w:p>
            <w:pPr>
              <w:pStyle w:val="Listenabsatz"/>
              <w:numPr>
                <w:ilvl w:val="2"/>
                <w:numId w:val="5"/>
              </w:numPr>
              <w:ind w:left="1491" w:hanging="357"/>
              <w:rPr>
                <w:sz w:val="22"/>
                <w:szCs w:val="22"/>
              </w:rPr>
            </w:pPr>
            <w:r>
              <w:rPr>
                <w:sz w:val="22"/>
                <w:szCs w:val="22"/>
              </w:rPr>
              <w:t xml:space="preserve">42% haben an Tag 30 noch min. ein Symptom. </w:t>
            </w:r>
          </w:p>
          <w:p>
            <w:pPr>
              <w:pStyle w:val="Listenabsatz"/>
              <w:numPr>
                <w:ilvl w:val="2"/>
                <w:numId w:val="5"/>
              </w:numPr>
              <w:ind w:left="1491" w:hanging="357"/>
              <w:rPr>
                <w:sz w:val="22"/>
                <w:szCs w:val="22"/>
              </w:rPr>
            </w:pPr>
            <w:r>
              <w:rPr>
                <w:sz w:val="22"/>
                <w:szCs w:val="22"/>
              </w:rPr>
              <w:t xml:space="preserve">Mehr als die Hälfte (56%)der Erkrankten mit Symptomen an Tag 30 hat auch an Tag 60 noch Symptome. </w:t>
            </w:r>
          </w:p>
          <w:p>
            <w:pPr>
              <w:pStyle w:val="Listenabsatz"/>
              <w:numPr>
                <w:ilvl w:val="1"/>
                <w:numId w:val="5"/>
              </w:numPr>
              <w:ind w:left="907" w:hanging="340"/>
              <w:rPr>
                <w:sz w:val="22"/>
              </w:rPr>
            </w:pPr>
            <w:r>
              <w:rPr>
                <w:sz w:val="22"/>
              </w:rPr>
              <w:t>Schlussfolgerungen:</w:t>
            </w:r>
          </w:p>
          <w:p>
            <w:pPr>
              <w:pStyle w:val="Listenabsatz"/>
              <w:numPr>
                <w:ilvl w:val="2"/>
                <w:numId w:val="5"/>
              </w:numPr>
              <w:ind w:left="1491" w:hanging="357"/>
              <w:rPr>
                <w:sz w:val="22"/>
                <w:szCs w:val="22"/>
              </w:rPr>
            </w:pPr>
            <w:r>
              <w:rPr>
                <w:sz w:val="22"/>
              </w:rPr>
              <w:t>Symptomprävalenz unterscheidet sich zu Pat. mit schweren Verläufen.</w:t>
            </w:r>
            <w:r>
              <w:rPr>
                <w:sz w:val="22"/>
                <w:szCs w:val="22"/>
              </w:rPr>
              <w:t xml:space="preserve"> </w:t>
            </w:r>
          </w:p>
          <w:p>
            <w:pPr>
              <w:pStyle w:val="Listenabsatz"/>
              <w:numPr>
                <w:ilvl w:val="2"/>
                <w:numId w:val="5"/>
              </w:numPr>
              <w:ind w:left="1491" w:hanging="357"/>
              <w:rPr>
                <w:sz w:val="22"/>
                <w:szCs w:val="22"/>
              </w:rPr>
            </w:pPr>
            <w:r>
              <w:rPr>
                <w:sz w:val="22"/>
              </w:rPr>
              <w:t>Persistierende Symptome sind auch 2 Monate nach Symptombeginn nicht selten.</w:t>
            </w:r>
            <w:r>
              <w:rPr>
                <w:sz w:val="22"/>
                <w:szCs w:val="22"/>
              </w:rPr>
              <w:t xml:space="preserve"> </w:t>
            </w:r>
          </w:p>
          <w:p>
            <w:pPr>
              <w:pStyle w:val="Listenabsatz"/>
              <w:numPr>
                <w:ilvl w:val="1"/>
                <w:numId w:val="5"/>
              </w:numPr>
              <w:ind w:left="907" w:hanging="340"/>
              <w:rPr>
                <w:sz w:val="22"/>
              </w:rPr>
            </w:pPr>
            <w:r>
              <w:rPr>
                <w:sz w:val="22"/>
              </w:rPr>
              <w:t>Unspezifische Zeichen wie Kopf- und Muskelschmerzen sind weniger hilfreich für Testung. Husten und Geschmacks- und Geruchsstörung könnten noch stärker berücksichtigt werden, bei der Entscheidung, wer sich testen lassen sollte.</w:t>
            </w:r>
          </w:p>
          <w:p>
            <w:pPr>
              <w:pStyle w:val="Listenabsatz"/>
              <w:numPr>
                <w:ilvl w:val="1"/>
                <w:numId w:val="5"/>
              </w:numPr>
              <w:ind w:left="907" w:hanging="340"/>
              <w:rPr>
                <w:sz w:val="22"/>
              </w:rPr>
            </w:pPr>
            <w:r>
              <w:rPr>
                <w:sz w:val="22"/>
              </w:rPr>
              <w:t>Wie kann Riechstörung objektiviert werden? Was konnten die Pat. nicht riechen? Es gibt qualitative Daten hierzu, die aber noch nicht ausgewertet sind.</w:t>
            </w:r>
          </w:p>
          <w:p>
            <w:pPr>
              <w:pStyle w:val="Listenabsatz"/>
              <w:numPr>
                <w:ilvl w:val="1"/>
                <w:numId w:val="5"/>
              </w:numPr>
              <w:ind w:left="907" w:hanging="340"/>
              <w:rPr>
                <w:sz w:val="22"/>
              </w:rPr>
            </w:pPr>
            <w:r>
              <w:rPr>
                <w:sz w:val="22"/>
              </w:rPr>
              <w:t>Wie sollte das kommuniziert werden? Es handelt sich um wirklich relevante Ergebnisse zur jungen Altersgruppe. 25% fühlen sich nach einer Woche noch schwer krank. Wie kann das zeitnah kommuniziert werden? Geplant ist eine  internationale Veröffentlichung.</w:t>
            </w:r>
          </w:p>
          <w:p>
            <w:pPr>
              <w:pStyle w:val="Listenabsatz"/>
              <w:numPr>
                <w:ilvl w:val="1"/>
                <w:numId w:val="5"/>
              </w:numPr>
              <w:ind w:left="907" w:hanging="340"/>
              <w:rPr>
                <w:sz w:val="22"/>
              </w:rPr>
            </w:pPr>
            <w:r>
              <w:rPr>
                <w:sz w:val="22"/>
              </w:rPr>
              <w:t>Ergebnisse sollten an mehreren Stellen kommuniziert werden. Nicht auf internationale Veröffentlichung warten, damit die Ergebnisse rasch für Diskussion in Deutschland verfügbar sein. (z.B. Ärzteblatt oder Epid. Bull)</w:t>
            </w:r>
          </w:p>
          <w:p>
            <w:pPr>
              <w:pStyle w:val="Listenabsatz"/>
              <w:numPr>
                <w:ilvl w:val="1"/>
                <w:numId w:val="5"/>
              </w:numPr>
              <w:ind w:left="907" w:hanging="340"/>
              <w:rPr>
                <w:sz w:val="22"/>
              </w:rPr>
            </w:pPr>
            <w:r>
              <w:rPr>
                <w:sz w:val="22"/>
              </w:rPr>
              <w:t>Symptomfreiheit soll in Software berücksichtigt werden, wie könnte das am besten erfragt werden. Diskussion in kleinerer Runde.</w:t>
            </w:r>
          </w:p>
          <w:p>
            <w:pPr>
              <w:pStyle w:val="Listenabsatz"/>
              <w:numPr>
                <w:ilvl w:val="1"/>
                <w:numId w:val="5"/>
              </w:numPr>
              <w:ind w:left="907" w:hanging="340"/>
              <w:rPr>
                <w:sz w:val="22"/>
              </w:rPr>
            </w:pPr>
            <w:r>
              <w:rPr>
                <w:sz w:val="22"/>
              </w:rPr>
              <w:t xml:space="preserve">Interessant wäre bei diesen Pat. mit mildem Verlauf die Antikörperbildung zu erheben. Wurde bisher nicht gemacht, könnte evtl. aber nachgereicht werden. Das Register der </w:t>
            </w:r>
            <w:r>
              <w:rPr>
                <w:sz w:val="22"/>
              </w:rPr>
              <w:lastRenderedPageBreak/>
              <w:t>Patienten ist im GA noch vorhanden.</w:t>
            </w:r>
          </w:p>
          <w:p>
            <w:pPr>
              <w:pStyle w:val="Listenabsatz"/>
              <w:ind w:left="907"/>
              <w:rPr>
                <w:sz w:val="22"/>
              </w:rPr>
            </w:pPr>
          </w:p>
        </w:tc>
        <w:tc>
          <w:tcPr>
            <w:tcW w:w="1492" w:type="dxa"/>
          </w:tcPr>
          <w:p>
            <w:pPr>
              <w:rPr>
                <w:sz w:val="22"/>
                <w:szCs w:val="22"/>
              </w:rPr>
            </w:pPr>
          </w:p>
          <w:p>
            <w:pPr>
              <w:rPr>
                <w:sz w:val="22"/>
                <w:szCs w:val="22"/>
              </w:rPr>
            </w:pPr>
          </w:p>
          <w:p>
            <w:pPr>
              <w:rPr>
                <w:sz w:val="22"/>
                <w:szCs w:val="22"/>
              </w:rPr>
            </w:pPr>
            <w:r>
              <w:rPr>
                <w:sz w:val="22"/>
                <w:szCs w:val="22"/>
              </w:rPr>
              <w:t>FG32</w:t>
            </w:r>
          </w:p>
          <w:p>
            <w:pPr>
              <w:rPr>
                <w:sz w:val="22"/>
                <w:szCs w:val="22"/>
              </w:rPr>
            </w:pPr>
            <w:r>
              <w:rPr>
                <w:sz w:val="22"/>
                <w:szCs w:val="22"/>
              </w:rPr>
              <w:t>Nadine Muller</w:t>
            </w:r>
          </w:p>
          <w:p>
            <w:pPr>
              <w:rPr>
                <w:sz w:val="22"/>
                <w:szCs w:val="22"/>
              </w:rPr>
            </w:pPr>
          </w:p>
        </w:tc>
      </w:tr>
      <w:tr>
        <w:tc>
          <w:tcPr>
            <w:tcW w:w="684" w:type="dxa"/>
          </w:tcPr>
          <w:p>
            <w:pPr>
              <w:rPr>
                <w:b/>
              </w:rPr>
            </w:pPr>
            <w:r>
              <w:rPr>
                <w:b/>
              </w:rPr>
              <w:lastRenderedPageBreak/>
              <w:t>14</w:t>
            </w:r>
          </w:p>
        </w:tc>
        <w:tc>
          <w:tcPr>
            <w:tcW w:w="6795" w:type="dxa"/>
          </w:tcPr>
          <w:p>
            <w:pPr>
              <w:spacing w:line="276" w:lineRule="auto"/>
              <w:rPr>
                <w:b/>
                <w:sz w:val="28"/>
              </w:rPr>
            </w:pPr>
            <w:r>
              <w:rPr>
                <w:b/>
                <w:sz w:val="28"/>
              </w:rPr>
              <w:t xml:space="preserve">Transport und Grenzübergangsstellen </w:t>
            </w:r>
            <w:r>
              <w:rPr>
                <w:b/>
                <w:color w:val="FF0000"/>
              </w:rPr>
              <w:t>(nur freitags)</w:t>
            </w:r>
          </w:p>
          <w:p>
            <w:pPr>
              <w:pStyle w:val="Listenabsatz"/>
              <w:numPr>
                <w:ilvl w:val="0"/>
                <w:numId w:val="5"/>
              </w:numPr>
              <w:ind w:left="453" w:hanging="340"/>
              <w:rPr>
                <w:sz w:val="22"/>
              </w:rPr>
            </w:pPr>
            <w:r>
              <w:rPr>
                <w:sz w:val="22"/>
              </w:rPr>
              <w:t>Nicht besprochen</w:t>
            </w:r>
          </w:p>
          <w:p>
            <w:pPr>
              <w:pStyle w:val="Listenabsatz"/>
              <w:ind w:left="453"/>
              <w:rPr>
                <w:sz w:val="18"/>
                <w:szCs w:val="18"/>
              </w:rPr>
            </w:pPr>
          </w:p>
        </w:tc>
        <w:tc>
          <w:tcPr>
            <w:tcW w:w="1492" w:type="dxa"/>
          </w:tcPr>
          <w:p>
            <w:pPr>
              <w:rPr>
                <w:sz w:val="22"/>
                <w:szCs w:val="22"/>
              </w:rPr>
            </w:pPr>
          </w:p>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5"/>
              </w:numPr>
              <w:ind w:left="453" w:hanging="340"/>
              <w:rPr>
                <w:sz w:val="22"/>
                <w:szCs w:val="22"/>
              </w:rPr>
            </w:pPr>
            <w:r>
              <w:rPr>
                <w:sz w:val="22"/>
                <w:szCs w:val="22"/>
              </w:rPr>
              <w:t>Position internationale Kommunikation:</w:t>
            </w:r>
          </w:p>
          <w:p>
            <w:pPr>
              <w:pStyle w:val="Listenabsatz"/>
              <w:numPr>
                <w:ilvl w:val="1"/>
                <w:numId w:val="5"/>
              </w:numPr>
              <w:ind w:left="907" w:hanging="340"/>
              <w:rPr>
                <w:sz w:val="22"/>
              </w:rPr>
            </w:pPr>
            <w:r>
              <w:rPr>
                <w:sz w:val="22"/>
              </w:rPr>
              <w:t xml:space="preserve">ist sehr belastet, deshalb die Frage, wo erleichtert werden könnte. Wenn auf die derzeitige Empfehlung, auch Kontaktpersonen der Kategorie 2 zu informieren, verzichtet werden könnte, würde das sehr viel Zeit sparen. </w:t>
            </w:r>
          </w:p>
          <w:p>
            <w:pPr>
              <w:pStyle w:val="Listenabsatz"/>
              <w:numPr>
                <w:ilvl w:val="1"/>
                <w:numId w:val="5"/>
              </w:numPr>
              <w:ind w:left="907" w:hanging="340"/>
              <w:rPr>
                <w:sz w:val="22"/>
              </w:rPr>
            </w:pPr>
            <w:r>
              <w:rPr>
                <w:sz w:val="22"/>
              </w:rPr>
              <w:t xml:space="preserve">Bei Amtshilfeersuchen soll geantwortet werden, dass dies im Moment aus Kapazitätsgründen nicht übernommen werden kann. </w:t>
            </w:r>
          </w:p>
          <w:p>
            <w:pPr>
              <w:pStyle w:val="Listenabsatz"/>
              <w:numPr>
                <w:ilvl w:val="1"/>
                <w:numId w:val="5"/>
              </w:numPr>
              <w:ind w:left="907" w:hanging="340"/>
              <w:rPr>
                <w:sz w:val="22"/>
              </w:rPr>
            </w:pPr>
            <w:r>
              <w:rPr>
                <w:sz w:val="22"/>
              </w:rPr>
              <w:t xml:space="preserve">Es wurde beschlossen, die KoNa ab dem Wochenende einzuschränken. Dies soll am Montag nochmal von Hr. Schaade bestätigt werden. </w:t>
            </w:r>
          </w:p>
          <w:p>
            <w:pPr>
              <w:pStyle w:val="Listenabsatz"/>
              <w:numPr>
                <w:ilvl w:val="0"/>
                <w:numId w:val="5"/>
              </w:numPr>
              <w:ind w:left="453" w:hanging="340"/>
              <w:rPr>
                <w:sz w:val="22"/>
                <w:szCs w:val="22"/>
              </w:rPr>
            </w:pPr>
            <w:r>
              <w:rPr>
                <w:sz w:val="22"/>
                <w:szCs w:val="22"/>
              </w:rPr>
              <w:t>Aussteigekarten:</w:t>
            </w:r>
          </w:p>
          <w:p>
            <w:pPr>
              <w:pStyle w:val="Listenabsatz"/>
              <w:numPr>
                <w:ilvl w:val="1"/>
                <w:numId w:val="5"/>
              </w:numPr>
              <w:ind w:left="907" w:hanging="340"/>
              <w:rPr>
                <w:sz w:val="22"/>
              </w:rPr>
            </w:pPr>
            <w:r>
              <w:rPr>
                <w:sz w:val="22"/>
              </w:rPr>
              <w:t>Feedback von TK IGV-benannter Flughäfen liefert ein sehr buntes Bild: Brandenburg z.B. erhält sie nicht, Bayern verwendet sie nicht; zum Teil Überlastung der Faxnummern oder Stapeln der Karten</w:t>
            </w:r>
          </w:p>
          <w:p>
            <w:pPr>
              <w:pStyle w:val="Listenabsatz"/>
              <w:numPr>
                <w:ilvl w:val="1"/>
                <w:numId w:val="5"/>
              </w:numPr>
              <w:ind w:left="907" w:hanging="340"/>
              <w:rPr>
                <w:sz w:val="22"/>
              </w:rPr>
            </w:pPr>
            <w:r>
              <w:rPr>
                <w:sz w:val="22"/>
              </w:rPr>
              <w:t xml:space="preserve">Projekt zur elektronischen Aussteigekarte: RKI möchte nicht permanenter Partner sein, wie soll hier weiterverfahren werden? </w:t>
            </w:r>
          </w:p>
          <w:p>
            <w:pPr>
              <w:pStyle w:val="Listenabsatz"/>
              <w:numPr>
                <w:ilvl w:val="1"/>
                <w:numId w:val="5"/>
              </w:numPr>
              <w:ind w:left="907" w:hanging="340"/>
              <w:rPr>
                <w:sz w:val="22"/>
              </w:rPr>
            </w:pPr>
            <w:r>
              <w:rPr>
                <w:sz w:val="22"/>
              </w:rPr>
              <w:t>Es wird keine technische nur inhaltliche Unterstützung erwartet, umfasst wöchentlich 1-2 Besprechungen und würde ca. 50% der Arbeitszeit einer Person binden.</w:t>
            </w:r>
          </w:p>
          <w:p>
            <w:pPr>
              <w:pStyle w:val="Listenabsatz"/>
              <w:numPr>
                <w:ilvl w:val="1"/>
                <w:numId w:val="5"/>
              </w:numPr>
              <w:ind w:left="907" w:hanging="340"/>
              <w:rPr>
                <w:sz w:val="22"/>
              </w:rPr>
            </w:pPr>
            <w:r>
              <w:rPr>
                <w:sz w:val="22"/>
              </w:rPr>
              <w:t>Es handelt sich nicht um eine generische Lösung, die auch längerfristig für andere Infektionskrankheiten verfügbar wäre. Die Aussteigekarten dienen nicht der KoNa, sondern der Kontrolle für GA, ob Personen der Quarantäne nachkommen.</w:t>
            </w:r>
          </w:p>
          <w:p>
            <w:pPr>
              <w:pStyle w:val="Listenabsatz"/>
              <w:numPr>
                <w:ilvl w:val="1"/>
                <w:numId w:val="5"/>
              </w:numPr>
              <w:ind w:left="907" w:hanging="340"/>
              <w:rPr>
                <w:sz w:val="22"/>
                <w:szCs w:val="22"/>
              </w:rPr>
            </w:pPr>
            <w:r>
              <w:rPr>
                <w:sz w:val="22"/>
              </w:rPr>
              <w:t>BMG könnte evtl. mitgeteilt werden, dass dann etwas anderes depriorisiert werden muss. Zunächst soll genauer präzisiert werden, was für Expertise erforderlich ist. Dann muss jemand benannt werden.</w:t>
            </w:r>
          </w:p>
        </w:tc>
        <w:tc>
          <w:tcPr>
            <w:tcW w:w="1492" w:type="dxa"/>
          </w:tcPr>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16</w:t>
            </w:r>
          </w:p>
        </w:tc>
        <w:tc>
          <w:tcPr>
            <w:tcW w:w="6795" w:type="dxa"/>
          </w:tcPr>
          <w:p>
            <w:pPr>
              <w:spacing w:line="276" w:lineRule="auto"/>
              <w:rPr>
                <w:b/>
                <w:sz w:val="28"/>
              </w:rPr>
            </w:pPr>
            <w:r>
              <w:rPr>
                <w:b/>
                <w:sz w:val="28"/>
              </w:rPr>
              <w:t>Wichtige Termine</w:t>
            </w:r>
          </w:p>
          <w:p>
            <w:pPr>
              <w:pStyle w:val="Listenabsatz"/>
              <w:numPr>
                <w:ilvl w:val="0"/>
                <w:numId w:val="5"/>
              </w:numPr>
              <w:ind w:left="453" w:hanging="340"/>
              <w:rPr>
                <w:sz w:val="22"/>
                <w:szCs w:val="22"/>
                <w:lang w:val="en-US"/>
              </w:rPr>
            </w:pPr>
          </w:p>
        </w:tc>
        <w:tc>
          <w:tcPr>
            <w:tcW w:w="1492" w:type="dxa"/>
          </w:tcPr>
          <w:p>
            <w:pPr>
              <w:rPr>
                <w:sz w:val="22"/>
                <w:szCs w:val="22"/>
                <w:lang w:val="en-US"/>
              </w:rPr>
            </w:pPr>
          </w:p>
          <w:p>
            <w:pPr>
              <w:rPr>
                <w:sz w:val="22"/>
                <w:szCs w:val="22"/>
              </w:rPr>
            </w:pPr>
          </w:p>
        </w:tc>
      </w:tr>
      <w:tr>
        <w:tc>
          <w:tcPr>
            <w:tcW w:w="684" w:type="dxa"/>
          </w:tcPr>
          <w:p>
            <w:pPr>
              <w:rPr>
                <w:b/>
              </w:rPr>
            </w:pPr>
            <w:r>
              <w:rPr>
                <w:b/>
              </w:rPr>
              <w:t>17</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Nächste Sitzung: Montag, 17.08.2020, 13:00 Uhr, via Vitero</w:t>
            </w:r>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headerReference w:type="even" r:id="rId13"/>
      <w:headerReference w:type="default" r:id="rId14"/>
      <w:footerReference w:type="even" r:id="rId15"/>
      <w:footerReference w:type="default" r:id="rId16"/>
      <w:headerReference w:type="first" r:id="rId17"/>
      <w:footerReference w:type="first" r:id="rId18"/>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B397807"/>
    <w:multiLevelType w:val="hybridMultilevel"/>
    <w:tmpl w:val="6E182EA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0"/>
  </w:num>
  <w:num w:numId="2">
    <w:abstractNumId w:val="4"/>
  </w:num>
  <w:num w:numId="3">
    <w:abstractNumId w:val="3"/>
  </w:num>
  <w:num w:numId="4">
    <w:abstractNumId w:val="17"/>
  </w:num>
  <w:num w:numId="5">
    <w:abstractNumId w:val="7"/>
  </w:num>
  <w:num w:numId="6">
    <w:abstractNumId w:val="18"/>
  </w:num>
  <w:num w:numId="7">
    <w:abstractNumId w:val="23"/>
  </w:num>
  <w:num w:numId="8">
    <w:abstractNumId w:val="13"/>
  </w:num>
  <w:num w:numId="9">
    <w:abstractNumId w:val="5"/>
  </w:num>
  <w:num w:numId="10">
    <w:abstractNumId w:val="27"/>
  </w:num>
  <w:num w:numId="11">
    <w:abstractNumId w:val="22"/>
  </w:num>
  <w:num w:numId="12">
    <w:abstractNumId w:val="15"/>
  </w:num>
  <w:num w:numId="13">
    <w:abstractNumId w:val="12"/>
  </w:num>
  <w:num w:numId="14">
    <w:abstractNumId w:val="19"/>
  </w:num>
  <w:num w:numId="15">
    <w:abstractNumId w:val="16"/>
  </w:num>
  <w:num w:numId="16">
    <w:abstractNumId w:val="0"/>
  </w:num>
  <w:num w:numId="17">
    <w:abstractNumId w:val="11"/>
  </w:num>
  <w:num w:numId="18">
    <w:abstractNumId w:val="25"/>
  </w:num>
  <w:num w:numId="19">
    <w:abstractNumId w:val="9"/>
  </w:num>
  <w:num w:numId="20">
    <w:abstractNumId w:val="24"/>
  </w:num>
  <w:num w:numId="21">
    <w:abstractNumId w:val="6"/>
  </w:num>
  <w:num w:numId="22">
    <w:abstractNumId w:val="8"/>
  </w:num>
  <w:num w:numId="23">
    <w:abstractNumId w:val="2"/>
  </w:num>
  <w:num w:numId="24">
    <w:abstractNumId w:val="20"/>
  </w:num>
  <w:num w:numId="25">
    <w:abstractNumId w:val="14"/>
  </w:num>
  <w:num w:numId="26">
    <w:abstractNumId w:val="1"/>
  </w:num>
  <w:num w:numId="27">
    <w:abstractNumId w:val="21"/>
  </w:num>
  <w:num w:numId="28">
    <w:abstractNumId w:val="2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3F2A72EC-C02D-47F2-9B8E-A3E1F229B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paragraph" w:customStyle="1" w:styleId="Default">
    <w:name w:val="Default"/>
    <w:pPr>
      <w:autoSpaceDE w:val="0"/>
      <w:autoSpaceDN w:val="0"/>
      <w:adjustRightInd w:val="0"/>
      <w:spacing w:after="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694690958">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COVID-19_International_Lage_2020-08-14.pptx"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ClinCo_Krisenstab_14082020_KORR.pptx"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2020-08-14_SARS-CoV-2%20Testungen%20bei%20Reiser&#252;ckkehrern%20in%20Deutschland.ppt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GA%20Neuk&#246;lln%20Unterst&#252;tzung.ppt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Lage-National_2020-08-14.pptx"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3A7026-BAFF-45B9-9052-DD4C2E682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2714</Words>
  <Characters>17099</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32</cp:revision>
  <cp:lastPrinted>2020-05-06T16:43:00Z</cp:lastPrinted>
  <dcterms:created xsi:type="dcterms:W3CDTF">2020-08-14T11:57:00Z</dcterms:created>
  <dcterms:modified xsi:type="dcterms:W3CDTF">2021-05-10T14:16:00Z</dcterms:modified>
</cp:coreProperties>
</file>