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sz w:val="22"/>
        </w:rPr>
      </w:pPr>
      <w:r>
        <w:rPr>
          <w:b/>
          <w:sz w:val="22"/>
        </w:rPr>
        <w:t xml:space="preserve">Moderation: </w:t>
      </w:r>
      <w:r>
        <w:rPr>
          <w:sz w:val="22"/>
        </w:rPr>
        <w:t>Martin Mielke (Abt. 1)</w:t>
      </w:r>
    </w:p>
    <w:p>
      <w:pPr>
        <w:spacing w:after="0"/>
        <w:rPr>
          <w:b/>
          <w:sz w:val="22"/>
        </w:rPr>
      </w:pPr>
      <w:r>
        <w:rPr>
          <w:b/>
          <w:sz w:val="22"/>
        </w:rPr>
        <w:t xml:space="preserve">Teilnehmende: </w:t>
      </w:r>
    </w:p>
    <w:p>
      <w:pPr>
        <w:spacing w:after="0"/>
        <w:rPr>
          <w:sz w:val="22"/>
        </w:rPr>
      </w:pP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4"/>
        </w:numPr>
        <w:spacing w:after="0"/>
        <w:contextualSpacing w:val="0"/>
        <w:rPr>
          <w:sz w:val="22"/>
        </w:rPr>
      </w:pPr>
      <w:r>
        <w:rPr>
          <w:sz w:val="22"/>
        </w:rPr>
        <w:t>FG 24</w:t>
      </w:r>
    </w:p>
    <w:p>
      <w:pPr>
        <w:pStyle w:val="Listenabsatz"/>
        <w:numPr>
          <w:ilvl w:val="1"/>
          <w:numId w:val="4"/>
        </w:numPr>
        <w:spacing w:after="0"/>
        <w:contextualSpacing w:val="0"/>
        <w:rPr>
          <w:sz w:val="22"/>
        </w:rPr>
      </w:pPr>
      <w:r>
        <w:rPr>
          <w:sz w:val="22"/>
        </w:rP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Maria an der Heiden </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Ulrike Grote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P1</w:t>
      </w:r>
    </w:p>
    <w:p>
      <w:pPr>
        <w:pStyle w:val="Listenabsatz"/>
        <w:numPr>
          <w:ilvl w:val="1"/>
          <w:numId w:val="2"/>
        </w:numPr>
        <w:spacing w:after="0"/>
        <w:contextualSpacing w:val="0"/>
        <w:rPr>
          <w:sz w:val="22"/>
        </w:rPr>
      </w:pPr>
      <w:r>
        <w:rPr>
          <w:sz w:val="22"/>
        </w:rPr>
        <w:t>Christina Leuker</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ZIG (INIG)</w:t>
      </w:r>
    </w:p>
    <w:p>
      <w:pPr>
        <w:pStyle w:val="Listenabsatz"/>
        <w:numPr>
          <w:ilvl w:val="1"/>
          <w:numId w:val="2"/>
        </w:numPr>
        <w:spacing w:after="0"/>
        <w:contextualSpacing w:val="0"/>
        <w:rPr>
          <w:sz w:val="22"/>
        </w:rPr>
      </w:pPr>
      <w:r>
        <w:rPr>
          <w:sz w:val="22"/>
        </w:rPr>
        <w:t>Eugenia Romo Ventura</w:t>
      </w:r>
    </w:p>
    <w:p>
      <w:pPr>
        <w:pStyle w:val="Listenabsatz"/>
        <w:numPr>
          <w:ilvl w:val="0"/>
          <w:numId w:val="2"/>
        </w:numPr>
        <w:spacing w:after="0"/>
        <w:ind w:left="714" w:hanging="357"/>
        <w:rPr>
          <w:sz w:val="22"/>
        </w:rPr>
      </w:pPr>
      <w:r>
        <w:rPr>
          <w:sz w:val="22"/>
        </w:rPr>
        <w:t>MF3</w:t>
      </w:r>
    </w:p>
    <w:p>
      <w:pPr>
        <w:pStyle w:val="Listenabsatz"/>
        <w:numPr>
          <w:ilvl w:val="1"/>
          <w:numId w:val="2"/>
        </w:numPr>
        <w:spacing w:after="0"/>
        <w:contextualSpacing w:val="0"/>
        <w:rPr>
          <w:sz w:val="22"/>
        </w:rPr>
      </w:pPr>
      <w:r>
        <w:rPr>
          <w:sz w:val="22"/>
        </w:rPr>
        <w:t>Nancy Erickson (Protokoll)</w:t>
      </w:r>
    </w:p>
    <w:p>
      <w:pPr>
        <w:rPr>
          <w:sz w:val="22"/>
          <w:highlight w:val="yellow"/>
        </w:rPr>
      </w:pPr>
      <w:r>
        <w:rPr>
          <w:sz w:val="22"/>
          <w:highlight w:val="yellow"/>
        </w:rPr>
        <w:br w:type="page"/>
      </w:r>
    </w:p>
    <w:p>
      <w:pPr>
        <w:pStyle w:val="Listenabsatz"/>
        <w:spacing w:after="0"/>
        <w:ind w:left="1440"/>
        <w:contextualSpacing w:val="0"/>
        <w:rPr>
          <w:sz w:val="22"/>
          <w:highlight w:val="yellow"/>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43"/>
              </w:numPr>
              <w:rPr>
                <w:sz w:val="22"/>
                <w:szCs w:val="22"/>
              </w:rPr>
            </w:pPr>
            <w:r>
              <w:rPr>
                <w:sz w:val="22"/>
                <w:szCs w:val="22"/>
              </w:rPr>
              <w:t xml:space="preserve">Top 10: Indien, USA, Brasilien, Kolumbien, Peru, Argentinien, Spanien, Mexiko, Russische Föderation, Philippinen </w:t>
            </w:r>
          </w:p>
          <w:p>
            <w:pPr>
              <w:pStyle w:val="Listenabsatz"/>
              <w:numPr>
                <w:ilvl w:val="0"/>
                <w:numId w:val="43"/>
              </w:numPr>
              <w:rPr>
                <w:sz w:val="22"/>
                <w:szCs w:val="22"/>
              </w:rPr>
            </w:pPr>
            <w:r>
              <w:rPr>
                <w:sz w:val="22"/>
                <w:szCs w:val="22"/>
              </w:rPr>
              <w:t xml:space="preserve">Bislang 33 Länder mit einer 7-Tages-Inzidenz &gt; 50 / 100.000 </w:t>
            </w:r>
            <w:proofErr w:type="spellStart"/>
            <w:r>
              <w:rPr>
                <w:sz w:val="22"/>
                <w:szCs w:val="22"/>
              </w:rPr>
              <w:t>Ew</w:t>
            </w:r>
            <w:proofErr w:type="spellEnd"/>
            <w:r>
              <w:rPr>
                <w:sz w:val="22"/>
                <w:szCs w:val="22"/>
              </w:rPr>
              <w:t xml:space="preserve">.; Paraguay und Montenegro im Vgl. zur Vorwoche nicht mehr aufgeführt; Brit. Jungferninseln, Libanon, Gibraltar, </w:t>
            </w:r>
            <w:proofErr w:type="gramStart"/>
            <w:r>
              <w:rPr>
                <w:sz w:val="22"/>
                <w:szCs w:val="22"/>
              </w:rPr>
              <w:t>Färöer Inseln</w:t>
            </w:r>
            <w:proofErr w:type="gramEnd"/>
            <w:r>
              <w:rPr>
                <w:sz w:val="22"/>
                <w:szCs w:val="22"/>
              </w:rPr>
              <w:t xml:space="preserve">, Kosovo* und Luxemburg neu hinzugekommen </w:t>
            </w:r>
          </w:p>
          <w:p>
            <w:pPr>
              <w:pStyle w:val="Listenabsatz"/>
              <w:numPr>
                <w:ilvl w:val="0"/>
                <w:numId w:val="43"/>
              </w:numPr>
              <w:rPr>
                <w:sz w:val="22"/>
                <w:szCs w:val="22"/>
              </w:rPr>
            </w:pPr>
            <w:r>
              <w:rPr>
                <w:sz w:val="22"/>
                <w:szCs w:val="22"/>
              </w:rPr>
              <w:t xml:space="preserve">Derzeit über 40 europäische Subregionen mit einer 7- Tages-Inzidenz &gt;50 pro 100.000 </w:t>
            </w:r>
            <w:proofErr w:type="spellStart"/>
            <w:r>
              <w:rPr>
                <w:sz w:val="22"/>
                <w:szCs w:val="22"/>
              </w:rPr>
              <w:t>Ew</w:t>
            </w:r>
            <w:proofErr w:type="spellEnd"/>
            <w:r>
              <w:rPr>
                <w:sz w:val="22"/>
                <w:szCs w:val="22"/>
              </w:rPr>
              <w:t>. (WHO EURO)</w:t>
            </w:r>
          </w:p>
          <w:p>
            <w:pPr>
              <w:rPr>
                <w:i/>
                <w:sz w:val="22"/>
                <w:szCs w:val="22"/>
              </w:rPr>
            </w:pPr>
            <w:proofErr w:type="spellStart"/>
            <w:r>
              <w:rPr>
                <w:i/>
                <w:sz w:val="22"/>
                <w:szCs w:val="22"/>
              </w:rPr>
              <w:t>To</w:t>
            </w:r>
            <w:proofErr w:type="spellEnd"/>
            <w:r>
              <w:rPr>
                <w:i/>
                <w:sz w:val="22"/>
                <w:szCs w:val="22"/>
              </w:rPr>
              <w:t xml:space="preserve"> dos: </w:t>
            </w:r>
          </w:p>
          <w:p>
            <w:pPr>
              <w:pStyle w:val="Listenabsatz"/>
              <w:numPr>
                <w:ilvl w:val="0"/>
                <w:numId w:val="44"/>
              </w:numPr>
              <w:rPr>
                <w:i/>
                <w:sz w:val="22"/>
                <w:szCs w:val="22"/>
              </w:rPr>
            </w:pPr>
            <w:r>
              <w:rPr>
                <w:i/>
                <w:sz w:val="22"/>
                <w:szCs w:val="22"/>
              </w:rPr>
              <w:t xml:space="preserve">Der Kosovo* ist auf </w:t>
            </w:r>
            <w:proofErr w:type="spellStart"/>
            <w:r>
              <w:rPr>
                <w:i/>
                <w:sz w:val="22"/>
                <w:szCs w:val="22"/>
              </w:rPr>
              <w:t>Europ</w:t>
            </w:r>
            <w:proofErr w:type="spellEnd"/>
            <w:r>
              <w:rPr>
                <w:i/>
                <w:sz w:val="22"/>
                <w:szCs w:val="22"/>
              </w:rPr>
              <w:t xml:space="preserve">. Folie Serbien zugeordnet, </w:t>
            </w:r>
            <w:proofErr w:type="spellStart"/>
            <w:r>
              <w:rPr>
                <w:i/>
                <w:sz w:val="22"/>
                <w:szCs w:val="22"/>
              </w:rPr>
              <w:t>Dtl</w:t>
            </w:r>
            <w:proofErr w:type="spellEnd"/>
            <w:r>
              <w:rPr>
                <w:i/>
                <w:sz w:val="22"/>
                <w:szCs w:val="22"/>
              </w:rPr>
              <w:t xml:space="preserve">. erkennt Kosovo jedoch als Republik an </w:t>
            </w:r>
            <w:r>
              <w:rPr>
                <w:i/>
                <w:sz w:val="22"/>
                <w:szCs w:val="22"/>
              </w:rPr>
              <w:sym w:font="Wingdings" w:char="F0E0"/>
            </w:r>
            <w:r>
              <w:rPr>
                <w:i/>
                <w:sz w:val="22"/>
                <w:szCs w:val="22"/>
              </w:rPr>
              <w:t xml:space="preserve"> ungünstige Darstellung, es sollte die offizielle Lesart der Bundesregierung verwendet werden, Bitte an ZIG um Diskussion zu Anpassung </w:t>
            </w:r>
          </w:p>
          <w:p>
            <w:pPr>
              <w:pStyle w:val="Listenabsatz"/>
              <w:numPr>
                <w:ilvl w:val="0"/>
                <w:numId w:val="44"/>
              </w:numPr>
              <w:rPr>
                <w:i/>
                <w:sz w:val="22"/>
                <w:szCs w:val="22"/>
              </w:rPr>
            </w:pPr>
            <w:r>
              <w:rPr>
                <w:i/>
                <w:sz w:val="22"/>
                <w:szCs w:val="22"/>
              </w:rPr>
              <w:t xml:space="preserve">aktuelle Situation in Schweden soll in einer der nächsten Sitzungen beleuchtet werden, da Sonderstellung in </w:t>
            </w:r>
            <w:proofErr w:type="spellStart"/>
            <w:r>
              <w:rPr>
                <w:i/>
                <w:sz w:val="22"/>
                <w:szCs w:val="22"/>
              </w:rPr>
              <w:t>europ</w:t>
            </w:r>
            <w:proofErr w:type="spellEnd"/>
            <w:r>
              <w:rPr>
                <w:i/>
                <w:sz w:val="22"/>
                <w:szCs w:val="22"/>
              </w:rPr>
              <w:t xml:space="preserve">. Raum </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42"/>
              </w:numPr>
              <w:rPr>
                <w:sz w:val="22"/>
                <w:szCs w:val="22"/>
              </w:rPr>
            </w:pPr>
            <w:r>
              <w:rPr>
                <w:sz w:val="22"/>
                <w:szCs w:val="22"/>
              </w:rPr>
              <w:t>Anstieg im Vergleich zum Vortrag um 1.576 bestätigte Fälle und 3 Verstorbene</w:t>
            </w:r>
          </w:p>
          <w:p>
            <w:pPr>
              <w:pStyle w:val="Listenabsatz"/>
              <w:numPr>
                <w:ilvl w:val="0"/>
                <w:numId w:val="42"/>
              </w:numPr>
              <w:rPr>
                <w:sz w:val="22"/>
                <w:szCs w:val="22"/>
              </w:rPr>
            </w:pPr>
            <w:r>
              <w:rPr>
                <w:sz w:val="22"/>
                <w:szCs w:val="22"/>
              </w:rPr>
              <w:t xml:space="preserve">7-Tage-Inzidenz von 10,2 </w:t>
            </w:r>
          </w:p>
          <w:p>
            <w:pPr>
              <w:pStyle w:val="Listenabsatz"/>
              <w:numPr>
                <w:ilvl w:val="0"/>
                <w:numId w:val="42"/>
              </w:numPr>
              <w:rPr>
                <w:sz w:val="22"/>
                <w:szCs w:val="22"/>
              </w:rPr>
            </w:pPr>
            <w:r>
              <w:rPr>
                <w:sz w:val="22"/>
                <w:szCs w:val="22"/>
              </w:rPr>
              <w:t>Aktuell ITS: 223; beatmete Patienten: 133;</w:t>
            </w:r>
          </w:p>
          <w:p>
            <w:pPr>
              <w:pStyle w:val="Listenabsatz"/>
              <w:numPr>
                <w:ilvl w:val="0"/>
                <w:numId w:val="42"/>
              </w:numPr>
              <w:rPr>
                <w:sz w:val="22"/>
                <w:szCs w:val="22"/>
              </w:rPr>
            </w:pPr>
            <w:r>
              <w:rPr>
                <w:sz w:val="22"/>
                <w:szCs w:val="22"/>
              </w:rPr>
              <w:t>R und 7-Tage-R weiterhin unter 1</w:t>
            </w:r>
          </w:p>
          <w:p>
            <w:pPr>
              <w:pStyle w:val="Listenabsatz"/>
              <w:numPr>
                <w:ilvl w:val="0"/>
                <w:numId w:val="42"/>
              </w:numPr>
              <w:rPr>
                <w:sz w:val="22"/>
                <w:szCs w:val="22"/>
              </w:rPr>
            </w:pPr>
            <w:r>
              <w:rPr>
                <w:sz w:val="22"/>
                <w:szCs w:val="22"/>
              </w:rPr>
              <w:t xml:space="preserve">7-Tages-Inzidenz nach Meldedatum Bundesländer steigt weiterhin an, </w:t>
            </w:r>
          </w:p>
          <w:p>
            <w:pPr>
              <w:pStyle w:val="Listenabsatz"/>
              <w:numPr>
                <w:ilvl w:val="1"/>
                <w:numId w:val="40"/>
              </w:numPr>
              <w:rPr>
                <w:sz w:val="22"/>
                <w:szCs w:val="22"/>
              </w:rPr>
            </w:pPr>
            <w:r>
              <w:rPr>
                <w:sz w:val="22"/>
                <w:szCs w:val="22"/>
              </w:rPr>
              <w:t xml:space="preserve">v.a. Hessen betroffen: laut </w:t>
            </w:r>
            <w:proofErr w:type="spellStart"/>
            <w:r>
              <w:rPr>
                <w:sz w:val="22"/>
                <w:szCs w:val="22"/>
              </w:rPr>
              <w:t>Epilag</w:t>
            </w:r>
            <w:proofErr w:type="spellEnd"/>
            <w:r>
              <w:rPr>
                <w:sz w:val="22"/>
                <w:szCs w:val="22"/>
              </w:rPr>
              <w:t xml:space="preserve"> bzw. zust. Landes-behörde v.a. aufgrund des Anstiegs der Testung Einreisender, zusätzliche Ausbrüche bspw. bei Hochzeiten wirken sich weniger stark auf Gesamtzahl aus</w:t>
            </w:r>
          </w:p>
          <w:p>
            <w:pPr>
              <w:ind w:left="720"/>
              <w:rPr>
                <w:i/>
                <w:sz w:val="22"/>
                <w:szCs w:val="22"/>
              </w:rPr>
            </w:pPr>
            <w:proofErr w:type="spellStart"/>
            <w:r>
              <w:rPr>
                <w:i/>
                <w:sz w:val="22"/>
                <w:szCs w:val="22"/>
              </w:rPr>
              <w:t>To</w:t>
            </w:r>
            <w:proofErr w:type="spellEnd"/>
            <w:r>
              <w:rPr>
                <w:i/>
                <w:sz w:val="22"/>
                <w:szCs w:val="22"/>
              </w:rPr>
              <w:t xml:space="preserve"> do: v.a. Einreisende und familiäres Umfeld betroffen, </w:t>
            </w:r>
            <w:proofErr w:type="spellStart"/>
            <w:r>
              <w:rPr>
                <w:i/>
                <w:sz w:val="22"/>
                <w:szCs w:val="22"/>
              </w:rPr>
              <w:t>Formu-lierung</w:t>
            </w:r>
            <w:proofErr w:type="spellEnd"/>
            <w:r>
              <w:rPr>
                <w:i/>
                <w:sz w:val="22"/>
                <w:szCs w:val="22"/>
              </w:rPr>
              <w:t xml:space="preserve"> nicht ganz eindeutig, ggf. Rückfrage und Anpassung </w:t>
            </w:r>
          </w:p>
          <w:p>
            <w:pPr>
              <w:pStyle w:val="Listenabsatz"/>
              <w:numPr>
                <w:ilvl w:val="1"/>
                <w:numId w:val="40"/>
              </w:numPr>
              <w:rPr>
                <w:sz w:val="22"/>
                <w:szCs w:val="22"/>
              </w:rPr>
            </w:pPr>
            <w:r>
              <w:rPr>
                <w:sz w:val="22"/>
                <w:szCs w:val="22"/>
              </w:rPr>
              <w:t>Bayern: derzeit etwas abgeflacht</w:t>
            </w:r>
          </w:p>
          <w:p>
            <w:pPr>
              <w:pStyle w:val="Listenabsatz"/>
              <w:numPr>
                <w:ilvl w:val="1"/>
                <w:numId w:val="40"/>
              </w:numPr>
              <w:rPr>
                <w:sz w:val="22"/>
                <w:szCs w:val="22"/>
              </w:rPr>
            </w:pPr>
            <w:r>
              <w:rPr>
                <w:sz w:val="22"/>
                <w:szCs w:val="22"/>
              </w:rPr>
              <w:t>BaWü: erneuter Anstieg</w:t>
            </w:r>
          </w:p>
          <w:p>
            <w:pPr>
              <w:pStyle w:val="Listenabsatz"/>
              <w:numPr>
                <w:ilvl w:val="1"/>
                <w:numId w:val="40"/>
              </w:numPr>
              <w:rPr>
                <w:sz w:val="22"/>
                <w:szCs w:val="22"/>
              </w:rPr>
            </w:pPr>
            <w:r>
              <w:rPr>
                <w:sz w:val="22"/>
                <w:szCs w:val="22"/>
              </w:rPr>
              <w:sym w:font="Wingdings" w:char="F0E0"/>
            </w:r>
            <w:r>
              <w:rPr>
                <w:sz w:val="22"/>
                <w:szCs w:val="22"/>
              </w:rPr>
              <w:t xml:space="preserve"> schwer zu interpretieren, weiter beobachten, keine Entwarnung, Trend ansteigender Fallzahlen, siehe auch Vergleich Meldewochen 33 und 34 (s.u.)</w:t>
            </w:r>
          </w:p>
          <w:p>
            <w:pPr>
              <w:pStyle w:val="Listenabsatz"/>
              <w:numPr>
                <w:ilvl w:val="0"/>
                <w:numId w:val="41"/>
              </w:numPr>
              <w:rPr>
                <w:sz w:val="22"/>
                <w:szCs w:val="22"/>
              </w:rPr>
            </w:pPr>
            <w:r>
              <w:rPr>
                <w:sz w:val="22"/>
                <w:szCs w:val="22"/>
              </w:rPr>
              <w:t>Geografische Verteilung in Deutschland: 7-Tage-Inzidenz (Landkreise): 19 keine Fälle in letzten 7 Tagen übermittelt, 17 über 25, einer (Offenbach) über 50</w:t>
            </w:r>
          </w:p>
          <w:p>
            <w:pPr>
              <w:pStyle w:val="Listenabsatz"/>
              <w:numPr>
                <w:ilvl w:val="0"/>
                <w:numId w:val="41"/>
              </w:numPr>
              <w:rPr>
                <w:sz w:val="22"/>
                <w:szCs w:val="22"/>
              </w:rPr>
            </w:pPr>
            <w:r>
              <w:rPr>
                <w:sz w:val="22"/>
                <w:szCs w:val="22"/>
              </w:rPr>
              <w:t xml:space="preserve">Vergleich Meldewochen 33 und 34: Fallzahl und Inzidenz nach Bundesland: starker Anstieg der Gesamtinzidenz von 9,5 (KW 33) auf 11,1 (KW 34), darunter: starker Anstieg in BW </w:t>
            </w:r>
            <w:r>
              <w:rPr>
                <w:sz w:val="22"/>
                <w:szCs w:val="22"/>
              </w:rPr>
              <w:lastRenderedPageBreak/>
              <w:t>(+105%), Bayern (+59 %) und Hessen (+ 43 %) bzw. Bremen (+46 %); demgegenüber starke Abnahme in SH (-44 %), Thüringen (-25 %), NRW (-22 %)</w:t>
            </w:r>
            <w:r>
              <w:t xml:space="preserve"> </w:t>
            </w:r>
          </w:p>
          <w:p>
            <w:pPr>
              <w:rPr>
                <w:i/>
                <w:sz w:val="22"/>
                <w:szCs w:val="22"/>
              </w:rPr>
            </w:pPr>
            <w:proofErr w:type="spellStart"/>
            <w:r>
              <w:rPr>
                <w:i/>
                <w:sz w:val="22"/>
                <w:szCs w:val="22"/>
              </w:rPr>
              <w:t>To</w:t>
            </w:r>
            <w:proofErr w:type="spellEnd"/>
            <w:r>
              <w:rPr>
                <w:i/>
                <w:sz w:val="22"/>
                <w:szCs w:val="22"/>
              </w:rPr>
              <w:t xml:space="preserve"> do: bei den Anstiegen sollte verfolgt werden, ob es sich um linearen oder exponentiellen Anstieg handelt </w:t>
            </w:r>
          </w:p>
          <w:p>
            <w:pPr>
              <w:rPr>
                <w:i/>
                <w:sz w:val="22"/>
                <w:szCs w:val="22"/>
              </w:rPr>
            </w:pPr>
            <w:proofErr w:type="spellStart"/>
            <w:r>
              <w:rPr>
                <w:i/>
                <w:sz w:val="22"/>
                <w:szCs w:val="22"/>
              </w:rPr>
              <w:t>To</w:t>
            </w:r>
            <w:proofErr w:type="spellEnd"/>
            <w:r>
              <w:rPr>
                <w:i/>
                <w:sz w:val="22"/>
                <w:szCs w:val="22"/>
              </w:rPr>
              <w:t xml:space="preserve"> do: Meldedatenauswertung: Anfrage an Matthias an der Heiden, ob Sonderauswertung für Freitag oder Montag möglich sei</w:t>
            </w:r>
          </w:p>
          <w:p>
            <w:pPr>
              <w:pStyle w:val="Listenabsatz"/>
              <w:numPr>
                <w:ilvl w:val="0"/>
                <w:numId w:val="41"/>
              </w:numPr>
              <w:rPr>
                <w:sz w:val="22"/>
                <w:szCs w:val="22"/>
              </w:rPr>
            </w:pPr>
            <w:r>
              <w:rPr>
                <w:sz w:val="22"/>
                <w:szCs w:val="22"/>
              </w:rPr>
              <w:t>Wochenvergleich KW 10 - 34: COVID-19-Fälle nach Geschlecht, Alter, Hospitalisierung, Verstorbene :</w:t>
            </w:r>
          </w:p>
          <w:p>
            <w:pPr>
              <w:pStyle w:val="Listenabsatz"/>
              <w:numPr>
                <w:ilvl w:val="1"/>
                <w:numId w:val="40"/>
              </w:numPr>
              <w:rPr>
                <w:sz w:val="22"/>
                <w:szCs w:val="22"/>
              </w:rPr>
            </w:pPr>
            <w:r>
              <w:rPr>
                <w:sz w:val="22"/>
                <w:szCs w:val="22"/>
              </w:rPr>
              <w:t>KW 33/ 34: Fälle mit dem geringsten Altersmittelwert (32 Jahre), Vergleich KW 15: 52 Jahre</w:t>
            </w:r>
          </w:p>
          <w:p>
            <w:pPr>
              <w:pStyle w:val="Listenabsatz"/>
              <w:numPr>
                <w:ilvl w:val="1"/>
                <w:numId w:val="40"/>
              </w:numPr>
              <w:rPr>
                <w:sz w:val="22"/>
                <w:szCs w:val="22"/>
              </w:rPr>
            </w:pPr>
            <w:r>
              <w:rPr>
                <w:sz w:val="22"/>
                <w:szCs w:val="22"/>
              </w:rPr>
              <w:t xml:space="preserve">KW 34: derzeit weiterhin mehr Männer (55 %) als Frauen (45 %) betroffen </w:t>
            </w:r>
          </w:p>
          <w:p>
            <w:pPr>
              <w:pStyle w:val="Listenabsatz"/>
              <w:numPr>
                <w:ilvl w:val="1"/>
                <w:numId w:val="40"/>
              </w:numPr>
              <w:rPr>
                <w:sz w:val="22"/>
                <w:szCs w:val="22"/>
              </w:rPr>
            </w:pPr>
            <w:r>
              <w:rPr>
                <w:sz w:val="22"/>
                <w:szCs w:val="22"/>
              </w:rPr>
              <w:t xml:space="preserve">Anteil Hospitalisierter / Verstorbener mit Vorsicht zu betrachten, da erst im Verlauf Erkrankungsschwere evident; Anteil Hospitalisierter derzeit 5 %; Anteil Verstorbener derzeit 0,1 %; (Vergleich Höchstwert KW 15/16 mit 6,8 bis 7 % Verstorbener (und höchstem Altersmittelwert); </w:t>
            </w:r>
          </w:p>
          <w:p>
            <w:pPr>
              <w:pStyle w:val="Listenabsatz"/>
              <w:numPr>
                <w:ilvl w:val="1"/>
                <w:numId w:val="40"/>
              </w:numPr>
              <w:rPr>
                <w:sz w:val="22"/>
                <w:szCs w:val="22"/>
              </w:rPr>
            </w:pPr>
            <w:r>
              <w:rPr>
                <w:sz w:val="22"/>
                <w:szCs w:val="22"/>
              </w:rPr>
              <w:t>Geschlecht- und Altersverteilung der Verstorbenen werden weiter analysiert</w:t>
            </w:r>
          </w:p>
          <w:p>
            <w:pPr>
              <w:ind w:left="1080"/>
              <w:rPr>
                <w:i/>
                <w:sz w:val="22"/>
                <w:szCs w:val="22"/>
              </w:rPr>
            </w:pPr>
            <w:proofErr w:type="spellStart"/>
            <w:r>
              <w:rPr>
                <w:i/>
                <w:sz w:val="22"/>
                <w:szCs w:val="22"/>
              </w:rPr>
              <w:t>To</w:t>
            </w:r>
            <w:proofErr w:type="spellEnd"/>
            <w:r>
              <w:rPr>
                <w:i/>
                <w:sz w:val="22"/>
                <w:szCs w:val="22"/>
              </w:rPr>
              <w:t xml:space="preserve"> do: Bitte um graphische Darstellung für kommende Sitzungen </w:t>
            </w:r>
          </w:p>
          <w:p>
            <w:pPr>
              <w:pStyle w:val="Listenabsatz"/>
              <w:numPr>
                <w:ilvl w:val="0"/>
                <w:numId w:val="40"/>
              </w:numPr>
              <w:ind w:left="1440"/>
              <w:rPr>
                <w:sz w:val="22"/>
                <w:szCs w:val="22"/>
              </w:rPr>
            </w:pPr>
            <w:r>
              <w:rPr>
                <w:sz w:val="22"/>
                <w:szCs w:val="22"/>
              </w:rPr>
              <w:t xml:space="preserve">Anm.: Zählung von an Covid-19 Verstorbenen: </w:t>
            </w:r>
          </w:p>
          <w:p>
            <w:pPr>
              <w:pStyle w:val="Listenabsatz"/>
              <w:numPr>
                <w:ilvl w:val="2"/>
                <w:numId w:val="40"/>
              </w:numPr>
              <w:rPr>
                <w:sz w:val="22"/>
                <w:szCs w:val="22"/>
              </w:rPr>
            </w:pPr>
            <w:r>
              <w:rPr>
                <w:sz w:val="22"/>
                <w:szCs w:val="22"/>
              </w:rPr>
              <w:t>es werden alle diejenigen Verstobenen gezählt, die zu einem gegebenen Zeitpunkt als Covid-19-positiv gemeldet worden sind</w:t>
            </w:r>
          </w:p>
          <w:p>
            <w:pPr>
              <w:pStyle w:val="Listenabsatz"/>
              <w:numPr>
                <w:ilvl w:val="2"/>
                <w:numId w:val="40"/>
              </w:numPr>
              <w:rPr>
                <w:sz w:val="22"/>
                <w:szCs w:val="22"/>
              </w:rPr>
            </w:pPr>
            <w:r>
              <w:rPr>
                <w:sz w:val="22"/>
                <w:szCs w:val="22"/>
              </w:rPr>
              <w:t xml:space="preserve">es existiert keine Frist für einen zeitlichen Zusammenhang </w:t>
            </w:r>
          </w:p>
          <w:p>
            <w:pPr>
              <w:pStyle w:val="Listenabsatz"/>
              <w:numPr>
                <w:ilvl w:val="2"/>
                <w:numId w:val="40"/>
              </w:numPr>
              <w:rPr>
                <w:sz w:val="22"/>
                <w:szCs w:val="22"/>
              </w:rPr>
            </w:pPr>
            <w:r>
              <w:rPr>
                <w:sz w:val="22"/>
                <w:szCs w:val="22"/>
              </w:rPr>
              <w:t>Zählweise Gegenstand der Diskussion, Kritik „künstlich erhöhter Todesfallzahl“</w:t>
            </w:r>
          </w:p>
          <w:p>
            <w:pPr>
              <w:pStyle w:val="Listenabsatz"/>
              <w:numPr>
                <w:ilvl w:val="2"/>
                <w:numId w:val="40"/>
              </w:numPr>
              <w:rPr>
                <w:sz w:val="22"/>
                <w:szCs w:val="22"/>
              </w:rPr>
            </w:pPr>
            <w:r>
              <w:rPr>
                <w:sz w:val="22"/>
                <w:szCs w:val="22"/>
              </w:rPr>
              <w:t>Vorgehen jedoch binnen der letzten Monate konsistent  und weiterhin vernünftig</w:t>
            </w:r>
          </w:p>
          <w:p>
            <w:pPr>
              <w:pStyle w:val="Listenabsatz"/>
              <w:numPr>
                <w:ilvl w:val="2"/>
                <w:numId w:val="40"/>
              </w:numPr>
              <w:rPr>
                <w:sz w:val="22"/>
                <w:szCs w:val="22"/>
              </w:rPr>
            </w:pPr>
            <w:r>
              <w:rPr>
                <w:sz w:val="22"/>
                <w:szCs w:val="22"/>
              </w:rPr>
              <w:t xml:space="preserve">Wissenschaftlich kein klarer </w:t>
            </w:r>
            <w:proofErr w:type="spellStart"/>
            <w:r>
              <w:rPr>
                <w:sz w:val="22"/>
                <w:szCs w:val="22"/>
              </w:rPr>
              <w:t>cutoff</w:t>
            </w:r>
            <w:proofErr w:type="spellEnd"/>
            <w:r>
              <w:rPr>
                <w:sz w:val="22"/>
                <w:szCs w:val="22"/>
              </w:rPr>
              <w:t xml:space="preserve"> möglich, vor allem auch hinsichtlich Vorerkrankung</w:t>
            </w:r>
          </w:p>
          <w:p>
            <w:pPr>
              <w:pStyle w:val="Listenabsatz"/>
              <w:numPr>
                <w:ilvl w:val="2"/>
                <w:numId w:val="40"/>
              </w:numPr>
              <w:rPr>
                <w:sz w:val="22"/>
                <w:szCs w:val="22"/>
              </w:rPr>
            </w:pPr>
            <w:r>
              <w:rPr>
                <w:sz w:val="22"/>
                <w:szCs w:val="22"/>
              </w:rPr>
              <w:t>Konsens kürzlicher Pathologenkonferenz: aufgrund des vielfältigen Organtropismus v.a. bei schweren Fällen ist Covid-19 in mutmaß-</w:t>
            </w:r>
            <w:proofErr w:type="spellStart"/>
            <w:r>
              <w:rPr>
                <w:sz w:val="22"/>
                <w:szCs w:val="22"/>
              </w:rPr>
              <w:t>lich</w:t>
            </w:r>
            <w:proofErr w:type="spellEnd"/>
            <w:r>
              <w:rPr>
                <w:sz w:val="22"/>
                <w:szCs w:val="22"/>
              </w:rPr>
              <w:t xml:space="preserve"> 75 % der Fälle direkt ursächlich für das Versterben</w:t>
            </w:r>
          </w:p>
          <w:p>
            <w:pPr>
              <w:pStyle w:val="Listenabsatz"/>
              <w:numPr>
                <w:ilvl w:val="2"/>
                <w:numId w:val="40"/>
              </w:numPr>
              <w:rPr>
                <w:sz w:val="22"/>
                <w:szCs w:val="22"/>
              </w:rPr>
            </w:pPr>
            <w:r>
              <w:rPr>
                <w:sz w:val="22"/>
                <w:szCs w:val="22"/>
              </w:rPr>
              <w:t>insgesamt ist Untererfassung sehr wahr-</w:t>
            </w:r>
            <w:proofErr w:type="spellStart"/>
            <w:r>
              <w:rPr>
                <w:sz w:val="22"/>
                <w:szCs w:val="22"/>
              </w:rPr>
              <w:t>scheinlich</w:t>
            </w:r>
            <w:proofErr w:type="spellEnd"/>
            <w:r>
              <w:rPr>
                <w:sz w:val="22"/>
                <w:szCs w:val="22"/>
              </w:rPr>
              <w:t xml:space="preserve"> (bspw. lost follow-</w:t>
            </w:r>
            <w:proofErr w:type="spellStart"/>
            <w:r>
              <w:rPr>
                <w:sz w:val="22"/>
                <w:szCs w:val="22"/>
              </w:rPr>
              <w:t>ups</w:t>
            </w:r>
            <w:proofErr w:type="spellEnd"/>
            <w:r>
              <w:rPr>
                <w:sz w:val="22"/>
                <w:szCs w:val="22"/>
              </w:rPr>
              <w:t xml:space="preserve">) </w:t>
            </w:r>
          </w:p>
          <w:p>
            <w:pPr>
              <w:pStyle w:val="Listenabsatz"/>
              <w:ind w:left="1440"/>
              <w:rPr>
                <w:sz w:val="22"/>
                <w:szCs w:val="22"/>
              </w:rPr>
            </w:pPr>
            <w:proofErr w:type="spellStart"/>
            <w:r>
              <w:rPr>
                <w:i/>
                <w:sz w:val="22"/>
                <w:szCs w:val="22"/>
              </w:rPr>
              <w:t>To</w:t>
            </w:r>
            <w:proofErr w:type="spellEnd"/>
            <w:r>
              <w:rPr>
                <w:i/>
                <w:sz w:val="22"/>
                <w:szCs w:val="22"/>
              </w:rPr>
              <w:t xml:space="preserve"> do: Erhebung der Zeitdauer zwischen </w:t>
            </w:r>
            <w:proofErr w:type="spellStart"/>
            <w:r>
              <w:rPr>
                <w:i/>
                <w:sz w:val="22"/>
                <w:szCs w:val="22"/>
              </w:rPr>
              <w:t>Laborbestä-tigung</w:t>
            </w:r>
            <w:proofErr w:type="spellEnd"/>
            <w:r>
              <w:rPr>
                <w:i/>
                <w:sz w:val="22"/>
                <w:szCs w:val="22"/>
              </w:rPr>
              <w:t xml:space="preserve"> und Tod. </w:t>
            </w:r>
          </w:p>
          <w:p>
            <w:pPr>
              <w:pStyle w:val="Listenabsatz"/>
              <w:ind w:left="1440"/>
              <w:rPr>
                <w:sz w:val="22"/>
                <w:szCs w:val="22"/>
              </w:rPr>
            </w:pPr>
          </w:p>
          <w:p>
            <w:pPr>
              <w:rPr>
                <w:sz w:val="22"/>
                <w:szCs w:val="22"/>
              </w:rPr>
            </w:pPr>
            <w:r>
              <w:rPr>
                <w:sz w:val="22"/>
                <w:szCs w:val="22"/>
              </w:rPr>
              <w:t xml:space="preserve">Syndromische Surveillance (Folien </w:t>
            </w:r>
            <w:hyperlink r:id="rId10" w:history="1">
              <w:r>
                <w:rPr>
                  <w:rStyle w:val="Hyperlink"/>
                  <w:sz w:val="22"/>
                  <w:szCs w:val="22"/>
                </w:rPr>
                <w:t>hier</w:t>
              </w:r>
            </w:hyperlink>
            <w:r>
              <w:rPr>
                <w:sz w:val="22"/>
                <w:szCs w:val="22"/>
              </w:rPr>
              <w:t>)</w:t>
            </w:r>
          </w:p>
          <w:p>
            <w:pPr>
              <w:pStyle w:val="Listenabsatz"/>
              <w:numPr>
                <w:ilvl w:val="0"/>
                <w:numId w:val="45"/>
              </w:numPr>
              <w:rPr>
                <w:sz w:val="22"/>
                <w:szCs w:val="22"/>
              </w:rPr>
            </w:pPr>
            <w:r>
              <w:rPr>
                <w:sz w:val="22"/>
                <w:szCs w:val="22"/>
              </w:rPr>
              <w:t xml:space="preserve">Grippeweb ARE-Raten bis 34 KW: Anstieg insges. v.a. bei Kindern </w:t>
            </w:r>
          </w:p>
          <w:p>
            <w:pPr>
              <w:pStyle w:val="Listenabsatz"/>
              <w:numPr>
                <w:ilvl w:val="0"/>
                <w:numId w:val="45"/>
              </w:numPr>
              <w:rPr>
                <w:sz w:val="22"/>
                <w:szCs w:val="22"/>
              </w:rPr>
            </w:pPr>
            <w:r>
              <w:rPr>
                <w:sz w:val="22"/>
                <w:szCs w:val="22"/>
              </w:rPr>
              <w:t xml:space="preserve">Praxis- und Konsultationsinzidenz derzeit erneut angestiegen (v.a. bei 0- bis 4- und 5- bis 14-Jährigen, war während der Ferien gefallen) </w:t>
            </w:r>
          </w:p>
          <w:p>
            <w:pPr>
              <w:pStyle w:val="Listenabsatz"/>
              <w:numPr>
                <w:ilvl w:val="0"/>
                <w:numId w:val="45"/>
              </w:numPr>
              <w:rPr>
                <w:sz w:val="22"/>
                <w:szCs w:val="22"/>
              </w:rPr>
            </w:pPr>
            <w:r>
              <w:rPr>
                <w:sz w:val="22"/>
                <w:szCs w:val="22"/>
              </w:rPr>
              <w:lastRenderedPageBreak/>
              <w:t xml:space="preserve">Berlin/BB &amp; NRW (nach Ferienende) vs. Bayern &amp; BaWü (aktuell noch Ferienzeit) im Vergleich (senkrechte Linien: Ferienende): </w:t>
            </w:r>
          </w:p>
          <w:p>
            <w:pPr>
              <w:pStyle w:val="Listenabsatz"/>
              <w:numPr>
                <w:ilvl w:val="1"/>
                <w:numId w:val="45"/>
              </w:numPr>
              <w:rPr>
                <w:sz w:val="22"/>
                <w:szCs w:val="22"/>
              </w:rPr>
            </w:pPr>
            <w:r>
              <w:rPr>
                <w:sz w:val="22"/>
                <w:szCs w:val="22"/>
              </w:rPr>
              <w:t xml:space="preserve">Berlin/BB: Kurve der 0- bis 14-Jährigen steigt steil an, 4- bis 14-Jährige erreichen sogar Niveau der 0- bis 4-Jährigen (ungewöhnlich); NRW ähnlich, Trend der letzten Woche verstärkt sich </w:t>
            </w:r>
          </w:p>
          <w:p>
            <w:pPr>
              <w:pStyle w:val="Listenabsatz"/>
              <w:numPr>
                <w:ilvl w:val="1"/>
                <w:numId w:val="45"/>
              </w:numPr>
              <w:rPr>
                <w:sz w:val="22"/>
                <w:szCs w:val="22"/>
              </w:rPr>
            </w:pPr>
            <w:r>
              <w:rPr>
                <w:sz w:val="22"/>
                <w:szCs w:val="22"/>
              </w:rPr>
              <w:t>Bayern &amp; BaWü: vergleichsweise niedrige, saison-typische ARE-Raten</w:t>
            </w:r>
          </w:p>
          <w:p>
            <w:pPr>
              <w:pStyle w:val="Listenabsatz"/>
              <w:numPr>
                <w:ilvl w:val="0"/>
                <w:numId w:val="45"/>
              </w:numPr>
              <w:rPr>
                <w:sz w:val="22"/>
                <w:szCs w:val="22"/>
              </w:rPr>
            </w:pPr>
            <w:r>
              <w:rPr>
                <w:sz w:val="22"/>
                <w:szCs w:val="22"/>
              </w:rPr>
              <w:t xml:space="preserve">Darstellung von </w:t>
            </w:r>
            <w:proofErr w:type="spellStart"/>
            <w:r>
              <w:rPr>
                <w:sz w:val="22"/>
                <w:szCs w:val="22"/>
              </w:rPr>
              <w:t>Covid</w:t>
            </w:r>
            <w:proofErr w:type="spellEnd"/>
            <w:r>
              <w:rPr>
                <w:sz w:val="22"/>
                <w:szCs w:val="22"/>
              </w:rPr>
              <w:t>-Meldeinzidenz (li Achse, gestrichelte Linie) vs. ARE-Konsultationsinzidenz (</w:t>
            </w:r>
            <w:proofErr w:type="spellStart"/>
            <w:r>
              <w:rPr>
                <w:sz w:val="22"/>
                <w:szCs w:val="22"/>
              </w:rPr>
              <w:t>re</w:t>
            </w:r>
            <w:proofErr w:type="spellEnd"/>
            <w:r>
              <w:rPr>
                <w:sz w:val="22"/>
                <w:szCs w:val="22"/>
              </w:rPr>
              <w:t xml:space="preserve"> Achse, Faktor 100, durchgezogene Linie) für Berlin/BB: Vergleich KW 33 und 34 5- bis 14-Jährige: steiler Anstieg der ARE-Konsultations-inzidenz von etwas über 1.000 auf  3.000 pro 100.000 </w:t>
            </w:r>
            <w:proofErr w:type="spellStart"/>
            <w:r>
              <w:rPr>
                <w:sz w:val="22"/>
                <w:szCs w:val="22"/>
              </w:rPr>
              <w:t>Ew</w:t>
            </w:r>
            <w:proofErr w:type="spellEnd"/>
            <w:r>
              <w:rPr>
                <w:sz w:val="22"/>
                <w:szCs w:val="22"/>
              </w:rPr>
              <w:t xml:space="preserve">.; zeitgleich </w:t>
            </w:r>
            <w:proofErr w:type="spellStart"/>
            <w:r>
              <w:rPr>
                <w:sz w:val="22"/>
                <w:szCs w:val="22"/>
              </w:rPr>
              <w:t>Covid</w:t>
            </w:r>
            <w:proofErr w:type="spellEnd"/>
            <w:r>
              <w:rPr>
                <w:sz w:val="22"/>
                <w:szCs w:val="22"/>
              </w:rPr>
              <w:t xml:space="preserve">-Meldeinzidenz von ca. 20 auf 10 pro 1000.000 </w:t>
            </w:r>
            <w:proofErr w:type="spellStart"/>
            <w:r>
              <w:rPr>
                <w:sz w:val="22"/>
                <w:szCs w:val="22"/>
              </w:rPr>
              <w:t>Ew</w:t>
            </w:r>
            <w:proofErr w:type="spellEnd"/>
            <w:r>
              <w:rPr>
                <w:sz w:val="22"/>
                <w:szCs w:val="22"/>
              </w:rPr>
              <w:t xml:space="preserve">. gesunken (im Vergleich: starker Anstieg der </w:t>
            </w:r>
            <w:proofErr w:type="spellStart"/>
            <w:r>
              <w:rPr>
                <w:sz w:val="22"/>
                <w:szCs w:val="22"/>
              </w:rPr>
              <w:t>Covid</w:t>
            </w:r>
            <w:proofErr w:type="spellEnd"/>
            <w:r>
              <w:rPr>
                <w:sz w:val="22"/>
                <w:szCs w:val="22"/>
              </w:rPr>
              <w:t xml:space="preserve">-Meldeinzidenz in den Vorwochen – KW 30 bis 33 – von </w:t>
            </w:r>
            <w:proofErr w:type="spellStart"/>
            <w:r>
              <w:rPr>
                <w:sz w:val="22"/>
                <w:szCs w:val="22"/>
              </w:rPr>
              <w:t>von</w:t>
            </w:r>
            <w:proofErr w:type="spellEnd"/>
            <w:r>
              <w:rPr>
                <w:sz w:val="22"/>
                <w:szCs w:val="22"/>
              </w:rPr>
              <w:t xml:space="preserve"> ca. 3 auf 20 pro 1000.000  </w:t>
            </w:r>
            <w:proofErr w:type="spellStart"/>
            <w:r>
              <w:rPr>
                <w:sz w:val="22"/>
                <w:szCs w:val="22"/>
              </w:rPr>
              <w:t>Ew</w:t>
            </w:r>
            <w:proofErr w:type="spellEnd"/>
            <w:r>
              <w:rPr>
                <w:sz w:val="22"/>
                <w:szCs w:val="22"/>
              </w:rPr>
              <w:t>.)</w:t>
            </w:r>
          </w:p>
          <w:p>
            <w:pPr>
              <w:pStyle w:val="Listenabsatz"/>
              <w:numPr>
                <w:ilvl w:val="0"/>
                <w:numId w:val="45"/>
              </w:numPr>
              <w:rPr>
                <w:sz w:val="22"/>
                <w:szCs w:val="22"/>
              </w:rPr>
            </w:pPr>
            <w:r>
              <w:rPr>
                <w:sz w:val="22"/>
                <w:szCs w:val="22"/>
              </w:rPr>
              <w:t xml:space="preserve">ICOSARI-KH-Surveillance – SARI-Fälle sowie Anteil SARI-Fälle mit COVID-Diagnose bis zur 33. KW: Covid-19-Anteil an SARI zurückgegangen  </w:t>
            </w:r>
          </w:p>
          <w:p>
            <w:pPr>
              <w:pStyle w:val="Listenabsatz"/>
              <w:numPr>
                <w:ilvl w:val="0"/>
                <w:numId w:val="45"/>
              </w:numPr>
              <w:rPr>
                <w:sz w:val="22"/>
                <w:szCs w:val="22"/>
              </w:rPr>
            </w:pPr>
            <w:proofErr w:type="spellStart"/>
            <w:r>
              <w:rPr>
                <w:sz w:val="22"/>
                <w:szCs w:val="22"/>
              </w:rPr>
              <w:t>Anm</w:t>
            </w:r>
            <w:proofErr w:type="spellEnd"/>
            <w:r>
              <w:rPr>
                <w:sz w:val="22"/>
                <w:szCs w:val="22"/>
              </w:rPr>
              <w:t xml:space="preserve">: ARE-Anstieg in Schulen </w:t>
            </w:r>
            <w:proofErr w:type="spellStart"/>
            <w:r>
              <w:rPr>
                <w:sz w:val="22"/>
                <w:szCs w:val="22"/>
              </w:rPr>
              <w:t>mglw</w:t>
            </w:r>
            <w:proofErr w:type="spellEnd"/>
            <w:r>
              <w:rPr>
                <w:sz w:val="22"/>
                <w:szCs w:val="22"/>
              </w:rPr>
              <w:t xml:space="preserve">. durch Rhino- oder andere, typische Erkältungsviren bedingt, so starker Anstieg nach Ferienende im Vergleich zu Vorjahren jedoch recht untypisch, vor allem in Berlin auffällig (und Mecklenburg-Vorpommern, hier jedoch weniger </w:t>
            </w:r>
            <w:proofErr w:type="spellStart"/>
            <w:r>
              <w:rPr>
                <w:sz w:val="22"/>
                <w:szCs w:val="22"/>
              </w:rPr>
              <w:t>Sentinelpraxen</w:t>
            </w:r>
            <w:proofErr w:type="spellEnd"/>
            <w:r>
              <w:rPr>
                <w:sz w:val="22"/>
                <w:szCs w:val="22"/>
              </w:rPr>
              <w:t xml:space="preserve"> vorhanden), ggf. jedoch auch </w:t>
            </w:r>
            <w:proofErr w:type="spellStart"/>
            <w:r>
              <w:rPr>
                <w:sz w:val="22"/>
                <w:szCs w:val="22"/>
              </w:rPr>
              <w:t>awareness</w:t>
            </w:r>
            <w:proofErr w:type="spellEnd"/>
            <w:r>
              <w:rPr>
                <w:sz w:val="22"/>
                <w:szCs w:val="22"/>
              </w:rPr>
              <w:t>-Effekt mitursächlich</w:t>
            </w:r>
          </w:p>
          <w:p>
            <w:pPr>
              <w:pStyle w:val="Listenabsatz"/>
              <w:numPr>
                <w:ilvl w:val="0"/>
                <w:numId w:val="45"/>
              </w:numPr>
              <w:rPr>
                <w:i/>
                <w:sz w:val="22"/>
                <w:szCs w:val="22"/>
              </w:rPr>
            </w:pPr>
            <w:proofErr w:type="spellStart"/>
            <w:r>
              <w:rPr>
                <w:i/>
                <w:sz w:val="22"/>
                <w:szCs w:val="22"/>
              </w:rPr>
              <w:t>To</w:t>
            </w:r>
            <w:proofErr w:type="spellEnd"/>
            <w:r>
              <w:rPr>
                <w:i/>
                <w:sz w:val="22"/>
                <w:szCs w:val="22"/>
              </w:rPr>
              <w:t xml:space="preserve"> do: weitere Analyse hinsichtlich Auswirkung von </w:t>
            </w:r>
            <w:proofErr w:type="spellStart"/>
            <w:r>
              <w:rPr>
                <w:i/>
                <w:sz w:val="22"/>
                <w:szCs w:val="22"/>
              </w:rPr>
              <w:t>Feriende</w:t>
            </w:r>
            <w:proofErr w:type="spellEnd"/>
            <w:r>
              <w:rPr>
                <w:i/>
                <w:sz w:val="22"/>
                <w:szCs w:val="22"/>
              </w:rPr>
              <w:t>, v.a. auch hinsichtlich Bayern und BaWü</w:t>
            </w:r>
          </w:p>
          <w:p>
            <w:pPr>
              <w:pStyle w:val="Listenabsatz"/>
              <w:ind w:left="833"/>
              <w:rPr>
                <w:sz w:val="22"/>
                <w:szCs w:val="22"/>
              </w:rPr>
            </w:pPr>
          </w:p>
          <w:p>
            <w:pPr>
              <w:rPr>
                <w:sz w:val="22"/>
                <w:szCs w:val="22"/>
              </w:rPr>
            </w:pPr>
            <w:r>
              <w:rPr>
                <w:sz w:val="22"/>
                <w:szCs w:val="22"/>
              </w:rPr>
              <w:t xml:space="preserve">Laborbasierte Surveillance (Folien </w:t>
            </w:r>
            <w:hyperlink r:id="rId11" w:history="1">
              <w:r>
                <w:rPr>
                  <w:rStyle w:val="Hyperlink"/>
                  <w:sz w:val="22"/>
                  <w:szCs w:val="22"/>
                </w:rPr>
                <w:t>hier</w:t>
              </w:r>
            </w:hyperlink>
            <w:r>
              <w:rPr>
                <w:sz w:val="22"/>
                <w:szCs w:val="22"/>
              </w:rPr>
              <w:t>)</w:t>
            </w:r>
          </w:p>
          <w:p>
            <w:pPr>
              <w:rPr>
                <w:sz w:val="22"/>
                <w:szCs w:val="22"/>
              </w:rPr>
            </w:pPr>
            <w:r>
              <w:rPr>
                <w:sz w:val="22"/>
                <w:szCs w:val="22"/>
              </w:rPr>
              <w:t xml:space="preserve">Anzahl </w:t>
            </w:r>
          </w:p>
          <w:p>
            <w:pPr>
              <w:pStyle w:val="Listenabsatz"/>
              <w:numPr>
                <w:ilvl w:val="0"/>
                <w:numId w:val="46"/>
              </w:numPr>
              <w:rPr>
                <w:sz w:val="22"/>
                <w:szCs w:val="22"/>
              </w:rPr>
            </w:pPr>
            <w:r>
              <w:rPr>
                <w:sz w:val="22"/>
                <w:szCs w:val="22"/>
              </w:rPr>
              <w:t>Labore: 70</w:t>
            </w:r>
          </w:p>
          <w:p>
            <w:pPr>
              <w:pStyle w:val="Listenabsatz"/>
              <w:numPr>
                <w:ilvl w:val="0"/>
                <w:numId w:val="46"/>
              </w:numPr>
              <w:rPr>
                <w:sz w:val="22"/>
                <w:szCs w:val="22"/>
              </w:rPr>
            </w:pPr>
            <w:r>
              <w:rPr>
                <w:sz w:val="22"/>
                <w:szCs w:val="22"/>
              </w:rPr>
              <w:t>Krankenhäuser: 959</w:t>
            </w:r>
          </w:p>
          <w:p>
            <w:pPr>
              <w:pStyle w:val="Listenabsatz"/>
              <w:numPr>
                <w:ilvl w:val="0"/>
                <w:numId w:val="46"/>
              </w:numPr>
              <w:rPr>
                <w:sz w:val="22"/>
                <w:szCs w:val="22"/>
              </w:rPr>
            </w:pPr>
            <w:r>
              <w:rPr>
                <w:sz w:val="22"/>
                <w:szCs w:val="22"/>
              </w:rPr>
              <w:t>Arztpraxen: 20.476</w:t>
            </w:r>
          </w:p>
          <w:p>
            <w:pPr>
              <w:pStyle w:val="Listenabsatz"/>
              <w:numPr>
                <w:ilvl w:val="0"/>
                <w:numId w:val="46"/>
              </w:numPr>
              <w:rPr>
                <w:sz w:val="22"/>
                <w:szCs w:val="22"/>
              </w:rPr>
            </w:pPr>
            <w:r>
              <w:rPr>
                <w:sz w:val="22"/>
                <w:szCs w:val="22"/>
              </w:rPr>
              <w:t>Testungen mit Ergebnis: 4.490.888</w:t>
            </w:r>
          </w:p>
          <w:p>
            <w:pPr>
              <w:pStyle w:val="Listenabsatz"/>
              <w:numPr>
                <w:ilvl w:val="0"/>
                <w:numId w:val="46"/>
              </w:numPr>
              <w:rPr>
                <w:sz w:val="22"/>
                <w:szCs w:val="22"/>
              </w:rPr>
            </w:pPr>
            <w:r>
              <w:rPr>
                <w:sz w:val="22"/>
                <w:szCs w:val="22"/>
              </w:rPr>
              <w:t xml:space="preserve">Testungen pro 100.000 </w:t>
            </w:r>
            <w:proofErr w:type="spellStart"/>
            <w:r>
              <w:rPr>
                <w:sz w:val="22"/>
                <w:szCs w:val="22"/>
              </w:rPr>
              <w:t>Ew</w:t>
            </w:r>
            <w:proofErr w:type="spellEnd"/>
            <w:r>
              <w:rPr>
                <w:sz w:val="22"/>
                <w:szCs w:val="22"/>
              </w:rPr>
              <w:t xml:space="preserve"> stratifiziert nach Altersgruppe und Kalenderwoche: Altersgruppe der &gt; 80-Jährigen: konstant &gt;&gt; 400 Tests pro 100.000 </w:t>
            </w:r>
            <w:proofErr w:type="spellStart"/>
            <w:r>
              <w:rPr>
                <w:sz w:val="22"/>
                <w:szCs w:val="22"/>
              </w:rPr>
              <w:t>Ew</w:t>
            </w:r>
            <w:proofErr w:type="spellEnd"/>
            <w:r>
              <w:rPr>
                <w:sz w:val="22"/>
                <w:szCs w:val="22"/>
              </w:rPr>
              <w:t xml:space="preserve">. seit April (Altersgruppe mit höchster Testungszahl); Altersgruppe der 15- bis 34- und 35- bis 59-Jährigen: starke Zunahme der Testungen seit KW 30 von ca. 250 auf um die 400 Tests pro 100.000 </w:t>
            </w:r>
            <w:proofErr w:type="spellStart"/>
            <w:r>
              <w:rPr>
                <w:sz w:val="22"/>
                <w:szCs w:val="22"/>
              </w:rPr>
              <w:t>Ew</w:t>
            </w:r>
            <w:proofErr w:type="spellEnd"/>
            <w:r>
              <w:rPr>
                <w:sz w:val="22"/>
                <w:szCs w:val="22"/>
              </w:rPr>
              <w:t xml:space="preserve">.; alle Altersgruppen derzeit  &gt; 200 Tests pro 100.000 </w:t>
            </w:r>
            <w:proofErr w:type="spellStart"/>
            <w:r>
              <w:rPr>
                <w:sz w:val="22"/>
                <w:szCs w:val="22"/>
              </w:rPr>
              <w:t>Ew</w:t>
            </w:r>
            <w:proofErr w:type="spellEnd"/>
            <w:r>
              <w:rPr>
                <w:sz w:val="22"/>
                <w:szCs w:val="22"/>
              </w:rPr>
              <w:t xml:space="preserve"> </w:t>
            </w:r>
          </w:p>
          <w:p>
            <w:pPr>
              <w:pStyle w:val="Listenabsatz"/>
              <w:numPr>
                <w:ilvl w:val="0"/>
                <w:numId w:val="46"/>
              </w:numPr>
              <w:rPr>
                <w:sz w:val="22"/>
                <w:szCs w:val="22"/>
              </w:rPr>
            </w:pPr>
            <w:r>
              <w:rPr>
                <w:sz w:val="22"/>
                <w:szCs w:val="22"/>
              </w:rPr>
              <w:t xml:space="preserve">Anzahl der positiven und negativen Testungen pro Tag: derzeit starker Anstieg der Testung insgesamt zu verzeichnen (Erreichen der Testkapazität ggf. möglich),  am Wochenende nach wie vor wesentlich geringerer Testumfang, Positivanteil weiterhin gering </w:t>
            </w:r>
          </w:p>
          <w:p>
            <w:pPr>
              <w:pStyle w:val="Listenabsatz"/>
              <w:numPr>
                <w:ilvl w:val="0"/>
                <w:numId w:val="46"/>
              </w:numPr>
              <w:rPr>
                <w:sz w:val="22"/>
                <w:szCs w:val="22"/>
              </w:rPr>
            </w:pPr>
            <w:r>
              <w:rPr>
                <w:sz w:val="22"/>
                <w:szCs w:val="22"/>
              </w:rPr>
              <w:t>Anteil Personen mit positiver SARS-CoV-2-Testung nach Altersgruppe: recht einheitliche, geringe Positivrate, geringster Anteil positiv Getesteter in der Altersgruppe &gt; 80-</w:t>
            </w:r>
            <w:r>
              <w:rPr>
                <w:sz w:val="22"/>
                <w:szCs w:val="22"/>
              </w:rPr>
              <w:lastRenderedPageBreak/>
              <w:t>Jähriger mit ca. 0,34 %</w:t>
            </w:r>
          </w:p>
          <w:p>
            <w:pPr>
              <w:pStyle w:val="Listenabsatz"/>
              <w:numPr>
                <w:ilvl w:val="0"/>
                <w:numId w:val="46"/>
              </w:numPr>
              <w:rPr>
                <w:sz w:val="22"/>
                <w:szCs w:val="22"/>
              </w:rPr>
            </w:pPr>
            <w:r>
              <w:rPr>
                <w:sz w:val="22"/>
                <w:szCs w:val="22"/>
              </w:rPr>
              <w:t xml:space="preserve">Testverzug: KW 33 zeigt geringfügig steigende Tendenz, ein Erreichen der Testkapazität schlägt sich hier jedoch noch nicht nieder </w:t>
            </w:r>
          </w:p>
          <w:p>
            <w:pPr>
              <w:pStyle w:val="Listenabsatz"/>
              <w:numPr>
                <w:ilvl w:val="0"/>
                <w:numId w:val="46"/>
              </w:numPr>
              <w:rPr>
                <w:sz w:val="22"/>
                <w:szCs w:val="22"/>
              </w:rPr>
            </w:pPr>
            <w:proofErr w:type="spellStart"/>
            <w:r>
              <w:rPr>
                <w:sz w:val="22"/>
                <w:szCs w:val="22"/>
              </w:rPr>
              <w:t>Anm</w:t>
            </w:r>
            <w:proofErr w:type="spellEnd"/>
            <w:r>
              <w:rPr>
                <w:sz w:val="22"/>
                <w:szCs w:val="22"/>
              </w:rPr>
              <w:t xml:space="preserve">: Stratifizierung der Positivrate nach Altersgruppe: intensiv von Presse angefragt, welche Altersgruppe besonders hervorsticht; große Anzahl an 80-Jährigen bei vergleichsweise sehr geringer Positivrate von 0,2 % sind </w:t>
            </w:r>
            <w:proofErr w:type="spellStart"/>
            <w:r>
              <w:rPr>
                <w:sz w:val="22"/>
                <w:szCs w:val="22"/>
              </w:rPr>
              <w:t>hinweislich</w:t>
            </w:r>
            <w:proofErr w:type="spellEnd"/>
            <w:r>
              <w:rPr>
                <w:sz w:val="22"/>
                <w:szCs w:val="22"/>
              </w:rPr>
              <w:t xml:space="preserve"> auf die Validität der Methodik </w:t>
            </w:r>
          </w:p>
          <w:p>
            <w:pPr>
              <w:rPr>
                <w:i/>
                <w:sz w:val="22"/>
                <w:szCs w:val="22"/>
              </w:rPr>
            </w:pPr>
            <w:proofErr w:type="spellStart"/>
            <w:r>
              <w:rPr>
                <w:i/>
                <w:sz w:val="22"/>
                <w:szCs w:val="22"/>
              </w:rPr>
              <w:t>To</w:t>
            </w:r>
            <w:proofErr w:type="spellEnd"/>
            <w:r>
              <w:rPr>
                <w:i/>
                <w:sz w:val="22"/>
                <w:szCs w:val="22"/>
              </w:rPr>
              <w:t xml:space="preserve"> do: Testkapazität wird erst im Laufe des Mittwochs gemeldet, wird am Freitag präsentiert</w:t>
            </w:r>
          </w:p>
          <w:p>
            <w:pPr>
              <w:pStyle w:val="Listenabsatz"/>
              <w:ind w:left="833"/>
              <w:rPr>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Derzeit kein Anpassungsbedarf.</w:t>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 xml:space="preserve">BZgA </w:t>
            </w:r>
          </w:p>
          <w:p>
            <w:pPr>
              <w:spacing w:line="276" w:lineRule="auto"/>
              <w:rPr>
                <w:sz w:val="22"/>
                <w:szCs w:val="22"/>
              </w:rPr>
            </w:pPr>
            <w:r>
              <w:rPr>
                <w:sz w:val="22"/>
                <w:szCs w:val="22"/>
              </w:rPr>
              <w:t xml:space="preserve">Darstellung der Risikosituationen (geschlossene Räume, Gruppenbildung, Gespräche): </w:t>
            </w:r>
          </w:p>
          <w:p>
            <w:pPr>
              <w:pStyle w:val="Listenabsatz"/>
              <w:numPr>
                <w:ilvl w:val="0"/>
                <w:numId w:val="48"/>
              </w:numPr>
              <w:spacing w:line="276" w:lineRule="auto"/>
            </w:pPr>
            <w:r>
              <w:rPr>
                <w:sz w:val="22"/>
                <w:szCs w:val="22"/>
              </w:rPr>
              <w:t>Erarbeitung einer bildlichen und ggf. textlich mehrsprachigen Konzepts, um vor allem junge Menschen zu erreichen  &gt; Poster für bildliche Darstellung der drei Risikosituationen</w:t>
            </w:r>
          </w:p>
          <w:p>
            <w:pPr>
              <w:pStyle w:val="Listenabsatz"/>
              <w:numPr>
                <w:ilvl w:val="0"/>
                <w:numId w:val="48"/>
              </w:numPr>
              <w:spacing w:line="276" w:lineRule="auto"/>
              <w:rPr>
                <w:sz w:val="22"/>
                <w:szCs w:val="22"/>
              </w:rPr>
            </w:pPr>
            <w:r>
              <w:rPr>
                <w:sz w:val="22"/>
                <w:szCs w:val="22"/>
              </w:rPr>
              <w:t>Virtuelles Paket in Analogie zu Pandemiebeginn geplant, damit alle links und Downloads den Schulen zur Verfügung stehen.</w:t>
            </w:r>
          </w:p>
          <w:p>
            <w:pPr>
              <w:pStyle w:val="Listenabsatz"/>
              <w:numPr>
                <w:ilvl w:val="0"/>
                <w:numId w:val="48"/>
              </w:numPr>
              <w:spacing w:line="276" w:lineRule="auto"/>
            </w:pPr>
            <w:r>
              <w:rPr>
                <w:sz w:val="22"/>
                <w:szCs w:val="22"/>
              </w:rPr>
              <w:t>Maskenpflicht strittiges Thema: AGI-Abfrage vom 25.08.2020: nur in NRW derzeit dezidierte Maskenpflicht auch im Unterricht, in anderen BL nur auf Verkehrsflächen mit Clusterbildungsmöglichkeit, zudem strittig ob Lehrende einen MNS tragen müssen (Alternative: Visier). Starke Heterogenität bedingt hohe Anfragezahl; Sachstand wird recherchiert und mit Berufsverbands-Fachgesellschaften beraten</w:t>
            </w:r>
            <w:r>
              <w:t>.</w:t>
            </w:r>
          </w:p>
          <w:p>
            <w:pPr>
              <w:spacing w:line="276" w:lineRule="auto"/>
              <w:rPr>
                <w:i/>
                <w:sz w:val="22"/>
                <w:szCs w:val="22"/>
              </w:rPr>
            </w:pPr>
            <w:r>
              <w:rPr>
                <w:i/>
                <w:sz w:val="22"/>
                <w:szCs w:val="22"/>
              </w:rPr>
              <w:t>Siehe ursprüngliche Aufgabe ID 1711.</w:t>
            </w:r>
          </w:p>
          <w:p>
            <w:pPr>
              <w:spacing w:before="120"/>
              <w:rPr>
                <w:b/>
                <w:sz w:val="22"/>
                <w:szCs w:val="22"/>
              </w:rPr>
            </w:pPr>
            <w:r>
              <w:rPr>
                <w:b/>
                <w:sz w:val="22"/>
                <w:szCs w:val="22"/>
              </w:rPr>
              <w:t>Presse</w:t>
            </w:r>
          </w:p>
          <w:p>
            <w:pPr>
              <w:pStyle w:val="Listenabsatz"/>
              <w:numPr>
                <w:ilvl w:val="0"/>
                <w:numId w:val="31"/>
              </w:numPr>
              <w:spacing w:line="276" w:lineRule="auto"/>
              <w:rPr>
                <w:sz w:val="22"/>
              </w:rPr>
            </w:pPr>
            <w:r>
              <w:rPr>
                <w:sz w:val="22"/>
              </w:rPr>
              <w:t>Für kommenden Sonntag geplante Corona-Demonstration wurde vom Senat verboten.</w:t>
            </w:r>
          </w:p>
          <w:p>
            <w:pPr>
              <w:spacing w:line="276" w:lineRule="auto"/>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34"/>
              </w:numPr>
            </w:pPr>
            <w:r>
              <w:lastRenderedPageBreak/>
              <w:t>Nicht besprochen</w:t>
            </w:r>
          </w:p>
        </w:tc>
        <w:tc>
          <w:tcPr>
            <w:tcW w:w="1492" w:type="dxa"/>
          </w:tcPr>
          <w:p>
            <w:pPr>
              <w:rPr>
                <w:sz w:val="22"/>
                <w:szCs w:val="22"/>
              </w:rPr>
            </w:pPr>
          </w:p>
          <w:p>
            <w:pPr>
              <w:rPr>
                <w:sz w:val="22"/>
                <w:szCs w:val="22"/>
              </w:rPr>
            </w:pPr>
            <w:r>
              <w:rPr>
                <w:sz w:val="22"/>
                <w:szCs w:val="22"/>
              </w:rPr>
              <w:lastRenderedPageBreak/>
              <w:t>BMG-Liaison</w:t>
            </w:r>
          </w:p>
        </w:tc>
      </w:tr>
      <w:tr>
        <w:tc>
          <w:tcPr>
            <w:tcW w:w="684" w:type="dxa"/>
          </w:tcPr>
          <w:p>
            <w:pPr>
              <w:rPr>
                <w:b/>
              </w:rPr>
            </w:pPr>
            <w:r>
              <w:rPr>
                <w:b/>
              </w:rPr>
              <w:lastRenderedPageBreak/>
              <w:t>7</w:t>
            </w:r>
          </w:p>
        </w:tc>
        <w:tc>
          <w:tcPr>
            <w:tcW w:w="6795" w:type="dxa"/>
          </w:tcPr>
          <w:p>
            <w:pPr>
              <w:rPr>
                <w:b/>
              </w:rPr>
            </w:pPr>
            <w:r>
              <w:rPr>
                <w:b/>
              </w:rPr>
              <w:t>Strategie Fragen</w:t>
            </w:r>
          </w:p>
          <w:p>
            <w:pPr>
              <w:rPr>
                <w:b/>
              </w:rPr>
            </w:pPr>
            <w:r>
              <w:rPr>
                <w:b/>
              </w:rPr>
              <w:t>Allgemein</w:t>
            </w:r>
          </w:p>
          <w:p>
            <w:pPr>
              <w:rPr>
                <w:sz w:val="22"/>
                <w:szCs w:val="22"/>
              </w:rPr>
            </w:pPr>
            <w:r>
              <w:rPr>
                <w:sz w:val="22"/>
                <w:szCs w:val="22"/>
              </w:rPr>
              <w:t xml:space="preserve">Covid-19-Testgeschehen und Quarantäneregime (Folien </w:t>
            </w:r>
            <w:hyperlink r:id="rId12" w:history="1">
              <w:r>
                <w:rPr>
                  <w:rStyle w:val="Hyperlink"/>
                  <w:sz w:val="22"/>
                  <w:szCs w:val="22"/>
                </w:rPr>
                <w:t>hier</w:t>
              </w:r>
            </w:hyperlink>
            <w:r>
              <w:rPr>
                <w:sz w:val="22"/>
                <w:szCs w:val="22"/>
              </w:rPr>
              <w:t>)</w:t>
            </w:r>
          </w:p>
          <w:p>
            <w:pPr>
              <w:rPr>
                <w:b/>
                <w:sz w:val="22"/>
                <w:szCs w:val="22"/>
              </w:rPr>
            </w:pPr>
            <w:r>
              <w:rPr>
                <w:sz w:val="22"/>
                <w:szCs w:val="22"/>
              </w:rPr>
              <w:t xml:space="preserve">Beschluss besitzt Diskussionsbedarf: </w:t>
            </w:r>
          </w:p>
          <w:p>
            <w:pPr>
              <w:pStyle w:val="Listenabsatz"/>
              <w:numPr>
                <w:ilvl w:val="0"/>
                <w:numId w:val="39"/>
              </w:numPr>
              <w:rPr>
                <w:b/>
                <w:sz w:val="22"/>
                <w:szCs w:val="22"/>
              </w:rPr>
            </w:pPr>
            <w:r>
              <w:rPr>
                <w:sz w:val="22"/>
                <w:szCs w:val="22"/>
              </w:rPr>
              <w:t xml:space="preserve">Testung von Einreisenden soll zum 15.09./01.10. gestoppt werden, unabhängig ob aus Risikogebiet oder nicht </w:t>
            </w:r>
          </w:p>
          <w:p>
            <w:pPr>
              <w:pStyle w:val="Listenabsatz"/>
              <w:numPr>
                <w:ilvl w:val="0"/>
                <w:numId w:val="39"/>
              </w:numPr>
              <w:rPr>
                <w:sz w:val="22"/>
                <w:szCs w:val="22"/>
              </w:rPr>
            </w:pPr>
            <w:r>
              <w:rPr>
                <w:sz w:val="22"/>
                <w:szCs w:val="22"/>
              </w:rPr>
              <w:t xml:space="preserve">Quarantäneregime - zwei Eckpfeiler: Testung nach 5 Tagen vs. 7 Tagen; Quarantäne 10 Tage vs. 14 Tage, laut Beschluss jedoch lediglich 5 Tage. </w:t>
            </w:r>
          </w:p>
          <w:p>
            <w:pPr>
              <w:pStyle w:val="Listenabsatz"/>
              <w:rPr>
                <w:b/>
                <w:sz w:val="22"/>
                <w:szCs w:val="22"/>
              </w:rPr>
            </w:pPr>
            <w:r>
              <w:rPr>
                <w:sz w:val="22"/>
                <w:szCs w:val="22"/>
              </w:rPr>
              <w:sym w:font="Wingdings" w:char="F0E0"/>
            </w:r>
            <w:r>
              <w:rPr>
                <w:sz w:val="22"/>
                <w:szCs w:val="22"/>
              </w:rPr>
              <w:t xml:space="preserve"> Verkürzung  der Quarantäne/ politische Entscheidung kollidiert mit </w:t>
            </w:r>
            <w:proofErr w:type="spellStart"/>
            <w:r>
              <w:rPr>
                <w:sz w:val="22"/>
                <w:szCs w:val="22"/>
              </w:rPr>
              <w:t>outcome</w:t>
            </w:r>
            <w:proofErr w:type="spellEnd"/>
            <w:r>
              <w:rPr>
                <w:sz w:val="22"/>
                <w:szCs w:val="22"/>
              </w:rPr>
              <w:t xml:space="preserve"> internationaler Studien/ fachlicher Einschätzung (Inkubationszeit max. 14 Tage,  zu spätestem Zeitpunkt können noch Erkrankungen in ca. 1 – 10 % der Fälle auftreten) </w:t>
            </w:r>
          </w:p>
          <w:p>
            <w:pPr>
              <w:pStyle w:val="Listenabsatz"/>
              <w:numPr>
                <w:ilvl w:val="0"/>
                <w:numId w:val="39"/>
              </w:numPr>
              <w:rPr>
                <w:b/>
                <w:sz w:val="22"/>
                <w:szCs w:val="22"/>
              </w:rPr>
            </w:pPr>
            <w:r>
              <w:rPr>
                <w:sz w:val="22"/>
                <w:szCs w:val="22"/>
              </w:rPr>
              <w:t>Quarantäne (nach Kontakt mit potentiell infizierter Person) und Isolation (bei Erkrankung) werden begrifflich nicht sauber getrennt</w:t>
            </w:r>
          </w:p>
          <w:p>
            <w:pPr>
              <w:pStyle w:val="Listenabsatz"/>
              <w:numPr>
                <w:ilvl w:val="0"/>
                <w:numId w:val="39"/>
              </w:numPr>
              <w:rPr>
                <w:b/>
                <w:sz w:val="22"/>
                <w:szCs w:val="22"/>
              </w:rPr>
            </w:pPr>
            <w:r>
              <w:rPr>
                <w:sz w:val="22"/>
                <w:szCs w:val="22"/>
              </w:rPr>
              <w:t>Diskussion wird fortgesetzt</w:t>
            </w:r>
          </w:p>
          <w:p>
            <w:pPr>
              <w:rPr>
                <w:b/>
              </w:rPr>
            </w:pPr>
          </w:p>
          <w:p>
            <w:pPr>
              <w:rPr>
                <w:b/>
              </w:rPr>
            </w:pPr>
            <w:r>
              <w:rPr>
                <w:b/>
              </w:rPr>
              <w:t>RKI-intern</w:t>
            </w:r>
          </w:p>
          <w:p>
            <w:pPr>
              <w:pStyle w:val="Listenabsatz"/>
              <w:numPr>
                <w:ilvl w:val="0"/>
                <w:numId w:val="35"/>
              </w:numPr>
              <w:rPr>
                <w:sz w:val="22"/>
                <w:szCs w:val="22"/>
              </w:rPr>
            </w:pPr>
            <w:r>
              <w:rPr>
                <w:sz w:val="22"/>
                <w:szCs w:val="22"/>
              </w:rPr>
              <w:t>Verweis auf Papier von Frau Hahnefeld als Basis für weitere Diskussion</w:t>
            </w:r>
          </w:p>
          <w:p>
            <w:pPr>
              <w:pStyle w:val="Listenabsatz"/>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rPr>
                <w:sz w:val="22"/>
                <w:szCs w:val="22"/>
              </w:rPr>
            </w:pPr>
            <w:r>
              <w:rPr>
                <w:b/>
                <w:sz w:val="22"/>
                <w:szCs w:val="22"/>
              </w:rPr>
              <w:t>RKI-Zwischenbericht-COVID-19</w:t>
            </w:r>
            <w:r>
              <w:rPr>
                <w:sz w:val="22"/>
                <w:szCs w:val="22"/>
              </w:rPr>
              <w:t xml:space="preserve"> (Dokument </w:t>
            </w:r>
            <w:hyperlink r:id="rId13" w:history="1">
              <w:r>
                <w:rPr>
                  <w:rStyle w:val="Hyperlink"/>
                  <w:sz w:val="22"/>
                  <w:szCs w:val="22"/>
                </w:rPr>
                <w:t>hier</w:t>
              </w:r>
            </w:hyperlink>
            <w:r>
              <w:rPr>
                <w:sz w:val="22"/>
                <w:szCs w:val="22"/>
              </w:rPr>
              <w:t>)</w:t>
            </w:r>
          </w:p>
          <w:p>
            <w:pPr>
              <w:pStyle w:val="Listenabsatz"/>
              <w:numPr>
                <w:ilvl w:val="0"/>
                <w:numId w:val="38"/>
              </w:numPr>
              <w:rPr>
                <w:sz w:val="22"/>
                <w:szCs w:val="22"/>
              </w:rPr>
            </w:pPr>
            <w:r>
              <w:rPr>
                <w:sz w:val="22"/>
                <w:szCs w:val="22"/>
              </w:rPr>
              <w:t xml:space="preserve">Kurzvorstellung Zwischenbericht: zwei Teile: 1. </w:t>
            </w:r>
            <w:proofErr w:type="spellStart"/>
            <w:r>
              <w:rPr>
                <w:sz w:val="22"/>
                <w:szCs w:val="22"/>
              </w:rPr>
              <w:t>Lageentwick-lung</w:t>
            </w:r>
            <w:proofErr w:type="spellEnd"/>
            <w:r>
              <w:rPr>
                <w:sz w:val="22"/>
                <w:szCs w:val="22"/>
              </w:rPr>
              <w:t xml:space="preserve"> international und national, 2. Spezielle Themen (u.a. Kommunikation, Labordiagnostik, Infektionsschutzmaß-nahmen)</w:t>
            </w:r>
          </w:p>
          <w:p>
            <w:pPr>
              <w:pStyle w:val="Listenabsatz"/>
              <w:numPr>
                <w:ilvl w:val="0"/>
                <w:numId w:val="38"/>
              </w:numPr>
              <w:rPr>
                <w:sz w:val="22"/>
                <w:szCs w:val="22"/>
              </w:rPr>
            </w:pPr>
            <w:r>
              <w:rPr>
                <w:sz w:val="22"/>
                <w:szCs w:val="22"/>
              </w:rPr>
              <w:t xml:space="preserve">Besprechung des Zwischenberichtes wird auf Freitag, den 28.08. vertagt, da aufgrund der Relevanz des Schriftstückes Anwesenheit von </w:t>
            </w:r>
            <w:proofErr w:type="spellStart"/>
            <w:r>
              <w:rPr>
                <w:sz w:val="22"/>
                <w:szCs w:val="22"/>
              </w:rPr>
              <w:t>VPraes</w:t>
            </w:r>
            <w:proofErr w:type="spellEnd"/>
            <w:r>
              <w:rPr>
                <w:sz w:val="22"/>
                <w:szCs w:val="22"/>
              </w:rPr>
              <w:t xml:space="preserve"> erforderlich</w:t>
            </w:r>
          </w:p>
          <w:p>
            <w:pPr>
              <w:pStyle w:val="Listenabsatz"/>
              <w:rPr>
                <w:sz w:val="22"/>
                <w:szCs w:val="22"/>
              </w:rPr>
            </w:pPr>
          </w:p>
          <w:p>
            <w:pPr>
              <w:rPr>
                <w:i/>
                <w:sz w:val="22"/>
                <w:szCs w:val="22"/>
              </w:rPr>
            </w:pPr>
            <w:proofErr w:type="spellStart"/>
            <w:r>
              <w:rPr>
                <w:i/>
                <w:sz w:val="22"/>
                <w:szCs w:val="22"/>
              </w:rPr>
              <w:t>To</w:t>
            </w:r>
            <w:proofErr w:type="spellEnd"/>
            <w:r>
              <w:rPr>
                <w:i/>
                <w:sz w:val="22"/>
                <w:szCs w:val="22"/>
              </w:rPr>
              <w:t xml:space="preserve"> do: Bitte um finale Durchsicht bis Freitag (letzte Möglichkeit für Änderungen), v.a. hinsichtlich des Inhaltsverzeichnisses und der "Zusammenarbeit mit Fachgesellschaften" (S. 41), welches thematisch recht kurz behandelt ist</w:t>
            </w:r>
            <w:r>
              <w:rPr>
                <w:sz w:val="22"/>
                <w:szCs w:val="22"/>
              </w:rPr>
              <w:t xml:space="preserve"> </w:t>
            </w:r>
            <w:r>
              <w:rPr>
                <w:i/>
                <w:sz w:val="22"/>
                <w:szCs w:val="22"/>
              </w:rPr>
              <w:t>mit der Bitte, Änderungen direkt im Dokument vorzunehmen</w:t>
            </w:r>
          </w:p>
          <w:p>
            <w:pPr>
              <w:rPr>
                <w:sz w:val="22"/>
                <w:szCs w:val="22"/>
                <w:highlight w:val="yellow"/>
              </w:rPr>
            </w:pPr>
          </w:p>
          <w:p>
            <w:pPr>
              <w:rPr>
                <w:sz w:val="22"/>
                <w:szCs w:val="22"/>
              </w:rPr>
            </w:pPr>
            <w:r>
              <w:rPr>
                <w:b/>
                <w:sz w:val="22"/>
                <w:szCs w:val="22"/>
              </w:rPr>
              <w:t>Kontaktpersonennachverfolgung bei respiratorischen Erkrankungen durch das Coronavirus SARS-CoV-2</w:t>
            </w:r>
            <w:r>
              <w:rPr>
                <w:sz w:val="22"/>
                <w:szCs w:val="22"/>
              </w:rPr>
              <w:t xml:space="preserve"> (Dokument </w:t>
            </w:r>
            <w:hyperlink r:id="rId14" w:history="1">
              <w:r>
                <w:rPr>
                  <w:rStyle w:val="Hyperlink"/>
                  <w:sz w:val="22"/>
                  <w:szCs w:val="22"/>
                </w:rPr>
                <w:t>hier</w:t>
              </w:r>
            </w:hyperlink>
            <w:r>
              <w:rPr>
                <w:sz w:val="22"/>
                <w:szCs w:val="22"/>
              </w:rPr>
              <w:t>)</w:t>
            </w:r>
          </w:p>
          <w:p>
            <w:pPr>
              <w:pStyle w:val="Listenabsatz"/>
              <w:numPr>
                <w:ilvl w:val="0"/>
                <w:numId w:val="38"/>
              </w:numPr>
              <w:rPr>
                <w:sz w:val="22"/>
                <w:szCs w:val="22"/>
              </w:rPr>
            </w:pPr>
            <w:r>
              <w:rPr>
                <w:sz w:val="22"/>
                <w:szCs w:val="22"/>
              </w:rPr>
              <w:t xml:space="preserve">„noch moderaten“ (S. 1) streichen, sonst ständige </w:t>
            </w:r>
            <w:proofErr w:type="spellStart"/>
            <w:r>
              <w:rPr>
                <w:sz w:val="22"/>
                <w:szCs w:val="22"/>
              </w:rPr>
              <w:t>Notwen-digkeit</w:t>
            </w:r>
            <w:proofErr w:type="spellEnd"/>
            <w:r>
              <w:rPr>
                <w:sz w:val="22"/>
                <w:szCs w:val="22"/>
              </w:rPr>
              <w:t xml:space="preserve"> der Aktualisierung  </w:t>
            </w:r>
          </w:p>
          <w:p>
            <w:pPr>
              <w:pStyle w:val="Listenabsatz"/>
              <w:numPr>
                <w:ilvl w:val="0"/>
                <w:numId w:val="38"/>
              </w:numPr>
              <w:rPr>
                <w:sz w:val="22"/>
                <w:szCs w:val="22"/>
              </w:rPr>
            </w:pPr>
            <w:r>
              <w:rPr>
                <w:sz w:val="22"/>
                <w:szCs w:val="22"/>
              </w:rPr>
              <w:t xml:space="preserve">„Vorwärts- und Rückwärts-Ermittlung“ (S. 2): BMG hatte angefragt, ob Rückwärts-Ermittlung bereits umgesetzt werde – dies ist schon seit geraumer Zeit der Fall </w:t>
            </w:r>
          </w:p>
          <w:p>
            <w:pPr>
              <w:pStyle w:val="Listenabsatz"/>
              <w:numPr>
                <w:ilvl w:val="1"/>
                <w:numId w:val="38"/>
              </w:numPr>
              <w:rPr>
                <w:sz w:val="22"/>
                <w:szCs w:val="22"/>
              </w:rPr>
            </w:pPr>
            <w:r>
              <w:rPr>
                <w:sz w:val="22"/>
                <w:szCs w:val="22"/>
              </w:rPr>
              <w:t>Ggf. ist hier ein Hinweis zur Priorisierung nötig im Falle des Erreichens des Kapazitätslimits: Rückwärts-</w:t>
            </w:r>
            <w:r>
              <w:rPr>
                <w:sz w:val="22"/>
                <w:szCs w:val="22"/>
              </w:rPr>
              <w:lastRenderedPageBreak/>
              <w:t xml:space="preserve">Ermittlung sollte nicht der Vorwärts-Ermittlung </w:t>
            </w:r>
            <w:proofErr w:type="spellStart"/>
            <w:r>
              <w:rPr>
                <w:sz w:val="22"/>
                <w:szCs w:val="22"/>
              </w:rPr>
              <w:t>ggü</w:t>
            </w:r>
            <w:proofErr w:type="spellEnd"/>
            <w:r>
              <w:rPr>
                <w:sz w:val="22"/>
                <w:szCs w:val="22"/>
              </w:rPr>
              <w:t xml:space="preserve">. priorisiert oder von ihr getrennt werden </w:t>
            </w:r>
          </w:p>
          <w:p>
            <w:pPr>
              <w:pStyle w:val="Listenabsatz"/>
              <w:numPr>
                <w:ilvl w:val="1"/>
                <w:numId w:val="38"/>
              </w:numPr>
              <w:rPr>
                <w:sz w:val="22"/>
                <w:szCs w:val="22"/>
              </w:rPr>
            </w:pPr>
            <w:r>
              <w:rPr>
                <w:sz w:val="22"/>
                <w:szCs w:val="22"/>
              </w:rPr>
              <w:t xml:space="preserve">Eine Priorisierung sollte vielmehr anhand der aktuellen Risikosituation vorgenommen werden (bspw. bei Anhaltspunkt für Ausbruch in größerem Setting, ggf. Hinweis auf Sachverstand vor Ort /die sachkundige Einschätzung und Priorisierung durch lokale Behörden) </w:t>
            </w:r>
          </w:p>
          <w:p>
            <w:pPr>
              <w:rPr>
                <w:i/>
                <w:sz w:val="22"/>
                <w:szCs w:val="22"/>
              </w:rPr>
            </w:pPr>
            <w:proofErr w:type="spellStart"/>
            <w:r>
              <w:rPr>
                <w:i/>
                <w:sz w:val="22"/>
                <w:szCs w:val="22"/>
              </w:rPr>
              <w:t>To</w:t>
            </w:r>
            <w:proofErr w:type="spellEnd"/>
            <w:r>
              <w:rPr>
                <w:i/>
                <w:sz w:val="22"/>
                <w:szCs w:val="22"/>
              </w:rPr>
              <w:t xml:space="preserve"> do: Vorwärts- und Rückwärts-Ermittlung gleichermaßen von Bedeutung </w:t>
            </w:r>
            <w:r>
              <w:rPr>
                <w:i/>
                <w:sz w:val="22"/>
                <w:szCs w:val="22"/>
              </w:rPr>
              <w:sym w:font="Wingdings" w:char="F0E0"/>
            </w:r>
            <w:r>
              <w:rPr>
                <w:i/>
                <w:sz w:val="22"/>
                <w:szCs w:val="22"/>
              </w:rPr>
              <w:t xml:space="preserve"> Bitte um Austausch zwischen FG 14 und FG 36 (Diskussion war aufgrund technischer Störung nicht abzuschließen)</w:t>
            </w:r>
          </w:p>
          <w:p>
            <w:pPr>
              <w:pStyle w:val="Listenabsatz"/>
              <w:rPr>
                <w:sz w:val="22"/>
                <w:szCs w:val="22"/>
              </w:rPr>
            </w:pPr>
          </w:p>
          <w:p>
            <w:pPr>
              <w:pStyle w:val="Listenabsatz"/>
              <w:numPr>
                <w:ilvl w:val="0"/>
                <w:numId w:val="38"/>
              </w:numPr>
              <w:rPr>
                <w:sz w:val="22"/>
                <w:szCs w:val="22"/>
              </w:rPr>
            </w:pPr>
            <w:r>
              <w:rPr>
                <w:sz w:val="22"/>
                <w:szCs w:val="22"/>
              </w:rPr>
              <w:t>Umgang mit Kontaktpersonen eines bestätigten Covid-19-Falles (S. 2): Einigung Definition symptomatische Fälle mit bekanntem Symptombeginn auf „bis mindestens 10 Tage nach Symptombeginn“</w:t>
            </w:r>
          </w:p>
          <w:p>
            <w:pPr>
              <w:pStyle w:val="Listenabsatz"/>
              <w:numPr>
                <w:ilvl w:val="0"/>
                <w:numId w:val="38"/>
              </w:numPr>
              <w:rPr>
                <w:sz w:val="22"/>
                <w:szCs w:val="22"/>
              </w:rPr>
            </w:pPr>
            <w:r>
              <w:rPr>
                <w:sz w:val="22"/>
                <w:szCs w:val="22"/>
              </w:rPr>
              <w:t>Aerosole (S. 3): Definition auf 1,5 m (statt 2 m) Abstand von Quellfall vereinheitlicht (siehe auch S. 7)</w:t>
            </w:r>
          </w:p>
          <w:p>
            <w:pPr>
              <w:pStyle w:val="Listenabsatz"/>
              <w:numPr>
                <w:ilvl w:val="0"/>
                <w:numId w:val="38"/>
              </w:numPr>
              <w:rPr>
                <w:sz w:val="22"/>
                <w:szCs w:val="22"/>
              </w:rPr>
            </w:pPr>
            <w:r>
              <w:rPr>
                <w:sz w:val="22"/>
                <w:szCs w:val="22"/>
              </w:rPr>
              <w:t>Anpassung Management im Flugzeug (S.3):</w:t>
            </w:r>
          </w:p>
          <w:p>
            <w:pPr>
              <w:pStyle w:val="Listenabsatz"/>
              <w:numPr>
                <w:ilvl w:val="1"/>
                <w:numId w:val="38"/>
              </w:numPr>
              <w:rPr>
                <w:sz w:val="22"/>
                <w:szCs w:val="22"/>
              </w:rPr>
            </w:pPr>
            <w:proofErr w:type="spellStart"/>
            <w:r>
              <w:rPr>
                <w:sz w:val="22"/>
                <w:szCs w:val="22"/>
              </w:rPr>
              <w:t>Defintionsfestlegung</w:t>
            </w:r>
            <w:proofErr w:type="spellEnd"/>
            <w:r>
              <w:rPr>
                <w:sz w:val="22"/>
                <w:szCs w:val="22"/>
              </w:rPr>
              <w:t xml:space="preserve"> auf „</w:t>
            </w:r>
            <w:proofErr w:type="spellStart"/>
            <w:r>
              <w:rPr>
                <w:sz w:val="22"/>
                <w:szCs w:val="22"/>
              </w:rPr>
              <w:t>Armlehnenkontakt</w:t>
            </w:r>
            <w:proofErr w:type="spellEnd"/>
            <w:r>
              <w:rPr>
                <w:sz w:val="22"/>
                <w:szCs w:val="22"/>
              </w:rPr>
              <w:t xml:space="preserve"> bzw. direktem Sitznachbar“ </w:t>
            </w:r>
            <w:r>
              <w:rPr>
                <w:i/>
                <w:sz w:val="22"/>
                <w:szCs w:val="22"/>
              </w:rPr>
              <w:t>versus</w:t>
            </w:r>
            <w:r>
              <w:rPr>
                <w:sz w:val="22"/>
                <w:szCs w:val="22"/>
              </w:rPr>
              <w:t xml:space="preserve"> sich vorne und hinten anschließende Sitzreihen: Studie aus Frankfurt, die Transmission innerhalb von zwei oder mehr Sitzreihen anführt, definiert nicht den Zeitpunkt der stattgefundenen Übertragung</w:t>
            </w:r>
          </w:p>
          <w:p>
            <w:pPr>
              <w:pStyle w:val="Listenabsatz"/>
              <w:numPr>
                <w:ilvl w:val="1"/>
                <w:numId w:val="38"/>
              </w:numPr>
              <w:rPr>
                <w:sz w:val="22"/>
                <w:szCs w:val="22"/>
              </w:rPr>
            </w:pPr>
            <w:r>
              <w:rPr>
                <w:sz w:val="22"/>
                <w:szCs w:val="22"/>
              </w:rPr>
              <w:t xml:space="preserve">alte Nomenklatur „direkter Sitznachbar“ soll beibehalten werden </w:t>
            </w:r>
          </w:p>
          <w:p>
            <w:pPr>
              <w:pStyle w:val="Listenabsatz"/>
              <w:numPr>
                <w:ilvl w:val="0"/>
                <w:numId w:val="38"/>
              </w:numPr>
              <w:rPr>
                <w:sz w:val="22"/>
                <w:szCs w:val="22"/>
              </w:rPr>
            </w:pPr>
            <w:r>
              <w:rPr>
                <w:sz w:val="22"/>
                <w:szCs w:val="22"/>
              </w:rPr>
              <w:t xml:space="preserve">Beispiel „Schule“ (S. 4): Definitionen der Kategorien und Maßnahmen werden dadurch vermischt, auf Beispiel verzichten, zumal Schule/Schulklasse schwer differenzierbar (Punkt unter Management) </w:t>
            </w:r>
          </w:p>
          <w:p>
            <w:pPr>
              <w:pStyle w:val="Listenabsatz"/>
              <w:numPr>
                <w:ilvl w:val="0"/>
                <w:numId w:val="38"/>
              </w:numPr>
              <w:rPr>
                <w:sz w:val="22"/>
                <w:szCs w:val="22"/>
              </w:rPr>
            </w:pPr>
            <w:r>
              <w:rPr>
                <w:sz w:val="22"/>
                <w:szCs w:val="22"/>
              </w:rPr>
              <w:t xml:space="preserve">Einschub: Aerosolübertragung soll ausgeschlossen werden (S. 5); Aktivität und Dauer entscheidende Faktoren; Unterschiede in Schutzmaßnahme vor Übertragung über kurze oder weite Distanz </w:t>
            </w:r>
          </w:p>
          <w:p>
            <w:pPr>
              <w:pStyle w:val="Listenabsatz"/>
              <w:numPr>
                <w:ilvl w:val="0"/>
                <w:numId w:val="38"/>
              </w:numPr>
              <w:rPr>
                <w:sz w:val="22"/>
                <w:szCs w:val="22"/>
              </w:rPr>
            </w:pPr>
            <w:r>
              <w:rPr>
                <w:sz w:val="22"/>
                <w:szCs w:val="22"/>
              </w:rPr>
              <w:t xml:space="preserve">Zu Kat. III-Kontaktpersonen (S. 6): Anregung für zukünftige Diskussionen, ob Kat. III ggf. gestrichen werden solle </w:t>
            </w:r>
          </w:p>
          <w:p>
            <w:pPr>
              <w:pStyle w:val="Listenabsatz"/>
              <w:rPr>
                <w:sz w:val="22"/>
                <w:szCs w:val="22"/>
              </w:rPr>
            </w:pPr>
            <w:r>
              <w:rPr>
                <w:sz w:val="22"/>
                <w:szCs w:val="22"/>
              </w:rPr>
              <w:t xml:space="preserve">Pro: Einteilung in drei Kategorien oftmals irritierend, starke, teils </w:t>
            </w:r>
            <w:proofErr w:type="spellStart"/>
            <w:r>
              <w:rPr>
                <w:sz w:val="22"/>
                <w:szCs w:val="22"/>
              </w:rPr>
              <w:t>dysproportionale</w:t>
            </w:r>
            <w:proofErr w:type="spellEnd"/>
            <w:r>
              <w:rPr>
                <w:sz w:val="22"/>
                <w:szCs w:val="22"/>
              </w:rPr>
              <w:t xml:space="preserve"> Ressourcenbindung (bspw. zwecks Protokollführung) </w:t>
            </w:r>
          </w:p>
          <w:p>
            <w:pPr>
              <w:pStyle w:val="Listenabsatz"/>
              <w:rPr>
                <w:sz w:val="22"/>
                <w:szCs w:val="22"/>
              </w:rPr>
            </w:pPr>
            <w:r>
              <w:rPr>
                <w:sz w:val="22"/>
                <w:szCs w:val="22"/>
              </w:rPr>
              <w:t xml:space="preserve">Contra: Maßnahmen Kat. II vs. Kat. III sind grundlegend unterschiedlich: Mund-Nasen-Schutz (MNS) der Allgemeinbevölkerung vs. Arbeitsschutz (Frage der Relevanz, Wertigkeit, aber auch der Praktikabilität) </w:t>
            </w:r>
          </w:p>
          <w:p>
            <w:pPr>
              <w:pStyle w:val="Listenabsatz"/>
              <w:rPr>
                <w:sz w:val="22"/>
                <w:szCs w:val="22"/>
              </w:rPr>
            </w:pPr>
          </w:p>
          <w:p>
            <w:pPr>
              <w:rPr>
                <w:i/>
                <w:sz w:val="22"/>
                <w:szCs w:val="22"/>
              </w:rPr>
            </w:pPr>
            <w:proofErr w:type="spellStart"/>
            <w:r>
              <w:rPr>
                <w:i/>
                <w:sz w:val="22"/>
                <w:szCs w:val="22"/>
              </w:rPr>
              <w:t>To</w:t>
            </w:r>
            <w:proofErr w:type="spellEnd"/>
            <w:r>
              <w:rPr>
                <w:i/>
                <w:sz w:val="22"/>
                <w:szCs w:val="22"/>
              </w:rPr>
              <w:t xml:space="preserve"> do: Synopse essentiell für Verständlichkeit </w:t>
            </w:r>
            <w:r>
              <w:rPr>
                <w:i/>
              </w:rPr>
              <w:sym w:font="Wingdings" w:char="F0E0"/>
            </w:r>
            <w:r>
              <w:rPr>
                <w:i/>
                <w:sz w:val="22"/>
                <w:szCs w:val="22"/>
              </w:rPr>
              <w:t xml:space="preserve"> ggf. Verbesserung der graphischen bzw. </w:t>
            </w:r>
            <w:proofErr w:type="spellStart"/>
            <w:r>
              <w:rPr>
                <w:i/>
                <w:sz w:val="22"/>
                <w:szCs w:val="22"/>
              </w:rPr>
              <w:t>layouttechnischen</w:t>
            </w:r>
            <w:proofErr w:type="spellEnd"/>
            <w:r>
              <w:rPr>
                <w:i/>
                <w:sz w:val="22"/>
                <w:szCs w:val="22"/>
              </w:rPr>
              <w:t xml:space="preserve"> Übersichtlichkeit (farbige Gestaltung), Infografik hierzu sollte ebenfalls angepasst werden </w:t>
            </w:r>
          </w:p>
          <w:p>
            <w:pPr>
              <w:rPr>
                <w:sz w:val="22"/>
                <w:szCs w:val="22"/>
              </w:rPr>
            </w:pPr>
            <w:r>
              <w:rPr>
                <w:sz w:val="22"/>
                <w:szCs w:val="22"/>
              </w:rPr>
              <w:t xml:space="preserve">Anm.: Tabellenformate sind in </w:t>
            </w:r>
            <w:proofErr w:type="spellStart"/>
            <w:r>
              <w:rPr>
                <w:sz w:val="22"/>
                <w:szCs w:val="22"/>
              </w:rPr>
              <w:t>html</w:t>
            </w:r>
            <w:proofErr w:type="spellEnd"/>
            <w:r>
              <w:rPr>
                <w:sz w:val="22"/>
                <w:szCs w:val="22"/>
              </w:rPr>
              <w:t xml:space="preserve"> nicht gut umsetzbar, Formatierung ggf. als </w:t>
            </w:r>
            <w:proofErr w:type="spellStart"/>
            <w:r>
              <w:rPr>
                <w:sz w:val="22"/>
                <w:szCs w:val="22"/>
              </w:rPr>
              <w:t>pdf</w:t>
            </w:r>
            <w:proofErr w:type="spellEnd"/>
            <w:r>
              <w:rPr>
                <w:sz w:val="22"/>
                <w:szCs w:val="22"/>
              </w:rPr>
              <w:t xml:space="preserve">-Dokument </w:t>
            </w:r>
          </w:p>
          <w:p>
            <w:pPr>
              <w:rPr>
                <w:sz w:val="22"/>
                <w:szCs w:val="22"/>
              </w:rPr>
            </w:pPr>
          </w:p>
          <w:p>
            <w:pPr>
              <w:pStyle w:val="Listenabsatz"/>
              <w:numPr>
                <w:ilvl w:val="0"/>
                <w:numId w:val="38"/>
              </w:numPr>
              <w:rPr>
                <w:sz w:val="22"/>
                <w:szCs w:val="22"/>
              </w:rPr>
            </w:pPr>
            <w:r>
              <w:rPr>
                <w:sz w:val="22"/>
                <w:szCs w:val="22"/>
              </w:rPr>
              <w:lastRenderedPageBreak/>
              <w:t xml:space="preserve">Quellfall: Begrifflichkeit kontrovers diskutiert, weitere Formulierungsvorschläge sind willkommen, Begriff „Quellfall“ spiegelt derzeit jedoch inhaltlich am prägnantesten und deutlichsten dessen fachliche Definition wieder, bspw. auch hinsichtl. Unterschied Quellfall (Infektionsquelle) und Indexfall (erster Erkrankungsfall) </w:t>
            </w:r>
          </w:p>
          <w:p>
            <w:pPr>
              <w:ind w:left="360"/>
              <w:rPr>
                <w:sz w:val="22"/>
                <w:szCs w:val="22"/>
              </w:rPr>
            </w:pPr>
          </w:p>
          <w:p>
            <w:pPr>
              <w:rPr>
                <w:i/>
                <w:sz w:val="22"/>
                <w:szCs w:val="22"/>
              </w:rPr>
            </w:pPr>
            <w:proofErr w:type="spellStart"/>
            <w:r>
              <w:rPr>
                <w:i/>
                <w:sz w:val="22"/>
                <w:szCs w:val="22"/>
              </w:rPr>
              <w:t>To</w:t>
            </w:r>
            <w:proofErr w:type="spellEnd"/>
            <w:r>
              <w:rPr>
                <w:i/>
                <w:sz w:val="22"/>
                <w:szCs w:val="22"/>
              </w:rPr>
              <w:t xml:space="preserve"> do: Papier gilt somit als besprochen, muss nun in Reinform gebracht werden; cave: „Absonderung“ sollte in „Quarantäne“ oder „Isolation“ je nach Kontext abgeändert werden – „Absonderung“ = Begrifflichkeit nach IfSG (juristischer Begriff), „Quarantäne“ und „Isolation“ fachliche Begriffe &gt; Beibehalten einer begrifflichen Ebene nötig</w:t>
            </w:r>
          </w:p>
          <w:p>
            <w:pPr>
              <w:rPr>
                <w:sz w:val="22"/>
                <w:szCs w:val="22"/>
              </w:rPr>
            </w:pPr>
          </w:p>
          <w:p>
            <w:pPr>
              <w:rPr>
                <w:i/>
                <w:sz w:val="22"/>
                <w:szCs w:val="22"/>
              </w:rPr>
            </w:pPr>
            <w:proofErr w:type="spellStart"/>
            <w:r>
              <w:rPr>
                <w:i/>
                <w:sz w:val="22"/>
                <w:szCs w:val="22"/>
              </w:rPr>
              <w:t>To</w:t>
            </w:r>
            <w:proofErr w:type="spellEnd"/>
            <w:r>
              <w:rPr>
                <w:i/>
                <w:sz w:val="22"/>
                <w:szCs w:val="22"/>
              </w:rPr>
              <w:t xml:space="preserve"> do: Infografikanpassung sollte nach Anpassung des Papiers am Freitag möglichst zeitnah vorgenommen werden</w:t>
            </w:r>
          </w:p>
          <w:p>
            <w:pPr>
              <w:rPr>
                <w:sz w:val="22"/>
                <w:szCs w:val="22"/>
              </w:rPr>
            </w:pPr>
            <w:r>
              <w:rPr>
                <w:sz w:val="22"/>
                <w:szCs w:val="22"/>
              </w:rPr>
              <w:t xml:space="preserve">Anm.: Anpassung der Infografik und des Papiers gehen i.d.R. Hand-in-Hand, die Ausarbeitung sollte im Dialog erfolgen </w:t>
            </w:r>
          </w:p>
          <w:p>
            <w:pPr>
              <w:rPr>
                <w:i/>
                <w:sz w:val="22"/>
                <w:szCs w:val="22"/>
              </w:rPr>
            </w:pPr>
          </w:p>
          <w:p>
            <w:pPr>
              <w:rPr>
                <w:sz w:val="22"/>
                <w:szCs w:val="22"/>
              </w:rPr>
            </w:pPr>
            <w:r>
              <w:rPr>
                <w:b/>
                <w:sz w:val="22"/>
                <w:szCs w:val="22"/>
              </w:rPr>
              <w:t>Optionen zum Management von Kontaktpersonen unter medizinischem Personal</w:t>
            </w:r>
            <w:r>
              <w:rPr>
                <w:sz w:val="22"/>
                <w:szCs w:val="22"/>
              </w:rPr>
              <w:t xml:space="preserve"> (Dokument </w:t>
            </w:r>
            <w:hyperlink r:id="rId15" w:history="1">
              <w:r>
                <w:rPr>
                  <w:rStyle w:val="Hyperlink"/>
                  <w:sz w:val="22"/>
                  <w:szCs w:val="22"/>
                </w:rPr>
                <w:t>hier</w:t>
              </w:r>
            </w:hyperlink>
            <w:r>
              <w:rPr>
                <w:sz w:val="22"/>
                <w:szCs w:val="22"/>
              </w:rPr>
              <w:t>)</w:t>
            </w:r>
          </w:p>
          <w:p>
            <w:pPr>
              <w:pStyle w:val="Listenabsatz"/>
              <w:numPr>
                <w:ilvl w:val="0"/>
                <w:numId w:val="38"/>
              </w:numPr>
              <w:rPr>
                <w:sz w:val="22"/>
                <w:szCs w:val="22"/>
              </w:rPr>
            </w:pPr>
            <w:r>
              <w:rPr>
                <w:sz w:val="22"/>
                <w:szCs w:val="22"/>
              </w:rPr>
              <w:t>Nicht weiter besprochen</w:t>
            </w:r>
          </w:p>
          <w:p>
            <w:pPr>
              <w:pStyle w:val="Listenabsatz"/>
              <w:rPr>
                <w:sz w:val="22"/>
                <w:szCs w:val="22"/>
              </w:rPr>
            </w:pPr>
          </w:p>
          <w:p>
            <w:pPr>
              <w:rPr>
                <w:i/>
                <w:sz w:val="22"/>
                <w:szCs w:val="22"/>
              </w:rPr>
            </w:pPr>
            <w:proofErr w:type="spellStart"/>
            <w:r>
              <w:rPr>
                <w:i/>
                <w:sz w:val="22"/>
                <w:szCs w:val="22"/>
              </w:rPr>
              <w:t>To</w:t>
            </w:r>
            <w:proofErr w:type="spellEnd"/>
            <w:r>
              <w:rPr>
                <w:i/>
                <w:sz w:val="22"/>
                <w:szCs w:val="22"/>
              </w:rPr>
              <w:t xml:space="preserve"> do: sämtliche Dokumente sollten bis Freitag nochmal durch den Krisenstab zirkuliert werden (Teile ggf. als Fußnoten im „Mutter-dokument“ (s.o.) auslagern)</w:t>
            </w:r>
          </w:p>
          <w:p>
            <w:pPr>
              <w:rPr>
                <w:i/>
                <w:sz w:val="22"/>
                <w:szCs w:val="22"/>
              </w:rPr>
            </w:pPr>
          </w:p>
          <w:p>
            <w:pPr>
              <w:rPr>
                <w:sz w:val="22"/>
                <w:szCs w:val="22"/>
              </w:rPr>
            </w:pPr>
            <w:r>
              <w:rPr>
                <w:sz w:val="22"/>
                <w:szCs w:val="22"/>
              </w:rPr>
              <w:t>Besprechung der Dokumente am Freitag, den 28.08.</w:t>
            </w:r>
          </w:p>
          <w:p/>
        </w:tc>
        <w:tc>
          <w:tcPr>
            <w:tcW w:w="1492" w:type="dxa"/>
          </w:tcPr>
          <w:p>
            <w:pPr>
              <w:rPr>
                <w:sz w:val="22"/>
                <w:szCs w:val="22"/>
              </w:rPr>
            </w:pPr>
          </w:p>
          <w:p>
            <w:pPr>
              <w:rPr>
                <w:sz w:val="22"/>
                <w:szCs w:val="22"/>
              </w:rPr>
            </w:pPr>
            <w:r>
              <w:rPr>
                <w:sz w:val="22"/>
                <w:szCs w:val="22"/>
              </w:rPr>
              <w:t>FG32 (Grote)</w:t>
            </w:r>
          </w:p>
          <w:p>
            <w:pPr>
              <w:rPr>
                <w:sz w:val="22"/>
                <w:szCs w:val="22"/>
              </w:rPr>
            </w:pPr>
            <w:r>
              <w:rPr>
                <w:sz w:val="22"/>
                <w:szCs w:val="22"/>
              </w:rPr>
              <w:t>FG36/FG37</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38"/>
              </w:numPr>
              <w:rPr>
                <w:b/>
                <w:sz w:val="28"/>
              </w:rPr>
            </w:pPr>
            <w:r>
              <w:rPr>
                <w:sz w:val="22"/>
                <w:szCs w:val="22"/>
              </w:rPr>
              <w:t xml:space="preserve">Nicht besprochen </w:t>
            </w:r>
          </w:p>
        </w:tc>
        <w:tc>
          <w:tcPr>
            <w:tcW w:w="1492" w:type="dxa"/>
          </w:tcPr>
          <w:p>
            <w:pPr>
              <w:rPr>
                <w:sz w:val="22"/>
                <w:szCs w:val="22"/>
              </w:rPr>
            </w:pPr>
            <w:r>
              <w:rPr>
                <w:sz w:val="22"/>
                <w:szCs w:val="22"/>
              </w:rPr>
              <w:t>FG37</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 xml:space="preserve">Aktuelle Lage unverändert: übersichtlicher Probeneingang, ggf. geringfügig mehr Aufkommen, nachweislich ausschließlich </w:t>
            </w:r>
            <w:proofErr w:type="spellStart"/>
            <w:r>
              <w:rPr>
                <w:sz w:val="22"/>
                <w:szCs w:val="22"/>
              </w:rPr>
              <w:t>Rhinoviren</w:t>
            </w:r>
            <w:proofErr w:type="spellEnd"/>
            <w:r>
              <w:rPr>
                <w:sz w:val="22"/>
                <w:szCs w:val="22"/>
              </w:rPr>
              <w:t xml:space="preserve"> detektiert, 50 % der eingesandten Proben positiv</w:t>
            </w:r>
          </w:p>
          <w:p>
            <w:pPr>
              <w:pStyle w:val="Listenabsatz"/>
              <w:numPr>
                <w:ilvl w:val="0"/>
                <w:numId w:val="5"/>
              </w:numPr>
              <w:ind w:left="453" w:hanging="340"/>
              <w:rPr>
                <w:sz w:val="22"/>
                <w:szCs w:val="22"/>
              </w:rPr>
            </w:pPr>
            <w:r>
              <w:rPr>
                <w:sz w:val="22"/>
                <w:szCs w:val="22"/>
              </w:rPr>
              <w:t xml:space="preserve">Nachweis endemischer Coronaviren kann aufgrund geltender Rechtsvorschriften nicht tagesaktuell durchgeführt werden, Schadensfrist muss abgewartet werden, dazu derzeit Anfrage bei Datenschutz und Rechtsabteilung </w:t>
            </w:r>
          </w:p>
          <w:p>
            <w:pPr>
              <w:pStyle w:val="Listenabsatz"/>
              <w:numPr>
                <w:ilvl w:val="0"/>
                <w:numId w:val="5"/>
              </w:numPr>
              <w:ind w:left="453" w:hanging="340"/>
              <w:rPr>
                <w:sz w:val="22"/>
                <w:szCs w:val="22"/>
              </w:rPr>
            </w:pPr>
            <w:r>
              <w:rPr>
                <w:sz w:val="22"/>
                <w:szCs w:val="22"/>
              </w:rPr>
              <w:t>Zu „falsch positiven Ergebnissen“: eine Erörterung wurde kürzlich an den Spiegel geschickt, Auszüge werden für die FAQs verwendet werden können</w:t>
            </w:r>
          </w:p>
          <w:p>
            <w:pPr>
              <w:pStyle w:val="Listenabsatz"/>
              <w:ind w:left="453"/>
              <w:rPr>
                <w:sz w:val="22"/>
                <w:szCs w:val="22"/>
              </w:rPr>
            </w:pPr>
            <w:r>
              <w:rPr>
                <w:sz w:val="22"/>
                <w:szCs w:val="22"/>
              </w:rPr>
              <w:t>Anm.: das Einbringen neuer Zahlen gibt Anlass zu neuerlichen Nachfragen oder Missverständnissen, es muss sprachlich präzise formuliert werden, aus Erfahrung werden stratifizierte Positivraten von der Bevölkerung am besten nachvollzogen werden können</w:t>
            </w:r>
          </w:p>
          <w:p>
            <w:pPr>
              <w:rPr>
                <w:i/>
                <w:sz w:val="22"/>
                <w:szCs w:val="22"/>
              </w:rPr>
            </w:pPr>
            <w:proofErr w:type="spellStart"/>
            <w:r>
              <w:rPr>
                <w:i/>
                <w:sz w:val="22"/>
                <w:szCs w:val="22"/>
              </w:rPr>
              <w:t>To</w:t>
            </w:r>
            <w:proofErr w:type="spellEnd"/>
            <w:r>
              <w:rPr>
                <w:i/>
                <w:sz w:val="22"/>
                <w:szCs w:val="22"/>
              </w:rPr>
              <w:t xml:space="preserve"> do: Ergänzung des FAQs unter Berücksichtigung o.g. Aspekte </w:t>
            </w:r>
          </w:p>
          <w:p>
            <w:pPr>
              <w:rPr>
                <w:i/>
                <w:sz w:val="22"/>
                <w:szCs w:val="22"/>
              </w:rPr>
            </w:pPr>
          </w:p>
        </w:tc>
        <w:tc>
          <w:tcPr>
            <w:tcW w:w="1492" w:type="dxa"/>
          </w:tcPr>
          <w:p>
            <w:pPr>
              <w:rPr>
                <w:sz w:val="22"/>
                <w:szCs w:val="22"/>
              </w:rPr>
            </w:pPr>
          </w:p>
          <w:p>
            <w:pPr>
              <w:rPr>
                <w:sz w:val="22"/>
                <w:szCs w:val="22"/>
              </w:rPr>
            </w:pPr>
            <w:r>
              <w:t>FG17/ZBS1</w:t>
            </w: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lastRenderedPageBreak/>
              <w:t xml:space="preserve">Nicht besprochen </w:t>
            </w:r>
          </w:p>
        </w:tc>
        <w:tc>
          <w:tcPr>
            <w:tcW w:w="1492" w:type="dxa"/>
          </w:tcPr>
          <w:p>
            <w:pPr>
              <w:rPr>
                <w:sz w:val="22"/>
                <w:szCs w:val="22"/>
              </w:rPr>
            </w:pPr>
          </w:p>
          <w:p>
            <w:pPr>
              <w:rPr>
                <w:sz w:val="22"/>
                <w:szCs w:val="22"/>
              </w:rPr>
            </w:pPr>
            <w:r>
              <w:lastRenderedPageBreak/>
              <w:t>FG36/IBBS</w:t>
            </w:r>
          </w:p>
          <w:p>
            <w:pPr>
              <w:rPr>
                <w:sz w:val="22"/>
                <w:szCs w:val="22"/>
              </w:rPr>
            </w:pPr>
          </w:p>
        </w:tc>
      </w:tr>
      <w:tr>
        <w:tc>
          <w:tcPr>
            <w:tcW w:w="684" w:type="dxa"/>
          </w:tcPr>
          <w:p>
            <w:pPr>
              <w:rPr>
                <w:b/>
              </w:rPr>
            </w:pPr>
            <w:r>
              <w:rPr>
                <w:b/>
              </w:rPr>
              <w:lastRenderedPageBreak/>
              <w:t>12</w:t>
            </w:r>
          </w:p>
        </w:tc>
        <w:tc>
          <w:tcPr>
            <w:tcW w:w="6795" w:type="dxa"/>
          </w:tcPr>
          <w:p>
            <w:pPr>
              <w:spacing w:line="276" w:lineRule="auto"/>
              <w:rPr>
                <w:b/>
                <w:sz w:val="28"/>
              </w:rPr>
            </w:pPr>
            <w:r>
              <w:rPr>
                <w:b/>
                <w:sz w:val="28"/>
              </w:rPr>
              <w:t>Maßnahmen zum Infektionsschutz</w:t>
            </w:r>
          </w:p>
          <w:p>
            <w:pPr>
              <w:rPr>
                <w:sz w:val="22"/>
                <w:szCs w:val="22"/>
              </w:rPr>
            </w:pPr>
            <w:r>
              <w:rPr>
                <w:b/>
                <w:sz w:val="22"/>
                <w:szCs w:val="22"/>
              </w:rPr>
              <w:t>Arbeit der WHO IPC Gruppe zu MNS und Atemschutz sowie zu Übertragungswegen im Gesundheitswesen</w:t>
            </w:r>
            <w:r>
              <w:rPr>
                <w:sz w:val="22"/>
                <w:szCs w:val="22"/>
              </w:rPr>
              <w:t xml:space="preserve"> (Folien </w:t>
            </w:r>
            <w:hyperlink r:id="rId16" w:history="1">
              <w:r>
                <w:rPr>
                  <w:rStyle w:val="Hyperlink"/>
                  <w:sz w:val="22"/>
                  <w:szCs w:val="22"/>
                </w:rPr>
                <w:t>hier</w:t>
              </w:r>
            </w:hyperlink>
            <w:r>
              <w:rPr>
                <w:sz w:val="22"/>
                <w:szCs w:val="22"/>
              </w:rPr>
              <w:t>)</w:t>
            </w:r>
          </w:p>
          <w:p>
            <w:pPr>
              <w:rPr>
                <w:sz w:val="22"/>
                <w:szCs w:val="22"/>
              </w:rPr>
            </w:pPr>
          </w:p>
          <w:p>
            <w:pPr>
              <w:rPr>
                <w:sz w:val="22"/>
                <w:szCs w:val="22"/>
                <w:u w:val="single"/>
              </w:rPr>
            </w:pPr>
            <w:r>
              <w:rPr>
                <w:sz w:val="22"/>
                <w:szCs w:val="22"/>
                <w:u w:val="single"/>
              </w:rPr>
              <w:t>Veröffentlichung des WHO Expertengremiums bezüglich möglicher Übertragungswege im Gesundheitswesen und Schutz des medizinischen Personals</w:t>
            </w:r>
            <w:r>
              <w:rPr>
                <w:sz w:val="22"/>
                <w:szCs w:val="22"/>
              </w:rPr>
              <w:t xml:space="preserve">  (Kommentar, kein </w:t>
            </w:r>
            <w:proofErr w:type="spellStart"/>
            <w:r>
              <w:rPr>
                <w:sz w:val="22"/>
                <w:szCs w:val="22"/>
              </w:rPr>
              <w:t>systematic</w:t>
            </w:r>
            <w:proofErr w:type="spellEnd"/>
            <w:r>
              <w:rPr>
                <w:sz w:val="22"/>
                <w:szCs w:val="22"/>
              </w:rPr>
              <w:t xml:space="preserve"> review)</w:t>
            </w:r>
          </w:p>
          <w:p>
            <w:pPr>
              <w:rPr>
                <w:sz w:val="22"/>
                <w:szCs w:val="22"/>
                <w:u w:val="single"/>
              </w:rPr>
            </w:pPr>
          </w:p>
          <w:p>
            <w:pPr>
              <w:pStyle w:val="Listenabsatz"/>
              <w:numPr>
                <w:ilvl w:val="0"/>
                <w:numId w:val="30"/>
              </w:numPr>
              <w:rPr>
                <w:sz w:val="22"/>
                <w:szCs w:val="22"/>
              </w:rPr>
            </w:pPr>
            <w:r>
              <w:rPr>
                <w:sz w:val="22"/>
                <w:szCs w:val="22"/>
              </w:rPr>
              <w:t>Vorherrschende Übertragungswege im Gesundheitswesen: Respiratorische Tröpfchen und/oder Kontaktroute</w:t>
            </w:r>
          </w:p>
          <w:p>
            <w:pPr>
              <w:pStyle w:val="Listenabsatz"/>
              <w:numPr>
                <w:ilvl w:val="0"/>
                <w:numId w:val="30"/>
              </w:numPr>
              <w:rPr>
                <w:sz w:val="22"/>
                <w:szCs w:val="22"/>
              </w:rPr>
            </w:pPr>
            <w:proofErr w:type="spellStart"/>
            <w:r>
              <w:rPr>
                <w:sz w:val="22"/>
                <w:szCs w:val="22"/>
              </w:rPr>
              <w:t>Secondary</w:t>
            </w:r>
            <w:proofErr w:type="spellEnd"/>
            <w:r>
              <w:rPr>
                <w:sz w:val="22"/>
                <w:szCs w:val="22"/>
              </w:rPr>
              <w:t xml:space="preserve"> </w:t>
            </w:r>
            <w:proofErr w:type="spellStart"/>
            <w:r>
              <w:rPr>
                <w:sz w:val="22"/>
                <w:szCs w:val="22"/>
              </w:rPr>
              <w:t>attack</w:t>
            </w:r>
            <w:proofErr w:type="spellEnd"/>
            <w:r>
              <w:rPr>
                <w:sz w:val="22"/>
                <w:szCs w:val="22"/>
              </w:rPr>
              <w:t xml:space="preserve"> rate (3-10 %; aus Übertragungen in Haushalten ermittelt) und R0 von SARS-</w:t>
            </w:r>
            <w:proofErr w:type="spellStart"/>
            <w:r>
              <w:rPr>
                <w:sz w:val="22"/>
                <w:szCs w:val="22"/>
              </w:rPr>
              <w:t>CoV</w:t>
            </w:r>
            <w:proofErr w:type="spellEnd"/>
            <w:r>
              <w:rPr>
                <w:sz w:val="22"/>
                <w:szCs w:val="22"/>
              </w:rPr>
              <w:t xml:space="preserve"> (2,0-2,5) sind nicht konsistent mit einer obligat aerogenen Übertragung</w:t>
            </w:r>
          </w:p>
          <w:p>
            <w:pPr>
              <w:pStyle w:val="Listenabsatz"/>
              <w:numPr>
                <w:ilvl w:val="0"/>
                <w:numId w:val="30"/>
              </w:numPr>
              <w:rPr>
                <w:sz w:val="22"/>
                <w:szCs w:val="22"/>
              </w:rPr>
            </w:pPr>
            <w:r>
              <w:rPr>
                <w:sz w:val="22"/>
                <w:szCs w:val="22"/>
              </w:rPr>
              <w:t>„</w:t>
            </w:r>
            <w:proofErr w:type="spellStart"/>
            <w:r>
              <w:rPr>
                <w:sz w:val="22"/>
                <w:szCs w:val="22"/>
              </w:rPr>
              <w:t>opportunistic</w:t>
            </w:r>
            <w:proofErr w:type="spellEnd"/>
            <w:r>
              <w:rPr>
                <w:sz w:val="22"/>
                <w:szCs w:val="22"/>
              </w:rPr>
              <w:t xml:space="preserve">“ </w:t>
            </w:r>
            <w:proofErr w:type="spellStart"/>
            <w:r>
              <w:rPr>
                <w:sz w:val="22"/>
                <w:szCs w:val="22"/>
              </w:rPr>
              <w:t>airborne</w:t>
            </w:r>
            <w:proofErr w:type="spellEnd"/>
            <w:r>
              <w:rPr>
                <w:sz w:val="22"/>
                <w:szCs w:val="22"/>
              </w:rPr>
              <w:t xml:space="preserve"> Übertragung bei aerosol-generierenden medizinischen Maßnahmen („AGMPs“) bei &gt; 1 m Entfernung möglich</w:t>
            </w:r>
          </w:p>
          <w:p>
            <w:pPr>
              <w:rPr>
                <w:sz w:val="22"/>
                <w:szCs w:val="22"/>
              </w:rPr>
            </w:pPr>
            <w:r>
              <w:rPr>
                <w:sz w:val="22"/>
                <w:szCs w:val="22"/>
              </w:rPr>
              <w:t>Erforderliche Maßnahmen für den Schutz des medizinischen Personals:</w:t>
            </w:r>
          </w:p>
          <w:p>
            <w:pPr>
              <w:pStyle w:val="Listenabsatz"/>
              <w:numPr>
                <w:ilvl w:val="0"/>
                <w:numId w:val="30"/>
              </w:numPr>
              <w:rPr>
                <w:sz w:val="22"/>
                <w:szCs w:val="22"/>
              </w:rPr>
            </w:pPr>
            <w:r>
              <w:rPr>
                <w:sz w:val="22"/>
                <w:szCs w:val="22"/>
              </w:rPr>
              <w:t>Einsatz von PSA oder Abstand von &gt; 2m</w:t>
            </w:r>
          </w:p>
          <w:p>
            <w:pPr>
              <w:pStyle w:val="Listenabsatz"/>
              <w:numPr>
                <w:ilvl w:val="0"/>
                <w:numId w:val="30"/>
              </w:numPr>
              <w:rPr>
                <w:sz w:val="22"/>
                <w:szCs w:val="22"/>
              </w:rPr>
            </w:pPr>
            <w:r>
              <w:rPr>
                <w:sz w:val="22"/>
                <w:szCs w:val="22"/>
              </w:rPr>
              <w:t>Laut WHO sind MNS („</w:t>
            </w:r>
            <w:proofErr w:type="spellStart"/>
            <w:r>
              <w:rPr>
                <w:sz w:val="22"/>
                <w:szCs w:val="22"/>
              </w:rPr>
              <w:t>medical</w:t>
            </w:r>
            <w:proofErr w:type="spellEnd"/>
            <w:r>
              <w:rPr>
                <w:sz w:val="22"/>
                <w:szCs w:val="22"/>
              </w:rPr>
              <w:t xml:space="preserve"> </w:t>
            </w:r>
            <w:proofErr w:type="spellStart"/>
            <w:r>
              <w:rPr>
                <w:sz w:val="22"/>
                <w:szCs w:val="22"/>
              </w:rPr>
              <w:t>masks</w:t>
            </w:r>
            <w:proofErr w:type="spellEnd"/>
            <w:r>
              <w:rPr>
                <w:sz w:val="22"/>
                <w:szCs w:val="22"/>
              </w:rPr>
              <w:t>“) oder  Atemschutz („</w:t>
            </w:r>
            <w:proofErr w:type="spellStart"/>
            <w:r>
              <w:rPr>
                <w:sz w:val="22"/>
                <w:szCs w:val="22"/>
              </w:rPr>
              <w:t>respirators</w:t>
            </w:r>
            <w:proofErr w:type="spellEnd"/>
            <w:r>
              <w:rPr>
                <w:sz w:val="22"/>
                <w:szCs w:val="22"/>
              </w:rPr>
              <w:t xml:space="preserve">“; N95)  grundsätzlich geeignet für die Versorgung von an COVID-19-erkrankten Personen </w:t>
            </w:r>
          </w:p>
          <w:p>
            <w:pPr>
              <w:pStyle w:val="Listenabsatz"/>
              <w:numPr>
                <w:ilvl w:val="0"/>
                <w:numId w:val="30"/>
              </w:numPr>
              <w:rPr>
                <w:sz w:val="22"/>
                <w:szCs w:val="22"/>
              </w:rPr>
            </w:pPr>
            <w:r>
              <w:rPr>
                <w:sz w:val="22"/>
                <w:szCs w:val="22"/>
              </w:rPr>
              <w:t xml:space="preserve">In DE wird der Einsatz von Schutzmasken von </w:t>
            </w:r>
            <w:proofErr w:type="spellStart"/>
            <w:r>
              <w:rPr>
                <w:sz w:val="22"/>
                <w:szCs w:val="22"/>
              </w:rPr>
              <w:t>BAuA</w:t>
            </w:r>
            <w:proofErr w:type="spellEnd"/>
            <w:r>
              <w:rPr>
                <w:sz w:val="22"/>
                <w:szCs w:val="22"/>
              </w:rPr>
              <w:t>/Arbeitsschutz geregelt (bei Versorgung von COVID-19-infizierten: FFP oder mehr).</w:t>
            </w:r>
          </w:p>
          <w:p>
            <w:pPr>
              <w:pStyle w:val="Listenabsatz"/>
              <w:numPr>
                <w:ilvl w:val="0"/>
                <w:numId w:val="30"/>
              </w:numPr>
              <w:rPr>
                <w:sz w:val="22"/>
                <w:szCs w:val="22"/>
              </w:rPr>
            </w:pPr>
            <w:r>
              <w:rPr>
                <w:sz w:val="22"/>
                <w:szCs w:val="22"/>
              </w:rPr>
              <w:t>Wichtige Faktoren beim Einsatz von MNS und Atemschutz sind:</w:t>
            </w:r>
          </w:p>
          <w:p>
            <w:pPr>
              <w:pStyle w:val="Listenabsatz"/>
              <w:numPr>
                <w:ilvl w:val="1"/>
                <w:numId w:val="30"/>
              </w:numPr>
              <w:rPr>
                <w:sz w:val="22"/>
                <w:szCs w:val="22"/>
              </w:rPr>
            </w:pPr>
            <w:r>
              <w:rPr>
                <w:sz w:val="22"/>
                <w:szCs w:val="22"/>
              </w:rPr>
              <w:t>Risiko der Selbstkontamination beim Tragen und insbesondere beim An- und Ablegen („</w:t>
            </w:r>
            <w:proofErr w:type="spellStart"/>
            <w:r>
              <w:rPr>
                <w:sz w:val="22"/>
                <w:szCs w:val="22"/>
              </w:rPr>
              <w:t>Donning</w:t>
            </w:r>
            <w:proofErr w:type="spellEnd"/>
            <w:r>
              <w:rPr>
                <w:sz w:val="22"/>
                <w:szCs w:val="22"/>
              </w:rPr>
              <w:t>/</w:t>
            </w:r>
            <w:proofErr w:type="spellStart"/>
            <w:r>
              <w:rPr>
                <w:sz w:val="22"/>
                <w:szCs w:val="22"/>
              </w:rPr>
              <w:t>Doffing</w:t>
            </w:r>
            <w:proofErr w:type="spellEnd"/>
            <w:r>
              <w:rPr>
                <w:sz w:val="22"/>
                <w:szCs w:val="22"/>
              </w:rPr>
              <w:t>“)</w:t>
            </w:r>
          </w:p>
          <w:p>
            <w:pPr>
              <w:pStyle w:val="Listenabsatz"/>
              <w:numPr>
                <w:ilvl w:val="1"/>
                <w:numId w:val="30"/>
              </w:numPr>
              <w:rPr>
                <w:sz w:val="22"/>
                <w:szCs w:val="22"/>
              </w:rPr>
            </w:pPr>
            <w:r>
              <w:rPr>
                <w:sz w:val="22"/>
                <w:szCs w:val="22"/>
              </w:rPr>
              <w:t xml:space="preserve">Personal braucht einfache Protokolle </w:t>
            </w:r>
          </w:p>
          <w:p>
            <w:pPr>
              <w:pStyle w:val="Listenabsatz"/>
              <w:numPr>
                <w:ilvl w:val="1"/>
                <w:numId w:val="30"/>
              </w:numPr>
              <w:rPr>
                <w:sz w:val="22"/>
                <w:szCs w:val="22"/>
              </w:rPr>
            </w:pPr>
            <w:r>
              <w:rPr>
                <w:sz w:val="22"/>
                <w:szCs w:val="22"/>
              </w:rPr>
              <w:t>Personal muss geschult werden</w:t>
            </w:r>
          </w:p>
          <w:p>
            <w:pPr>
              <w:pStyle w:val="Listenabsatz"/>
              <w:numPr>
                <w:ilvl w:val="1"/>
                <w:numId w:val="30"/>
              </w:numPr>
              <w:rPr>
                <w:sz w:val="22"/>
                <w:szCs w:val="22"/>
              </w:rPr>
            </w:pPr>
            <w:r>
              <w:rPr>
                <w:sz w:val="22"/>
                <w:szCs w:val="22"/>
              </w:rPr>
              <w:t>Dichtsitz bei Atemschutz etc.</w:t>
            </w:r>
          </w:p>
          <w:p>
            <w:pPr>
              <w:pStyle w:val="Listenabsatz"/>
              <w:numPr>
                <w:ilvl w:val="0"/>
                <w:numId w:val="30"/>
              </w:numPr>
              <w:rPr>
                <w:sz w:val="22"/>
                <w:szCs w:val="22"/>
              </w:rPr>
            </w:pPr>
            <w:r>
              <w:rPr>
                <w:sz w:val="22"/>
                <w:szCs w:val="22"/>
              </w:rPr>
              <w:t>Anm.: der MNS sollte bei Klinikpersonal aber zwingend dicht anliegen und nicht angefasst/verschoben werden (unterschied zur Verwendung als Alltagsmaske in der breiten Bevölkerung, cave: Infektionsschutz vs. Arbeitsschutz)</w:t>
            </w:r>
          </w:p>
          <w:p>
            <w:pPr>
              <w:rPr>
                <w:sz w:val="22"/>
                <w:szCs w:val="22"/>
                <w:highlight w:val="yellow"/>
              </w:rPr>
            </w:pPr>
          </w:p>
          <w:p>
            <w:pPr>
              <w:rPr>
                <w:sz w:val="22"/>
                <w:szCs w:val="22"/>
              </w:rPr>
            </w:pPr>
            <w:r>
              <w:rPr>
                <w:sz w:val="22"/>
                <w:szCs w:val="22"/>
              </w:rPr>
              <w:t xml:space="preserve">Freitag: Telefonkonferenz mit BMG zur Versorgung von Covid-19-Patienten und Personalschutz: </w:t>
            </w:r>
          </w:p>
          <w:p>
            <w:pPr>
              <w:rPr>
                <w:sz w:val="22"/>
                <w:szCs w:val="22"/>
              </w:rPr>
            </w:pPr>
            <w:proofErr w:type="spellStart"/>
            <w:r>
              <w:rPr>
                <w:i/>
                <w:sz w:val="22"/>
                <w:szCs w:val="22"/>
              </w:rPr>
              <w:t>To</w:t>
            </w:r>
            <w:proofErr w:type="spellEnd"/>
            <w:r>
              <w:rPr>
                <w:i/>
                <w:sz w:val="22"/>
                <w:szCs w:val="22"/>
              </w:rPr>
              <w:t xml:space="preserve"> do: das betreffende Papier dazu sollte bis dato noch detaillierter begutachtet werden</w:t>
            </w:r>
            <w:r>
              <w:rPr>
                <w:sz w:val="22"/>
                <w:szCs w:val="22"/>
              </w:rPr>
              <w:t xml:space="preserve">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FG14 (Melanie Brunke)</w:t>
            </w: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453"/>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rPr>
            </w:pPr>
            <w:r>
              <w:rPr>
                <w:sz w:val="22"/>
              </w:rPr>
              <w:t xml:space="preserve">Einsatz mobiler Containment Scouts: </w:t>
            </w:r>
          </w:p>
          <w:p>
            <w:pPr>
              <w:pStyle w:val="Listenabsatz"/>
              <w:numPr>
                <w:ilvl w:val="0"/>
                <w:numId w:val="5"/>
              </w:numPr>
              <w:rPr>
                <w:sz w:val="22"/>
              </w:rPr>
            </w:pPr>
            <w:r>
              <w:rPr>
                <w:sz w:val="22"/>
              </w:rPr>
              <w:t xml:space="preserve">3 am RKI, 17 in Gesundheitsämtern </w:t>
            </w:r>
          </w:p>
          <w:p>
            <w:pPr>
              <w:pStyle w:val="Listenabsatz"/>
              <w:numPr>
                <w:ilvl w:val="0"/>
                <w:numId w:val="5"/>
              </w:numPr>
              <w:rPr>
                <w:sz w:val="22"/>
              </w:rPr>
            </w:pPr>
            <w:r>
              <w:rPr>
                <w:sz w:val="22"/>
              </w:rPr>
              <w:t xml:space="preserve">50 % mobil einsetzbar, 50 % vor Ort </w:t>
            </w:r>
          </w:p>
          <w:p>
            <w:pPr>
              <w:pStyle w:val="Listenabsatz"/>
              <w:numPr>
                <w:ilvl w:val="0"/>
                <w:numId w:val="5"/>
              </w:numPr>
              <w:rPr>
                <w:sz w:val="22"/>
              </w:rPr>
            </w:pPr>
            <w:r>
              <w:rPr>
                <w:sz w:val="22"/>
              </w:rPr>
              <w:t>Antrag für „Folge-Containment“: zukünftig sollen 10 Containment Scouts am RKI stationiert werden</w:t>
            </w:r>
          </w:p>
          <w:p>
            <w:pPr>
              <w:pStyle w:val="Listenabsatz"/>
              <w:numPr>
                <w:ilvl w:val="0"/>
                <w:numId w:val="5"/>
              </w:numPr>
              <w:rPr>
                <w:sz w:val="22"/>
              </w:rPr>
            </w:pPr>
            <w:r>
              <w:rPr>
                <w:sz w:val="22"/>
              </w:rPr>
              <w:t xml:space="preserve">sehr kurzfristige Mobilisierung derzeit problematisch, diese muss konzeptionell überarbeitet, bzw. die Priorität auf Einsatz / kurzfristige Mobilisierung gelegt werden </w:t>
            </w:r>
          </w:p>
          <w:p>
            <w:pPr>
              <w:pStyle w:val="Listenabsatz"/>
              <w:numPr>
                <w:ilvl w:val="0"/>
                <w:numId w:val="5"/>
              </w:numPr>
              <w:ind w:left="592" w:hanging="425"/>
              <w:rPr>
                <w:sz w:val="22"/>
              </w:rPr>
            </w:pPr>
            <w:r>
              <w:rPr>
                <w:sz w:val="22"/>
              </w:rPr>
              <w:t>Wiesbaden – Amtshilfeersuchen wahrscheinlich aufgrund aktuell hoher Fallzahlen bedingt durch einen Ausbruch auf einer Hochzeit, epidemiologische Expertise erbeten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roofErr w:type="spellStart"/>
            <w:r>
              <w:rPr>
                <w:sz w:val="22"/>
                <w:szCs w:val="22"/>
                <w:lang w:val="en-US"/>
              </w:rPr>
              <w:t>Nicht</w:t>
            </w:r>
            <w:proofErr w:type="spellEnd"/>
            <w:r>
              <w:rPr>
                <w:sz w:val="22"/>
                <w:szCs w:val="22"/>
                <w:lang w:val="en-US"/>
              </w:rPr>
              <w:t xml:space="preserve"> </w:t>
            </w:r>
            <w:proofErr w:type="spellStart"/>
            <w:r>
              <w:rPr>
                <w:sz w:val="22"/>
                <w:szCs w:val="22"/>
                <w:lang w:val="en-US"/>
              </w:rPr>
              <w:t>besprochen</w:t>
            </w:r>
            <w:proofErr w:type="spellEnd"/>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28.08.2020, 11:00 Uhr – 13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8"/>
      </w:rPr>
    </w:pPr>
    <w:r>
      <w:rPr>
        <w:color w:val="1F497D" w:themeColor="text2"/>
        <w:sz w:val="18"/>
      </w:rPr>
      <w:t xml:space="preserve">VS - NUR FÜR DEN DIENSTGEBRAUCH </w:t>
    </w:r>
    <w:r>
      <w:rPr>
        <w:color w:val="1F497D" w:themeColor="text2"/>
        <w:sz w:val="18"/>
      </w:rPr>
      <w:tab/>
    </w:r>
    <w:r>
      <w:rPr>
        <w:color w:val="1F497D" w:themeColor="text2"/>
        <w:sz w:val="18"/>
      </w:rPr>
      <w:tab/>
    </w:r>
    <w:r>
      <w:rPr>
        <w:noProof/>
        <w:color w:val="1F497D" w:themeColor="text2"/>
        <w:sz w:val="18"/>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BBD"/>
    <w:multiLevelType w:val="hybridMultilevel"/>
    <w:tmpl w:val="F33E2324"/>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02036660"/>
    <w:multiLevelType w:val="hybridMultilevel"/>
    <w:tmpl w:val="63F4E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85E64"/>
    <w:multiLevelType w:val="hybridMultilevel"/>
    <w:tmpl w:val="B4222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FBB192A"/>
    <w:multiLevelType w:val="hybridMultilevel"/>
    <w:tmpl w:val="4F2220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6E7154"/>
    <w:multiLevelType w:val="hybridMultilevel"/>
    <w:tmpl w:val="04D22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780C93"/>
    <w:multiLevelType w:val="hybridMultilevel"/>
    <w:tmpl w:val="B3382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2588297E">
      <w:numFmt w:val="bullet"/>
      <w:lvlText w:val=""/>
      <w:lvlJc w:val="left"/>
      <w:pPr>
        <w:ind w:left="3600" w:hanging="360"/>
      </w:pPr>
      <w:rPr>
        <w:rFonts w:ascii="Wingdings" w:eastAsiaTheme="minorHAnsi" w:hAnsi="Wingdings" w:cstheme="minorBidi" w:hint="default"/>
      </w:rPr>
    </w:lvl>
    <w:lvl w:ilvl="5" w:tplc="1DA4626E">
      <w:start w:val="6"/>
      <w:numFmt w:val="bullet"/>
      <w:lvlText w:val="-"/>
      <w:lvlJc w:val="left"/>
      <w:pPr>
        <w:ind w:left="4320" w:hanging="360"/>
      </w:pPr>
      <w:rPr>
        <w:rFonts w:ascii="Cambria" w:eastAsiaTheme="minorHAnsi" w:hAnsi="Cambria"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F250E18"/>
    <w:multiLevelType w:val="hybridMultilevel"/>
    <w:tmpl w:val="E8327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0C69CD"/>
    <w:multiLevelType w:val="hybridMultilevel"/>
    <w:tmpl w:val="6FE4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397807"/>
    <w:multiLevelType w:val="hybridMultilevel"/>
    <w:tmpl w:val="2086253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F520B8"/>
    <w:multiLevelType w:val="hybridMultilevel"/>
    <w:tmpl w:val="EAA8D680"/>
    <w:lvl w:ilvl="0" w:tplc="11AE99C0">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35048A0"/>
    <w:multiLevelType w:val="hybridMultilevel"/>
    <w:tmpl w:val="CA549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2F1D53"/>
    <w:multiLevelType w:val="hybridMultilevel"/>
    <w:tmpl w:val="135053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43AB4B65"/>
    <w:multiLevelType w:val="hybridMultilevel"/>
    <w:tmpl w:val="4FDC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8C5EC8"/>
    <w:multiLevelType w:val="hybridMultilevel"/>
    <w:tmpl w:val="B91CF44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5333CF3"/>
    <w:multiLevelType w:val="hybridMultilevel"/>
    <w:tmpl w:val="E2B4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58758C2"/>
    <w:multiLevelType w:val="hybridMultilevel"/>
    <w:tmpl w:val="FDD6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B896964"/>
    <w:multiLevelType w:val="hybridMultilevel"/>
    <w:tmpl w:val="C748BB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5E1E658C"/>
    <w:multiLevelType w:val="hybridMultilevel"/>
    <w:tmpl w:val="ED4E60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4453EF8"/>
    <w:multiLevelType w:val="hybridMultilevel"/>
    <w:tmpl w:val="3AC4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56A342F"/>
    <w:multiLevelType w:val="hybridMultilevel"/>
    <w:tmpl w:val="62B653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7B720FBD"/>
    <w:multiLevelType w:val="hybridMultilevel"/>
    <w:tmpl w:val="E20EC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8"/>
  </w:num>
  <w:num w:numId="4">
    <w:abstractNumId w:val="30"/>
  </w:num>
  <w:num w:numId="5">
    <w:abstractNumId w:val="14"/>
  </w:num>
  <w:num w:numId="6">
    <w:abstractNumId w:val="31"/>
  </w:num>
  <w:num w:numId="7">
    <w:abstractNumId w:val="40"/>
  </w:num>
  <w:num w:numId="8">
    <w:abstractNumId w:val="24"/>
  </w:num>
  <w:num w:numId="9">
    <w:abstractNumId w:val="10"/>
  </w:num>
  <w:num w:numId="10">
    <w:abstractNumId w:val="46"/>
  </w:num>
  <w:num w:numId="11">
    <w:abstractNumId w:val="39"/>
  </w:num>
  <w:num w:numId="12">
    <w:abstractNumId w:val="28"/>
  </w:num>
  <w:num w:numId="13">
    <w:abstractNumId w:val="23"/>
  </w:num>
  <w:num w:numId="14">
    <w:abstractNumId w:val="34"/>
  </w:num>
  <w:num w:numId="15">
    <w:abstractNumId w:val="29"/>
  </w:num>
  <w:num w:numId="16">
    <w:abstractNumId w:val="3"/>
  </w:num>
  <w:num w:numId="17">
    <w:abstractNumId w:val="22"/>
  </w:num>
  <w:num w:numId="18">
    <w:abstractNumId w:val="42"/>
  </w:num>
  <w:num w:numId="19">
    <w:abstractNumId w:val="20"/>
  </w:num>
  <w:num w:numId="20">
    <w:abstractNumId w:val="41"/>
  </w:num>
  <w:num w:numId="21">
    <w:abstractNumId w:val="13"/>
  </w:num>
  <w:num w:numId="22">
    <w:abstractNumId w:val="15"/>
  </w:num>
  <w:num w:numId="23">
    <w:abstractNumId w:val="5"/>
  </w:num>
  <w:num w:numId="24">
    <w:abstractNumId w:val="36"/>
  </w:num>
  <w:num w:numId="25">
    <w:abstractNumId w:val="26"/>
  </w:num>
  <w:num w:numId="26">
    <w:abstractNumId w:val="4"/>
  </w:num>
  <w:num w:numId="27">
    <w:abstractNumId w:val="37"/>
  </w:num>
  <w:num w:numId="28">
    <w:abstractNumId w:val="43"/>
  </w:num>
  <w:num w:numId="29">
    <w:abstractNumId w:val="16"/>
  </w:num>
  <w:num w:numId="30">
    <w:abstractNumId w:val="27"/>
  </w:num>
  <w:num w:numId="31">
    <w:abstractNumId w:val="19"/>
  </w:num>
  <w:num w:numId="32">
    <w:abstractNumId w:val="0"/>
  </w:num>
  <w:num w:numId="33">
    <w:abstractNumId w:val="7"/>
  </w:num>
  <w:num w:numId="34">
    <w:abstractNumId w:val="44"/>
  </w:num>
  <w:num w:numId="35">
    <w:abstractNumId w:val="33"/>
  </w:num>
  <w:num w:numId="36">
    <w:abstractNumId w:val="32"/>
  </w:num>
  <w:num w:numId="37">
    <w:abstractNumId w:val="25"/>
  </w:num>
  <w:num w:numId="38">
    <w:abstractNumId w:val="11"/>
  </w:num>
  <w:num w:numId="39">
    <w:abstractNumId w:val="35"/>
  </w:num>
  <w:num w:numId="40">
    <w:abstractNumId w:val="6"/>
  </w:num>
  <w:num w:numId="41">
    <w:abstractNumId w:val="2"/>
  </w:num>
  <w:num w:numId="42">
    <w:abstractNumId w:val="38"/>
  </w:num>
  <w:num w:numId="43">
    <w:abstractNumId w:val="12"/>
  </w:num>
  <w:num w:numId="44">
    <w:abstractNumId w:val="1"/>
  </w:num>
  <w:num w:numId="45">
    <w:abstractNumId w:val="18"/>
  </w:num>
  <w:num w:numId="46">
    <w:abstractNumId w:val="45"/>
  </w:num>
  <w:num w:numId="47">
    <w:abstractNumId w:val="17"/>
  </w:num>
  <w:num w:numId="48">
    <w:abstractNumId w:val="4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E9DAB6B9-EC78-4B5C-BDE1-957C235A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 w:type="paragraph" w:styleId="KeinLeerraum">
    <w:name w:val="No Spacing"/>
    <w:uiPriority w:val="1"/>
    <w:qFormat/>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83818169">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COVID-19_International_Lage_2020-08-25.pdf" TargetMode="External"/><Relationship Id="rId13" Type="http://schemas.openxmlformats.org/officeDocument/2006/relationships/hyperlink" Target="hochladen/RKI-Zwischenbericht-COVID-19_V2.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ochladen/Beschluss%20Covid-Testung%20und%20Quarant&#228;neregime.pd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ochladen/Conly%202020%20f&#252;r%20K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SARS-CoV-2%20in%20ARS_20200826_Krisenstabssitzung.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ochladen/20200825_Optionen%20zum%20Management%20von%20Kontaktpersonen%20unter%20medizinischem%20Personal%20in%20Arztpraxen%20und%20Krankenh&#228;usern%20bei%20Personalmangel.pdf" TargetMode="External"/><Relationship Id="rId23" Type="http://schemas.openxmlformats.org/officeDocument/2006/relationships/fontTable" Target="fontTable.xml"/><Relationship Id="rId10" Type="http://schemas.openxmlformats.org/officeDocument/2006/relationships/hyperlink" Target="hochladen/syndrom-ARE-SARI-COVID_bis_KW34_2020_f&#252;r-Krisenstab.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ochladen/Lage-National_2020-08-26_draft.pdf" TargetMode="External"/><Relationship Id="rId14" Type="http://schemas.openxmlformats.org/officeDocument/2006/relationships/hyperlink" Target="hochladen/KontaktpersonenManagement_2020-08-19_UB2_wh_KS_ub_jh_tE.pdf"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8AD12-C710-4701-A8B4-BE4CA13C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2600</Words>
  <Characters>16382</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39</cp:revision>
  <cp:lastPrinted>2020-05-06T16:43:00Z</cp:lastPrinted>
  <dcterms:created xsi:type="dcterms:W3CDTF">2020-08-05T11:14:00Z</dcterms:created>
  <dcterms:modified xsi:type="dcterms:W3CDTF">2021-05-06T13:46:00Z</dcterms:modified>
</cp:coreProperties>
</file>