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02.09.2020,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Viterokonferenz</w:t>
          </w:r>
          <w:proofErr w:type="spellEnd"/>
        </w:sdtContent>
      </w:sdt>
    </w:p>
    <w:p>
      <w:pPr>
        <w:rPr>
          <w:sz w:val="22"/>
        </w:rPr>
      </w:pPr>
      <w:r>
        <w:rPr>
          <w:b/>
          <w:sz w:val="22"/>
        </w:rPr>
        <w:t xml:space="preserve">Moderation: </w:t>
      </w:r>
      <w:r>
        <w:rPr>
          <w:sz w:val="22"/>
        </w:rPr>
        <w:t>Lars Schaade (</w:t>
      </w:r>
      <w:proofErr w:type="spellStart"/>
      <w:r>
        <w:rPr>
          <w:sz w:val="22"/>
        </w:rPr>
        <w:t>VPräs</w:t>
      </w:r>
      <w:proofErr w:type="spellEnd"/>
      <w:r>
        <w:rPr>
          <w:sz w:val="22"/>
        </w:rPr>
        <w:t>)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spacing w:after="0"/>
        <w:rPr>
          <w:sz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3"/>
        </w:numPr>
        <w:spacing w:after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24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4"/>
        </w:numPr>
        <w:spacing w:after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an der Heiden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Susanne Glasmacher 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Mirjam Jenny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Heidrun </w:t>
      </w:r>
      <w:proofErr w:type="spellStart"/>
      <w:r>
        <w:rPr>
          <w:sz w:val="22"/>
        </w:rPr>
        <w:t>Thaiss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Sandra Beermann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 (INIG)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Eugenia </w:t>
      </w:r>
      <w:proofErr w:type="spellStart"/>
      <w:r>
        <w:rPr>
          <w:sz w:val="22"/>
        </w:rPr>
        <w:t>Romo</w:t>
      </w:r>
      <w:proofErr w:type="spellEnd"/>
      <w:r>
        <w:rPr>
          <w:sz w:val="22"/>
        </w:rPr>
        <w:t xml:space="preserve"> Ventura</w:t>
      </w:r>
    </w:p>
    <w:p>
      <w:pPr>
        <w:pStyle w:val="Listenabsatz"/>
        <w:numPr>
          <w:ilvl w:val="0"/>
          <w:numId w:val="2"/>
        </w:numPr>
        <w:spacing w:after="0"/>
        <w:ind w:left="714" w:hanging="357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Eva Krause </w:t>
      </w:r>
    </w:p>
    <w:p>
      <w:pPr>
        <w:pStyle w:val="Listenabsatz"/>
        <w:numPr>
          <w:ilvl w:val="0"/>
          <w:numId w:val="2"/>
        </w:numPr>
        <w:spacing w:after="0"/>
        <w:rPr>
          <w:sz w:val="22"/>
        </w:rPr>
      </w:pPr>
      <w:r>
        <w:rPr>
          <w:sz w:val="22"/>
        </w:rPr>
        <w:lastRenderedPageBreak/>
        <w:t>MF3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Nancy Erickson (Protokoll)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sz w:val="22"/>
                <w:highlight w:val="yellow"/>
              </w:rPr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25.509.135 Fälle gemeldet (Stand: 01.09.2020), davon 3,3 % Verstorbene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Fälle in den letzten 7 Tagen: Indien, vereinigte Staaten, Brasilien, Argentinien, Kolumbien, Spanien, Peru, Frankreich, Mexiko, Russ. Föderation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Länder/Territorien mit einer 7-Tages-Inzidenz &gt; 50 Fälle /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.: neu: Französisch Polynesien, Belize, Brit. Jungferninseln, Honduras, Montenegro, San Marino, Monaco; nicht mehr gelistet: Kosovo, Färöer Inseln, Luxemburg 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Zusammenfassung der Europäischen Subregionen: Subregionen in der EU/EEA/UK-Region plus Albanien, Bosnien und Herzegowina, Kosovo, Montenegro,  </w:t>
            </w:r>
            <w:proofErr w:type="spellStart"/>
            <w:r>
              <w:rPr>
                <w:sz w:val="22"/>
                <w:szCs w:val="22"/>
              </w:rPr>
              <w:t>Nordmazedonien</w:t>
            </w:r>
            <w:proofErr w:type="spellEnd"/>
            <w:r>
              <w:rPr>
                <w:sz w:val="22"/>
                <w:szCs w:val="22"/>
              </w:rPr>
              <w:t xml:space="preserve">, Schweiz , Serbien mit einer 7- Tages-Inzidenz  &gt;50 pro 100.000 EW; Länder: Albanien (1), Andorra, Belgien (1), Bosnien und Herzegowina (6), Frankreich (3), Kosovo, Kroatien (7), Montenegro, </w:t>
            </w:r>
            <w:proofErr w:type="spellStart"/>
            <w:r>
              <w:rPr>
                <w:sz w:val="22"/>
                <w:szCs w:val="22"/>
              </w:rPr>
              <w:t>Nordmazedonien</w:t>
            </w:r>
            <w:proofErr w:type="spellEnd"/>
            <w:r>
              <w:rPr>
                <w:sz w:val="22"/>
                <w:szCs w:val="22"/>
              </w:rPr>
              <w:t xml:space="preserve"> (2), Rumänien (11), Schweiz (2), Spanien (18), Tschechische Republik(1), Vereinigtes Königreich (1)  (Datenstand 01.09.2020)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1.256 neue Fälle und +11 Verstorbene im Vergleich zum Vortag; insgesamt ist der Anteil Verstorbener rückläufig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R-Wert und 7-Tage-R unter 1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ITS im Vergleich zu den Vorwochen weiterhin um die 250 Fälle (aktuell 235)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nach Meldedatum Bundesländer: </w:t>
            </w:r>
            <w:proofErr w:type="spellStart"/>
            <w:r>
              <w:rPr>
                <w:sz w:val="22"/>
                <w:szCs w:val="22"/>
              </w:rPr>
              <w:t>seit</w:t>
            </w:r>
            <w:proofErr w:type="spellEnd"/>
            <w:r>
              <w:rPr>
                <w:sz w:val="22"/>
                <w:szCs w:val="22"/>
              </w:rPr>
              <w:t xml:space="preserve"> in etwa dem 22.08.2020 zeichnet sich eine gewissen Umkehr ab – leichte Rückläufigkeit in nahezu allen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Geografische Verteilung in Deutschland: 7-Tage-Inzidenz: kein LK mit 7-Tages-Inzidenz  &gt;50-100 Fälle/100.000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.; 12 LK mit 7-Tages-Inzidenz  &gt;25-50 Fälle/100.000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 (davon ausschl. LK Trier-Saarburg &gt; 40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und 4 weitere LK &gt; 30 Fälle/100.000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.)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Wochenvergleich KW 34 und KW45: in mehr als 50 % der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rückläufige Inzidenz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Altersgruppen an Hospitalisierten: rote Linie = Gesamtzahl; Höchststand in KW 14, dann rückläufig und ab ca. KW 22 in etwa konstant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Hospitalisierter je Altersgruppe an COVID-19 Fällen: rückläufiger Trend KW34/35 aufgrund des Zeitverzuges der Diagnosestellung mit Vorsicht zu interpretieren, insgesamt </w:t>
            </w:r>
            <w:r>
              <w:rPr>
                <w:sz w:val="22"/>
                <w:szCs w:val="22"/>
              </w:rPr>
              <w:lastRenderedPageBreak/>
              <w:t xml:space="preserve">recht konstant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der Altersgruppen der Verstorbenen über die Zeit (nach Meldewoche): insgesamt größter Anteil bei der Altersgruppe der über 80-Jährigen, jedoch gewisse Veränderung des Anteils jüngerer Altersgruppen über die Zeit zu verzeichnen 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Verstorbener je Altersgruppe an COVID-19 Fällen: Anteil der Altersgruppe der über 80-Jährigen von 35 % auf derzeit unter 10 % zurückgegangen, ähnlicher Trend bei der Altersgruppe der 60- bis 79-Jähigen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Deutlicher Hinweis, dass sich der Anteil an Verstorbenen über die Zeit verändert hat, Rückläufigkeit sehr interessant: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Vermehrte Testung nicht ursächlich, da in dieser Altersgruppe im Vergleich nicht zunehmend getestet wird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Dezidierte Aufschlüsselung hinsichtlich Altersgruppen nötig, auch hinsichtlich möglicher Ursache dieser Abnahme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Hierbei ggf. relevante Parameter: Meldedaten, Positivraten, </w:t>
            </w: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Daten, Anzahl der Tests, absolute Fallzahlen, </w:t>
            </w:r>
            <w:proofErr w:type="spellStart"/>
            <w:r>
              <w:rPr>
                <w:sz w:val="22"/>
                <w:szCs w:val="22"/>
              </w:rPr>
              <w:t>therapeut</w:t>
            </w:r>
            <w:proofErr w:type="spellEnd"/>
            <w:r>
              <w:rPr>
                <w:sz w:val="22"/>
                <w:szCs w:val="22"/>
              </w:rPr>
              <w:t xml:space="preserve">. Regime, klinische Verläufe und </w:t>
            </w:r>
            <w:proofErr w:type="spellStart"/>
            <w:r>
              <w:rPr>
                <w:sz w:val="22"/>
                <w:szCs w:val="22"/>
              </w:rPr>
              <w:t>outcome</w:t>
            </w:r>
            <w:proofErr w:type="spellEnd"/>
            <w:r>
              <w:rPr>
                <w:sz w:val="22"/>
                <w:szCs w:val="22"/>
              </w:rPr>
              <w:t xml:space="preserve">, Setting, Hospitalisierung j/n, </w:t>
            </w:r>
            <w:proofErr w:type="spellStart"/>
            <w:r>
              <w:rPr>
                <w:sz w:val="22"/>
                <w:szCs w:val="22"/>
              </w:rPr>
              <w:t>Geburtscohorten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Dezidierte Aufschlüsselung auch hinsichtlich Kommunikation hochrelevant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Analyse hinsichtl. Stratifizierung der Anzahl der Verstobenen im Ländervergleich von Interesse, ebenso der jeweilige Anteil der Verstorbenen nach Altersgruppe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Gesamtbetrachtung nötig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um Schärfung der Fragestellung und dementsprechende, gezielte Auswertung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von COVID-19 in Abhängigkeit vom Ende der Ferien (Folie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Hochrelevant und höchstwahrscheinlich Gegenstand zukünftiger Kommunikation/Diskussion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Folie „Ferienende/Schulstart“ </w:t>
            </w:r>
            <w:proofErr w:type="spellStart"/>
            <w:r>
              <w:rPr>
                <w:sz w:val="22"/>
                <w:szCs w:val="22"/>
              </w:rPr>
              <w:t>kommunikatorisch</w:t>
            </w:r>
            <w:proofErr w:type="spellEnd"/>
            <w:r>
              <w:rPr>
                <w:sz w:val="22"/>
                <w:szCs w:val="22"/>
              </w:rPr>
              <w:t xml:space="preserve"> möglichst neutral fassen: „wird weiter beobachtet“ bzw. hinsichtlich Reiserückkehrer: „diese haben im Zusammenhang mit dem Reiseende zu keinem wesentlichen Anstieg  der Inzidenz in Bevölkerung zu diesem Zeitpunkt beigetragen“ 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Cave: sehr vorsichtige und zurückhaltende Interpretation nötig, bestenfalls ausschließlich hinsichtlich der Reiserückkehrer formulieren, zumal zeitlicher Verzug der Meldedaten wahrscheinlich</w:t>
            </w:r>
          </w:p>
          <w:p>
            <w:pPr>
              <w:pStyle w:val="Listenabsatz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Wäre auch für das BMG in abgerundeter Narrative von Interesse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Einbettung in den Lagebericht gewünscht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Laborbasierte Surveillance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pro 100.00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. nach Altersgruppe und KW: Mutmaßlich sinkende Mortalität innerhalb der Altersgruppe der über 80-Jährigen (s.o.) muss an anderem Setting liegen, da Anzahl an Testungen seit mehreren Wochen nahezu konstant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Ursache sollte, auch im internationalen Vergleich, eruiert werden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Mittlere Altersgruppen insgesamt Zunahme an Tests, ebenfalls an Anzahl der positiven und negativen Testungen pro Tag – bundesweit sichtbar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Pers. mit positiver SARS-CoV-2-PCR-Testung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. nach Altersgruppe und KW: alle Altersgruppen rel. ähnlich, Altersgruppe der 15- bis 14-Jährigen um 34. KW erhöht und nachfolgender Abnahme (ggf. durch Reisetätigkeit - hierzu Abgleich mit anderen Datensätzen nötig) 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Testverzug: relativ stabil, Zunahme der Vorwoche wird sich höchstwahrscheinlich aufgrund der Datenübermittlungszeit nivellieren 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Cave: die verschiedenen Eingriffe von Entscheidungsträgern auf die Auswahl der zu testenden Personenkreise erschwert die Interpretation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Herrn Eckmanns um Bereitstellung einer Datentabelle zu Positivraten nach Altersgruppe für die AG Diagnostik zur Justierung von Teststrategien.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ind w:left="1440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Surveillance 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Grippeweb: bevölkerungsbasierte ARE-Raten ansteigend bis 35. KW (noch im Rahmen der Vorjahres vergleichbar, bei Kindern jedoch auffällig);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Arbeitsgemeinschaft Influenza - ARE-Konsultationen, bis zur 35. KW: von KW 13/14 bis KW 23 „Allzeittief“, Anstieg bis zur KW 29, konsekutive Ab- und derzeit erneute Zunahme;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Konsultationsinzidenz nach Altersgruppe und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Bayern, BaWü: niedrige ARE-Raten 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Berlin/BB: starker Anstieg in Vorwoche, derzeit wieder absteigend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NRW: Anstieg unabhängig der Ferien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ICOSARI-KH-Surveillance – SARI-Fälle: 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Covid19 spielt für Aktivität als Einzelerreger in der Bevölkerung keine Rolle (hier bei ca. 1 %; unter den SARI-Fällen (=hospitalisiert) konstant unter 3 %) 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Nutzung als sensitives Instrument der zeitnahen Erfassung, wann Covid19 hier eine entscheidende Rolle spielt, möglich? 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Faktoren: </w:t>
            </w:r>
          </w:p>
          <w:p>
            <w:pPr>
              <w:pStyle w:val="Listenabsatz"/>
              <w:numPr>
                <w:ilvl w:val="2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Syndromisch</w:t>
            </w:r>
            <w:proofErr w:type="spellEnd"/>
            <w:r>
              <w:rPr>
                <w:sz w:val="22"/>
                <w:szCs w:val="22"/>
              </w:rPr>
              <w:t xml:space="preserve"> meldende Praxen (Zunahme ihrer Anzahl = Abnahme der Unsicherheit, die mit der Berechnung der Konsultationsinzidenz einhergeht) </w:t>
            </w:r>
          </w:p>
          <w:p>
            <w:pPr>
              <w:pStyle w:val="Listenabsatz"/>
              <w:numPr>
                <w:ilvl w:val="2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Virologische Surveillance (derzeit ca. 100 Praxen, </w:t>
            </w:r>
            <w:proofErr w:type="spellStart"/>
            <w:r>
              <w:rPr>
                <w:sz w:val="22"/>
                <w:szCs w:val="22"/>
              </w:rPr>
              <w:t>Stichprobennahme</w:t>
            </w:r>
            <w:proofErr w:type="spellEnd"/>
            <w:r>
              <w:rPr>
                <w:sz w:val="22"/>
                <w:szCs w:val="22"/>
              </w:rPr>
              <w:t xml:space="preserve"> muss </w:t>
            </w:r>
            <w:r>
              <w:rPr>
                <w:sz w:val="22"/>
                <w:szCs w:val="22"/>
              </w:rPr>
              <w:lastRenderedPageBreak/>
              <w:t xml:space="preserve">geographisch, technisch und der Fachrichtung der Praxen entsprechend repräsentativ korrekt gewählt werden)  </w:t>
            </w:r>
          </w:p>
          <w:p>
            <w:pPr>
              <w:pStyle w:val="Listenabsatz"/>
              <w:numPr>
                <w:ilvl w:val="2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Sentinelvorgehen</w:t>
            </w:r>
            <w:proofErr w:type="spellEnd"/>
            <w:r>
              <w:rPr>
                <w:sz w:val="22"/>
                <w:szCs w:val="22"/>
              </w:rPr>
              <w:t xml:space="preserve"> gern ausweitbar, BMG hat Unterstützung bereits zugesagt, ITZ Bund Priorisierung derzeit zur Klärung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Falldefinitionen und Testzahlen, Anfrage von Prof. Krüger (u.a. Wiss. Beirat PEI) (Kommunikation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Derzeitige Ausdrucksweise in Kommunikation mit der Öffentlichkeit scheinbar missverständlich bis zu abstrakt 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Kernaspekte des derzeitigen öffentlichen Interesses: 1. Sind die erhöhten Fallzahlen durch vermehrte Tests bedingt? (Erläuterung Testzahlen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2. Sinkt die Todesrate </w:t>
            </w:r>
            <w:proofErr w:type="gramStart"/>
            <w:r>
              <w:rPr>
                <w:sz w:val="22"/>
                <w:szCs w:val="22"/>
              </w:rPr>
              <w:t>pro gemeldeter Fälle</w:t>
            </w:r>
            <w:proofErr w:type="gramEnd"/>
            <w:r>
              <w:rPr>
                <w:sz w:val="22"/>
                <w:szCs w:val="22"/>
              </w:rPr>
              <w:t>? (FAQ dazu von Presse geplant)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Einfache Botschaft an prominenter Stelle nötig 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Lagebericht kann technisch bleiben, aber Trendwenden oder Kernpunkte des öffentlichen/pressetechnischen Interesses sollten im Lagebericht auf der zweiten Seite („Allgemeine Situation“) in verständlicher und ausführlicher Weise angeführt und als vereinfachte Sprachregelung auf der Website  veröffentlicht werden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To do: Mirjam Jenny (P1) und Abt. 3 (jew. </w:t>
            </w:r>
            <w:r>
              <w:rPr>
                <w:i/>
                <w:sz w:val="22"/>
                <w:szCs w:val="22"/>
              </w:rPr>
              <w:t>Lageberichtsautor*innen) schließen sich dazu kurz, Implementierung erst ab nächster Woche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Begrifflichkeit und Falldefinition „Covid-19 Erkrankung </w:t>
            </w:r>
            <w:r>
              <w:rPr>
                <w:i/>
                <w:sz w:val="22"/>
                <w:szCs w:val="22"/>
              </w:rPr>
              <w:t>versus</w:t>
            </w:r>
            <w:r>
              <w:rPr>
                <w:sz w:val="22"/>
                <w:szCs w:val="22"/>
              </w:rPr>
              <w:t xml:space="preserve"> Infektion“ – klare begriffliche Trennung hinsichtlich Allgemeinverständlichkeit nötig, Falldefinition gibt Anlass zum Missverständnis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Cave: Falldefinition selbst sollte ggf. nicht geändert werden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Als  TOP einer der nächsten Sitzungen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diese Woche am Mittwoch)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Anbindung der CoronaWarnApp an die Labore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Problematik mit QR Code: Nutzer installiert </w:t>
            </w:r>
            <w:proofErr w:type="spellStart"/>
            <w:r>
              <w:rPr>
                <w:sz w:val="22"/>
                <w:szCs w:val="22"/>
              </w:rPr>
              <w:t>Warnapp</w:t>
            </w:r>
            <w:proofErr w:type="spellEnd"/>
            <w:r>
              <w:rPr>
                <w:sz w:val="22"/>
                <w:szCs w:val="22"/>
              </w:rPr>
              <w:t>, kann positives Testergebnis eingeben, wird durch QR Code oder Verifikationshotline via Tele-TAN verifiziert, dann entscheidet Nutzer aktiv, ob Ergebnis an Personen innerhalb der Risiko-Definition mitgeteilt werden darf (im Sinne der Mitteilung „Risikobegegnung erfolgt“)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Risikoermittlung: niedrig (keine Begegnung), niedrig mit Risikobegegnung (die aber nicht als erhöhtes Risiko eingeschätzt wird -  Abstand zu groß oder zeitlich zu kurz), hoch (längerer Kontakt, kurze Distanz; nur hier Textempfehlung zum weiteren Vorgehen)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Laboranbindung: Muster geht ans Labor, QR Code zum Nutzer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Labor gibt nicht-personenbezogene Daten auf Server ein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Abgleich mit App (wenn Lab nicht angeschlossen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App-Nutzer </w:t>
            </w:r>
            <w:r>
              <w:rPr>
                <w:sz w:val="22"/>
                <w:szCs w:val="22"/>
              </w:rPr>
              <w:lastRenderedPageBreak/>
              <w:t>muss via Hotline Tele-TAN erbitten); Arzt muss vor Probe-</w:t>
            </w:r>
            <w:proofErr w:type="spellStart"/>
            <w:r>
              <w:rPr>
                <w:sz w:val="22"/>
                <w:szCs w:val="22"/>
              </w:rPr>
              <w:t>nahme</w:t>
            </w:r>
            <w:proofErr w:type="spellEnd"/>
            <w:r>
              <w:rPr>
                <w:sz w:val="22"/>
                <w:szCs w:val="22"/>
              </w:rPr>
              <w:t xml:space="preserve"> Einverständnis von Patienten zur </w:t>
            </w:r>
            <w:proofErr w:type="spellStart"/>
            <w:r>
              <w:rPr>
                <w:sz w:val="22"/>
                <w:szCs w:val="22"/>
              </w:rPr>
              <w:t>elektron</w:t>
            </w:r>
            <w:proofErr w:type="spellEnd"/>
            <w:r>
              <w:rPr>
                <w:sz w:val="22"/>
                <w:szCs w:val="22"/>
              </w:rPr>
              <w:t xml:space="preserve">. Übermittlung über </w:t>
            </w:r>
            <w:proofErr w:type="spellStart"/>
            <w:r>
              <w:rPr>
                <w:sz w:val="22"/>
                <w:szCs w:val="22"/>
              </w:rPr>
              <w:t>WarnApp</w:t>
            </w:r>
            <w:proofErr w:type="spellEnd"/>
            <w:r>
              <w:rPr>
                <w:sz w:val="22"/>
                <w:szCs w:val="22"/>
              </w:rPr>
              <w:t xml:space="preserve"> einholen;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Problematiken: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Angeschlossene Labore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Priorisierung auf niedergelassene Labore; Krankenhäuser und Unikliniken noch kaum angeschlossen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 Labore für SARS-CoV-2-Testungen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Labore sind technisch angeschlossen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70 % der Testkapazitäten in D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 Labore E2E (end 2 end), </w:t>
            </w:r>
            <w:proofErr w:type="spellStart"/>
            <w:r>
              <w:rPr>
                <w:sz w:val="22"/>
                <w:szCs w:val="22"/>
              </w:rPr>
              <w:t>Eurofins</w:t>
            </w:r>
            <w:proofErr w:type="spellEnd"/>
            <w:r>
              <w:rPr>
                <w:sz w:val="22"/>
                <w:szCs w:val="22"/>
              </w:rPr>
              <w:t xml:space="preserve"> ist nicht angeschlossen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Häufigste Fehlerquellen: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Labore sind nicht an CWA angebunden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Verwechslung mit anderen Labor-Apps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 der CWA-Funktion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Verifikation positiver Ergebnisse vs. personalisierte Befundmitteilung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Häufigste Fehlerquellen Muster 10C, Muster ÖGD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Dokument wurde kopiert und für mehrere Nutzer verwendet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individuelle Abschnitt wird den Nutzern nicht ausgehändigt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Einverständniserklärung fehlt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Kontaktdaten nicht leserlich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QR-Code wurde in sehr schlechter Qualität gedruckt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Verwechslungsgefahr: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QR-Code kann auch von anderen Apps genutzt werden, die mit anderen Laboren verbunden sind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Eigene Laborcodes werden ausgegeben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Häufigste Nutzungsfehler: QR-Code wird vorzeitig gelöscht oder mehrfach eingescannt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Lösungsansätze: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 über Veröffentlichung einer Liste mit allen an die CWA angeschlossenen Laboren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 in der App werden überarbeitet (z.B. Fehlerhinweise, Anleitung für QR-Codes)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an Teststellen und Hausärzte zum richtigen Umgang mit Muster 10C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Einbeziehung und Sensibilisierung der GÄ durch die AG Infektionsschutz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und RKI haben eine Liste mit Kontaktadressen für Teststellen an Grenzübergängen und Flughäfen erstellt, um Rückfragen aus der Bevölkerung besser beantworten zu können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Priorisierung der Laboranbindung bei Grenzübergangen und Flughäfen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Beermann/ Schmich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Deeskalierendes Wording im Lagebericht angepasst an die aktuelle Situation – und daran angeschlossen angepasst an die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 Fallzahlen derzeit stabil soll </w:t>
            </w:r>
            <w:proofErr w:type="spellStart"/>
            <w:r>
              <w:rPr>
                <w:sz w:val="22"/>
                <w:szCs w:val="22"/>
              </w:rPr>
              <w:t>wording</w:t>
            </w:r>
            <w:proofErr w:type="spellEnd"/>
            <w:r>
              <w:rPr>
                <w:sz w:val="22"/>
                <w:szCs w:val="22"/>
              </w:rPr>
              <w:t xml:space="preserve"> entsprechend angepasst werden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Vorschlag dazu soll im Anschluss im Krisenstab-Verteiler verschickt werden (Vorschlag hier: „muss weiter intensiv beobachtet werden“)</w:t>
            </w:r>
          </w:p>
          <w:p>
            <w:pPr>
              <w:ind w:left="11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Bundesgesundheitsblatt: Themenheft "Erkennen, bewerten, handeln – die Reaktion des ÖGD auf COVID-19"</w:t>
            </w:r>
          </w:p>
          <w:p>
            <w:pPr>
              <w:pStyle w:val="Listenabsatz"/>
              <w:numPr>
                <w:ilvl w:val="0"/>
                <w:numId w:val="1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 eingestellt und downloadbar: grafische Aufbereitung „Einreisen aus Risikogebiet </w:t>
            </w:r>
            <w:r>
              <w:rPr>
                <w:i/>
                <w:sz w:val="22"/>
                <w:szCs w:val="22"/>
              </w:rPr>
              <w:t>versus</w:t>
            </w:r>
            <w:r>
              <w:rPr>
                <w:sz w:val="22"/>
                <w:szCs w:val="22"/>
              </w:rPr>
              <w:t xml:space="preserve"> aus Nicht-Risikogebiet“ (Anpassung am 15.09./ 01.10. nötig) </w:t>
            </w:r>
          </w:p>
          <w:p>
            <w:pPr>
              <w:pStyle w:val="Listenabsatz"/>
              <w:numPr>
                <w:ilvl w:val="0"/>
                <w:numId w:val="1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terminologischer Unschärfe - Vorschlag: an entsprechenden Stellen aufeinander verlinken</w:t>
            </w:r>
          </w:p>
          <w:p>
            <w:pPr>
              <w:pStyle w:val="Listenabsatz"/>
              <w:numPr>
                <w:ilvl w:val="0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Rückmeldung aus Telefonberatung: große Verunsicherung zum Umgang mit </w:t>
            </w:r>
            <w:proofErr w:type="spellStart"/>
            <w:r>
              <w:rPr>
                <w:sz w:val="22"/>
                <w:szCs w:val="22"/>
              </w:rPr>
              <w:t>Infektanzeichen</w:t>
            </w:r>
            <w:proofErr w:type="spellEnd"/>
            <w:r>
              <w:rPr>
                <w:sz w:val="22"/>
                <w:szCs w:val="22"/>
              </w:rPr>
              <w:t xml:space="preserve"> (Erkältungssymptome)</w:t>
            </w:r>
          </w:p>
          <w:p>
            <w:pPr>
              <w:pStyle w:val="Listenabsatz"/>
              <w:numPr>
                <w:ilvl w:val="0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Fieber als Einschätzungsparameter: wird in Schulen sehr unterschiedlich gehandhabt (Temperaturprotokoll, Risiko der Falschpositivität), Papier und Links werden an </w:t>
            </w:r>
            <w:proofErr w:type="spellStart"/>
            <w:r>
              <w:rPr>
                <w:sz w:val="22"/>
                <w:szCs w:val="22"/>
              </w:rPr>
              <w:t>LageAG</w:t>
            </w:r>
            <w:proofErr w:type="spellEnd"/>
            <w:r>
              <w:rPr>
                <w:sz w:val="22"/>
                <w:szCs w:val="22"/>
              </w:rPr>
              <w:t xml:space="preserve"> gesendet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Englischsprachige Website zu COVID-19 im Aufbau  </w:t>
            </w:r>
          </w:p>
          <w:p>
            <w:pPr>
              <w:pStyle w:val="Listenabsatz"/>
              <w:numPr>
                <w:ilvl w:val="0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Begrifflichkeiten „Isolierung“ (von Erkrankten) versus „Quarantäne“ (von Kontaktpersonen) werden weiterhin vermischt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Presse um ersten Aufschlag hinsichtlich einer Erklärung Isolierung versus Quarantäne 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Antigen-Test als Vortest: prinzipiell denkbar in Abhängigkeit des Testmaterials, der Verwendung (als Screening?), Warnung vor Empfehlung von Tests unklarer Spezifität, bleibt zur Diskussion</w:t>
            </w:r>
          </w:p>
          <w:p>
            <w:pPr>
              <w:pStyle w:val="Listenabsatz"/>
              <w:numPr>
                <w:ilvl w:val="1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und Montag Telefonkonferenzen mit BMG und BfArM geplant</w:t>
            </w:r>
          </w:p>
          <w:p>
            <w:pPr>
              <w:pStyle w:val="Listenabsatz"/>
              <w:numPr>
                <w:ilvl w:val="1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Klares Signal von Länderseite zur differenzierten Umsetzung nötig aufgrund der unterschiedlichen Bedürfnisse der Praxen (Pädiatrie weitaus höhere Anzahl potentiell infektiöser Patienten als Internisten bspw.)</w:t>
            </w:r>
          </w:p>
          <w:p>
            <w:pPr>
              <w:pStyle w:val="Listenabsatz"/>
              <w:numPr>
                <w:ilvl w:val="1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Ggf. Zusammenarbeit mit KBV/KV hinsichtlich gemeinsamer Lösung / Empfehlung denkbar?</w:t>
            </w:r>
          </w:p>
          <w:p>
            <w:pPr>
              <w:pStyle w:val="Listenabsatz"/>
              <w:numPr>
                <w:ilvl w:val="1"/>
                <w:numId w:val="1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Wird bei Tagung der beim BMG diesbezüglich </w:t>
            </w:r>
            <w:r>
              <w:rPr>
                <w:sz w:val="22"/>
                <w:szCs w:val="22"/>
              </w:rPr>
              <w:lastRenderedPageBreak/>
              <w:t>angesiedelten AG am Donnerstag thematisiert</w:t>
            </w:r>
          </w:p>
          <w:p>
            <w:pPr>
              <w:pStyle w:val="Listenabsatz"/>
              <w:numPr>
                <w:ilvl w:val="0"/>
                <w:numId w:val="1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Bundesgesundheitsblatt - Konzept wurde weitgehend zugestimmt</w:t>
            </w:r>
          </w:p>
          <w:p>
            <w:pPr>
              <w:pStyle w:val="Listenabsatz"/>
              <w:numPr>
                <w:ilvl w:val="0"/>
                <w:numId w:val="1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Vorschläge zu Verbesserungen wurden eingereicht </w:t>
            </w:r>
          </w:p>
          <w:p>
            <w:pPr>
              <w:pStyle w:val="Listenabsatz"/>
              <w:numPr>
                <w:ilvl w:val="0"/>
                <w:numId w:val="17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Artikel zu Schulen oder zu Deutschland im internationalen Vergleich mit Einreichungs-Deadline 01.10. sehr willkommen </w:t>
            </w:r>
          </w:p>
          <w:p>
            <w:pPr>
              <w:pStyle w:val="Listenabsatz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Bremer/ Schaade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6"/>
              </w:numPr>
            </w:pPr>
            <w:r>
              <w:t>Nicht besprochen</w:t>
            </w:r>
          </w:p>
          <w:p>
            <w:pPr>
              <w:pStyle w:val="Listenabsatz"/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BMG-Liaison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Strategie Fragen</w:t>
            </w:r>
          </w:p>
          <w:p>
            <w:p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 zur Verkürzung der Quarantänezeit: 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Bereits thematisiert in EU Ministerkonferenz und ECDC 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Ohne Test Quarantänezeit nicht </w:t>
            </w:r>
            <w:proofErr w:type="spellStart"/>
            <w:r>
              <w:rPr>
                <w:sz w:val="22"/>
                <w:szCs w:val="22"/>
              </w:rPr>
              <w:t>verkürzbar</w:t>
            </w:r>
            <w:proofErr w:type="spellEnd"/>
            <w:r>
              <w:rPr>
                <w:sz w:val="22"/>
                <w:szCs w:val="22"/>
              </w:rPr>
              <w:t xml:space="preserve">, im Rahmen von </w:t>
            </w:r>
            <w:proofErr w:type="spellStart"/>
            <w:r>
              <w:rPr>
                <w:sz w:val="22"/>
                <w:szCs w:val="22"/>
              </w:rPr>
              <w:t>Contacttracing</w:t>
            </w:r>
            <w:proofErr w:type="spellEnd"/>
            <w:r>
              <w:rPr>
                <w:sz w:val="22"/>
                <w:szCs w:val="22"/>
              </w:rPr>
              <w:t xml:space="preserve"> ggf. auf 10 Tage </w:t>
            </w:r>
            <w:proofErr w:type="spellStart"/>
            <w:r>
              <w:rPr>
                <w:sz w:val="22"/>
                <w:szCs w:val="22"/>
              </w:rPr>
              <w:t>verkürzbar</w:t>
            </w:r>
            <w:proofErr w:type="spellEnd"/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Bericht auf Basis der Arbeit von Herrn von Kleist und Kolleg*innen wird dazu verfasst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Cave: Compliance sollte berücksichtigt werden 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Erlass muss noch bearbeitet werden 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 wird vertagt 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Strategiepapier „COVID-19: Die Pandemie in Deutschland in den nächsten Monaten“ (Dokument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im Krisenstab vormittags in aktueller Version (in Positionierung erneut angepasst) verbreitet 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 Vorlage bei Herrn Wieler am Montag</w:t>
            </w:r>
          </w:p>
          <w:p>
            <w:pPr>
              <w:pStyle w:val="Listenabsatz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Ggf. bei Bedarf Diskussion der Zielstellung am Freitag (ggf. inkl. </w:t>
            </w:r>
            <w:proofErr w:type="spellStart"/>
            <w:r>
              <w:rPr>
                <w:sz w:val="22"/>
                <w:szCs w:val="22"/>
              </w:rPr>
              <w:t>ppt</w:t>
            </w:r>
            <w:proofErr w:type="spellEnd"/>
            <w:r>
              <w:rPr>
                <w:sz w:val="22"/>
                <w:szCs w:val="22"/>
              </w:rPr>
              <w:t xml:space="preserve"> in Abhängigkeit des Umfanges der Änderungs-vorschläge)  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von Frau Hanefeld an den Krisenstab um Durchsicht hinsichtlich der jeweiligen Expertise und Signal bis Donnerstag hinsichtlich zu überarbeitender Punkte</w:t>
            </w:r>
          </w:p>
          <w:p>
            <w:pPr>
              <w:pStyle w:val="Listenabsatz"/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Hanefeld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rPr>
                <w:sz w:val="22"/>
                <w:szCs w:val="22"/>
              </w:rPr>
              <w:t xml:space="preserve">Dokument „Marginalisierte Gruppen“ finalisiert 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rPr>
                <w:sz w:val="22"/>
                <w:szCs w:val="22"/>
              </w:rPr>
              <w:t>Wurde BMG bereits vorgelegt, Rückmeldung dazu ausstehend</w:t>
            </w:r>
          </w:p>
          <w:p>
            <w:pPr>
              <w:pStyle w:val="Listenabsatz"/>
              <w:numPr>
                <w:ilvl w:val="0"/>
                <w:numId w:val="14"/>
              </w:numPr>
            </w:pPr>
            <w:r>
              <w:rPr>
                <w:sz w:val="22"/>
                <w:szCs w:val="22"/>
              </w:rPr>
              <w:t xml:space="preserve">Erneute Zusendung an das BMG in finalisierter Form zur Kenntnisnahme („Veröffentlichung heute in nochmals überarbeiteter Form auf der Website“) </w:t>
            </w:r>
          </w:p>
          <w:p>
            <w:pPr>
              <w:pStyle w:val="Listenabsatz"/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Informationen zu Arbeitsschutz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Arbeitsschutzstandards der stationären Altenpflege der BGW nicht besprochen</w:t>
            </w:r>
          </w:p>
          <w:p>
            <w:pPr>
              <w:pStyle w:val="Listenabsatz"/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ca. 10 Einsendungen pro Tag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Davon 70 bis 80 % positiv auf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</w:p>
          <w:p>
            <w:pPr>
              <w:pStyle w:val="Listenabsatz"/>
              <w:numPr>
                <w:ilvl w:val="0"/>
                <w:numId w:val="1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Andere respiratorische Viren unterhalb der Nachweisgrenze  </w:t>
            </w:r>
          </w:p>
          <w:p>
            <w:pPr>
              <w:pStyle w:val="Listenabsatz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t>FG17/ZBS1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t>FG36/IBBS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DEMIS – Versand von falsch positiven Daten an Gesundheitsämter seitens Labor (Häkchen bei „positiv“, jedoch aus Meldung selbst ersichtlich, dass „negativ“)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Übermittlung dieser Daten als sicherheitsrelevanter Vorfall deklariert (kein Versand von Negativdaten an Gesundheitsamt laut IfSG)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Falsch positive Daten sind jedoch derzeit höchstwahrscheinlich nicht in der Statistik erfasst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Labor bereits gesperrt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Derzeit Erhebung der genauen Faktenlage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Presse soll informiert werden, Bitte dazu um Sprachregelung, wenn Faktenlage ausreichend eruiert</w:t>
            </w:r>
          </w:p>
          <w:p>
            <w:pPr>
              <w:ind w:left="11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proofErr w:type="spellStart"/>
            <w:r>
              <w:rPr>
                <w:sz w:val="22"/>
              </w:rPr>
              <w:t>Aussteigekarte</w:t>
            </w:r>
            <w:proofErr w:type="spellEnd"/>
            <w:r>
              <w:rPr>
                <w:sz w:val="22"/>
              </w:rPr>
              <w:t xml:space="preserve"> – Amtshilfe durch RKI-Beauftragung der Deutschen Post: Scanlösung bei der Post durch BMG angestrebt, Amtshilfe erbeten, RKI hierbei lediglich als Mittler, Auftrag soll per Mail rausgeschickt werden</w:t>
            </w:r>
          </w:p>
          <w:p>
            <w:pPr>
              <w:ind w:left="11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592" w:hanging="425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  <w:p>
            <w:pPr>
              <w:pStyle w:val="Listenabsatz"/>
              <w:ind w:left="592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Nicht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besprochen</w:t>
            </w:r>
            <w:proofErr w:type="spellEnd"/>
          </w:p>
          <w:p>
            <w:pPr>
              <w:pStyle w:val="Listenabsatz"/>
              <w:ind w:left="453"/>
              <w:rPr>
                <w:sz w:val="22"/>
                <w:szCs w:val="22"/>
                <w:lang w:val="en-US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04.09.2020, 11:00 Uhr – 13 Uhr, via </w:t>
            </w:r>
            <w:proofErr w:type="spellStart"/>
            <w:r>
              <w:rPr>
                <w:sz w:val="22"/>
                <w:szCs w:val="22"/>
              </w:rPr>
              <w:t>Vitero</w:t>
            </w:r>
            <w:proofErr w:type="spellEnd"/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jc w:val="right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  <w:p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A81"/>
    <w:multiLevelType w:val="hybridMultilevel"/>
    <w:tmpl w:val="DD3E5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C93"/>
    <w:multiLevelType w:val="hybridMultilevel"/>
    <w:tmpl w:val="B3382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588297E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1DA4626E">
      <w:start w:val="6"/>
      <w:numFmt w:val="bullet"/>
      <w:lvlText w:val="-"/>
      <w:lvlJc w:val="left"/>
      <w:pPr>
        <w:ind w:left="4320" w:hanging="360"/>
      </w:pPr>
      <w:rPr>
        <w:rFonts w:ascii="Cambria" w:eastAsiaTheme="minorHAnsi" w:hAnsi="Cambria" w:cstheme="minorBidi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F0C3F"/>
    <w:multiLevelType w:val="hybridMultilevel"/>
    <w:tmpl w:val="FAD0A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0E18"/>
    <w:multiLevelType w:val="hybridMultilevel"/>
    <w:tmpl w:val="E8327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69CD"/>
    <w:multiLevelType w:val="hybridMultilevel"/>
    <w:tmpl w:val="6FE4E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7807"/>
    <w:multiLevelType w:val="hybridMultilevel"/>
    <w:tmpl w:val="D4A8BC7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5E2AF5"/>
    <w:multiLevelType w:val="hybridMultilevel"/>
    <w:tmpl w:val="70585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048A0"/>
    <w:multiLevelType w:val="hybridMultilevel"/>
    <w:tmpl w:val="CA549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E658C"/>
    <w:multiLevelType w:val="hybridMultilevel"/>
    <w:tmpl w:val="98EC1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C688F"/>
    <w:multiLevelType w:val="hybridMultilevel"/>
    <w:tmpl w:val="F98C1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53EF8"/>
    <w:multiLevelType w:val="hybridMultilevel"/>
    <w:tmpl w:val="D42E9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B7CBA"/>
    <w:multiLevelType w:val="hybridMultilevel"/>
    <w:tmpl w:val="A10E0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63588"/>
    <w:multiLevelType w:val="hybridMultilevel"/>
    <w:tmpl w:val="7374C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B0B0F"/>
    <w:multiLevelType w:val="hybridMultilevel"/>
    <w:tmpl w:val="FFA2A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8"/>
  </w:num>
  <w:num w:numId="11">
    <w:abstractNumId w:val="15"/>
  </w:num>
  <w:num w:numId="12">
    <w:abstractNumId w:val="16"/>
  </w:num>
  <w:num w:numId="13">
    <w:abstractNumId w:val="7"/>
  </w:num>
  <w:num w:numId="14">
    <w:abstractNumId w:val="3"/>
  </w:num>
  <w:num w:numId="15">
    <w:abstractNumId w:val="0"/>
  </w:num>
  <w:num w:numId="16">
    <w:abstractNumId w:val="12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15EC88AB-A863-4334-B61D-05A5E49A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customStyle="1" w:styleId="Default">
    <w:name w:val="Default"/>
    <w:pPr>
      <w:autoSpaceDE w:val="0"/>
      <w:autoSpaceDN w:val="0"/>
      <w:adjustRightInd w:val="0"/>
      <w:spacing w:after="0"/>
    </w:pPr>
    <w:rPr>
      <w:rFonts w:ascii="Cambria" w:hAnsi="Cambria" w:cs="Cambria"/>
      <w:color w:val="000000"/>
    </w:rPr>
  </w:style>
  <w:style w:type="paragraph" w:styleId="KeinLeerraum">
    <w:name w:val="No Spacing"/>
    <w:uiPriority w:val="1"/>
    <w:qFormat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Wissdaten\RKI_nCoV-Lage\1.Lagemanagement\1.3.Besprechungen_TKs\1.Lage_AG\2020-09-02_Lage-AG\COVID-19_International_Lage_2020-09-01.pptx" TargetMode="External"/><Relationship Id="rId13" Type="http://schemas.openxmlformats.org/officeDocument/2006/relationships/hyperlink" Target="AW_%20Falldefinition%20und%20Testzahlen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0-09-02_Lage-AG\syndrom-ARE-SARI-COVID_bis_KW35_2020_f&#252;r-Krisenstab.pptx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Strategiepapier%20RKI%20mit%20Kommentaren_sept1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0-09-02_Lage-AG\SARS-CoV-2%20in%20ARS_20200902_Krisenstabssitzung.pptx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0-09-02_Lage-AG\Vortrag_Krisenstab_2020-09-01.pptx" TargetMode="External"/><Relationship Id="rId23" Type="http://schemas.openxmlformats.org/officeDocument/2006/relationships/fontTable" Target="fontTable.xml"/><Relationship Id="rId10" Type="http://schemas.openxmlformats.org/officeDocument/2006/relationships/hyperlink" Target="Dokument1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S:\Wissdaten\RKI_nCoV-Lage\1.Lagemanagement\1.3.Besprechungen_TKs\1.Lage_AG\2020-09-02_Lage-AG\Lage-National_2020-09-02.pptx" TargetMode="External"/><Relationship Id="rId14" Type="http://schemas.openxmlformats.org/officeDocument/2006/relationships/hyperlink" Target="Erl&#228;uterung_Testzahlen.docx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6199A-3AC3-4A2E-923A-56D90611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2395</Words>
  <Characters>15090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69</cp:revision>
  <cp:lastPrinted>2020-05-06T16:43:00Z</cp:lastPrinted>
  <dcterms:created xsi:type="dcterms:W3CDTF">2020-08-05T11:14:00Z</dcterms:created>
  <dcterms:modified xsi:type="dcterms:W3CDTF">2021-05-06T12:58:00Z</dcterms:modified>
</cp:coreProperties>
</file>