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  <w:spacing w:before="120"/>
      </w:pPr>
      <w:r>
        <w:t>Krisenstab-Sitzung „</w:t>
      </w:r>
      <w:r>
        <w:rPr>
          <w:highlight w:val="lightGray"/>
        </w:rPr>
        <w:t>Neuartiges Coronavirus (COVID-19)</w:t>
      </w:r>
      <w:r>
        <w:t>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bookmarkStart w:id="0" w:name="_GoBack"/>
      <w:bookmarkEnd w:id="0"/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347DD1EDB40140379CED92F86F595FE3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635AABFE4F2A4F229E48577557B1D369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347DD1EDB40140379CED92F86F595FE3"/>
          </w:placeholder>
        </w:sdtPr>
        <w:sdtContent>
          <w:r>
            <w:rPr>
              <w:i/>
              <w:sz w:val="22"/>
            </w:rPr>
            <w:t>21.09.2020,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B3EC23ABAA5D4FD58971217DC36B4C76"/>
          </w:placeholder>
        </w:sdtPr>
        <w:sdtContent>
          <w:r>
            <w:rPr>
              <w:i/>
              <w:sz w:val="22"/>
              <w:szCs w:val="22"/>
            </w:rPr>
            <w:t xml:space="preserve">Virtueller Konferenzraum </w:t>
          </w:r>
          <w:proofErr w:type="spellStart"/>
          <w:r>
            <w:rPr>
              <w:i/>
              <w:sz w:val="22"/>
              <w:szCs w:val="22"/>
            </w:rPr>
            <w:t>Vitero</w:t>
          </w:r>
          <w:proofErr w:type="spellEnd"/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after="0"/>
        <w:ind w:left="2126" w:hanging="2126"/>
        <w:rPr>
          <w:i/>
          <w:sz w:val="22"/>
        </w:rPr>
      </w:pPr>
    </w:p>
    <w:p>
      <w:pPr>
        <w:rPr>
          <w:b/>
          <w:sz w:val="22"/>
        </w:rPr>
      </w:pPr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AL1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AL3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 Walter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IBBS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Claudia Schulz-Weidhaas 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Thorsten Wolff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FG21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Patrick Schmich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FG24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19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 32/FG38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0"/>
          <w:numId w:val="19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19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Matthias an der Heiden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Houareau (Protokoll)</w:t>
      </w:r>
    </w:p>
    <w:p>
      <w:pPr>
        <w:pStyle w:val="Listenabsatz"/>
        <w:numPr>
          <w:ilvl w:val="0"/>
          <w:numId w:val="19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Maria an der Heiden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Jamela Seedat</w:t>
      </w:r>
    </w:p>
    <w:p>
      <w:pPr>
        <w:pStyle w:val="Listenabsatz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ZIG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INIG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Sarah Esquevin</w:t>
      </w:r>
    </w:p>
    <w:p>
      <w:pPr>
        <w:pStyle w:val="Listenabsatz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Janine Michel</w:t>
      </w:r>
    </w:p>
    <w:p>
      <w:pPr>
        <w:pStyle w:val="Listenabsatz"/>
        <w:numPr>
          <w:ilvl w:val="0"/>
          <w:numId w:val="1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BZgA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Heidrun </w:t>
      </w:r>
      <w:proofErr w:type="spellStart"/>
      <w:r>
        <w:rPr>
          <w:sz w:val="22"/>
          <w:szCs w:val="22"/>
        </w:rPr>
        <w:t>Thaiss</w:t>
      </w:r>
      <w:proofErr w:type="spellEnd"/>
    </w:p>
    <w:p>
      <w:pPr>
        <w:spacing w:after="0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  <w:szCs w:val="22"/>
        </w:rPr>
      </w:pPr>
    </w:p>
    <w:p>
      <w:pPr>
        <w:pStyle w:val="berschrift2"/>
      </w:pPr>
      <w:r>
        <w:t xml:space="preserve">Agenda: </w:t>
      </w:r>
    </w:p>
    <w:p>
      <w:pPr>
        <w:rPr>
          <w:sz w:val="22"/>
        </w:rPr>
      </w:pPr>
    </w:p>
    <w:tbl>
      <w:tblPr>
        <w:tblStyle w:val="Tabellenraster"/>
        <w:tblW w:w="9039" w:type="dxa"/>
        <w:tblLayout w:type="fixed"/>
        <w:tblLook w:val="00A0" w:firstRow="1" w:lastRow="0" w:firstColumn="1" w:lastColumn="0" w:noHBand="0" w:noVBand="0"/>
      </w:tblPr>
      <w:tblGrid>
        <w:gridCol w:w="817"/>
        <w:gridCol w:w="6662"/>
        <w:gridCol w:w="1560"/>
      </w:tblGrid>
      <w:tr>
        <w:tc>
          <w:tcPr>
            <w:tcW w:w="817" w:type="dxa"/>
          </w:tcPr>
          <w:p>
            <w:pPr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eingebracht von</w:t>
            </w:r>
          </w:p>
        </w:tc>
      </w:tr>
      <w:tr>
        <w:tc>
          <w:tcPr>
            <w:tcW w:w="817" w:type="dxa"/>
          </w:tcPr>
          <w:p>
            <w:r>
              <w:t>1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Aktuelle Lage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 xml:space="preserve">International </w:t>
            </w:r>
          </w:p>
          <w:p>
            <w:pPr>
              <w:pStyle w:val="Listenabsatz"/>
              <w:numPr>
                <w:ilvl w:val="0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spacing w:after="20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10 Länder nach Anzahl neuer Fälle/letzte 7 Tage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Wenig verändert im Vergleich zur letzten Woche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Israel vor Mexiko gerutscht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 weitere Spalte zu Fall-Verstorbenen-Anteil (</w:t>
            </w:r>
            <w:proofErr w:type="spellStart"/>
            <w:r>
              <w:rPr>
                <w:sz w:val="22"/>
                <w:szCs w:val="22"/>
              </w:rPr>
              <w:t>case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fatality</w:t>
            </w:r>
            <w:proofErr w:type="spellEnd"/>
            <w:r>
              <w:rPr>
                <w:sz w:val="22"/>
                <w:szCs w:val="22"/>
              </w:rPr>
              <w:t xml:space="preserve"> rate, CFR); Dies bitte mit Vorsicht interpretieren, da die Länder Verstorbene sehr unterschiedlich kodieren;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 überwiegend steigender Trend: USA wieder im aufsteigenden Trend, Israel und Frankreich zeigen stärksten Veränderungen; Indiens Veränderung langsamer, vielleicht wird ein </w:t>
            </w:r>
            <w:proofErr w:type="spellStart"/>
            <w:r>
              <w:rPr>
                <w:sz w:val="22"/>
                <w:szCs w:val="22"/>
              </w:rPr>
              <w:t>plateau</w:t>
            </w:r>
            <w:proofErr w:type="spellEnd"/>
            <w:r>
              <w:rPr>
                <w:sz w:val="22"/>
                <w:szCs w:val="22"/>
              </w:rPr>
              <w:t xml:space="preserve"> erreicht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Insgesamt mit 47 Ländern mit 7-T.-Inz. &gt;50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 xml:space="preserve">.: Dies sind 5 Länder mehr als </w:t>
            </w:r>
            <w:proofErr w:type="spellStart"/>
            <w:r>
              <w:rPr>
                <w:sz w:val="22"/>
                <w:szCs w:val="22"/>
              </w:rPr>
              <w:t>letze</w:t>
            </w:r>
            <w:proofErr w:type="spellEnd"/>
            <w:r>
              <w:rPr>
                <w:sz w:val="22"/>
                <w:szCs w:val="22"/>
              </w:rPr>
              <w:t xml:space="preserve"> Woche;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Südamerika am stärksten bestoffen, aber stabilisiert sich langsam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Kontinent mit den meisten betroffenen Ländern ist Europa;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 in </w:t>
            </w:r>
            <w:proofErr w:type="spellStart"/>
            <w:r>
              <w:rPr>
                <w:sz w:val="22"/>
                <w:szCs w:val="22"/>
              </w:rPr>
              <w:t>Lybien</w:t>
            </w:r>
            <w:proofErr w:type="spellEnd"/>
            <w:r>
              <w:rPr>
                <w:sz w:val="22"/>
                <w:szCs w:val="22"/>
              </w:rPr>
              <w:t xml:space="preserve"> stabilisiert sich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Asien zeigen Mehrheit der Länder Zunahme: Israel um 26%, Jordanien um 108%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pro 100.000 Einwohner - EU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NL und Belgien neu dazugekommen, ansonsten unverändert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Subregion in EU/EEA/UK und CH mit 7d-Inzidenz &gt;50/100.000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Zusammenfassung der Veränderungen seit letzten Freitag: 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Belgien: alle Regionen über 50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generell in Osteuropa wieder stärker zugenommen, z.B. in Polen, diese Entwicklung wird im Zusammenhang mit der Rückkehr zum Arbeitsplatz gesehen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Frankreich: Isolierungszeit auf 5 Tage verkürzt: Aber erst nach 7 Tagen Isolierung </w:t>
            </w:r>
            <w:r>
              <w:rPr>
                <w:sz w:val="22"/>
                <w:szCs w:val="22"/>
              </w:rPr>
              <w:lastRenderedPageBreak/>
              <w:t xml:space="preserve">erfolgt der PCR-Test; Neu: auch PCR-Tests aus Speichelproben bei </w:t>
            </w:r>
            <w:proofErr w:type="spellStart"/>
            <w:r>
              <w:rPr>
                <w:sz w:val="22"/>
                <w:szCs w:val="22"/>
              </w:rPr>
              <w:t>symptomat</w:t>
            </w:r>
            <w:proofErr w:type="spellEnd"/>
            <w:r>
              <w:rPr>
                <w:sz w:val="22"/>
                <w:szCs w:val="22"/>
              </w:rPr>
              <w:t>. Personen erlaubt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GB: Sind 3 Regionen über dem Schwellenwert; diese haben Verdopplungszeit von einer Woche, recht kurz,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Kroatien schwankt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NL: 2 Regionen dazugekommen, haben wieder Maßnahmen zur </w:t>
            </w:r>
            <w:proofErr w:type="spellStart"/>
            <w:r>
              <w:rPr>
                <w:sz w:val="22"/>
                <w:szCs w:val="22"/>
              </w:rPr>
              <w:t>Gastro</w:t>
            </w:r>
            <w:proofErr w:type="spellEnd"/>
            <w:r>
              <w:rPr>
                <w:sz w:val="22"/>
                <w:szCs w:val="22"/>
              </w:rPr>
              <w:t xml:space="preserve"> und Gruppengröße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Nachfrage zur Entwicklung in Schweden, da auf der Folie vergleichbar mit Deutschland: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Schweden haben kontinuierlich </w:t>
            </w:r>
            <w:proofErr w:type="spellStart"/>
            <w:r>
              <w:rPr>
                <w:sz w:val="22"/>
                <w:szCs w:val="22"/>
              </w:rPr>
              <w:t>abnehmdenden</w:t>
            </w:r>
            <w:proofErr w:type="spellEnd"/>
            <w:r>
              <w:rPr>
                <w:sz w:val="22"/>
                <w:szCs w:val="22"/>
              </w:rPr>
              <w:t xml:space="preserve"> Trend; haben </w:t>
            </w:r>
            <w:proofErr w:type="spellStart"/>
            <w:r>
              <w:rPr>
                <w:sz w:val="22"/>
                <w:szCs w:val="22"/>
              </w:rPr>
              <w:t>Testrate</w:t>
            </w:r>
            <w:proofErr w:type="spellEnd"/>
            <w:r>
              <w:rPr>
                <w:sz w:val="22"/>
                <w:szCs w:val="22"/>
              </w:rPr>
              <w:t xml:space="preserve"> stark erweitert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ISAA Bericht zu Schweden zeigt auch stabile Entwicklung, 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Schweden</w:t>
            </w:r>
            <w:proofErr w:type="spellEnd"/>
            <w:r>
              <w:rPr>
                <w:sz w:val="22"/>
                <w:szCs w:val="22"/>
                <w:lang w:val="en-US"/>
              </w:rPr>
              <w:t>: 37.KW: 1.394 Tests/100.000, pos. Rate ca. 1%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Publikationen zu Schwedens Maßnahmen; belastbare Quelle zu den Maßnahmen sind: die ISAA </w:t>
            </w:r>
            <w:proofErr w:type="spellStart"/>
            <w:r>
              <w:rPr>
                <w:sz w:val="22"/>
                <w:szCs w:val="22"/>
              </w:rPr>
              <w:t>platform</w:t>
            </w:r>
            <w:proofErr w:type="spellEnd"/>
            <w:r>
              <w:rPr>
                <w:sz w:val="22"/>
                <w:szCs w:val="22"/>
              </w:rPr>
              <w:t xml:space="preserve"> sowie zur Mortalität ECDC-Angaben (Diese hat Fr. Esquevin später per Mail mit dem Krisenstab geteilt).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National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Fallzahlen, Todesfälle, Trend (Folien</w:t>
            </w:r>
            <w:r>
              <w:t xml:space="preserve"> </w:t>
            </w:r>
            <w:hyperlink r:id="rId9" w:history="1">
              <w:r>
                <w:rPr>
                  <w:rStyle w:val="Hyperlink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Informationen für den Krisenstab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Mecklenburg-Vorpommern am WE nicht übermittelt 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7-T.-Inz gestiegen, höchster Wert seit April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R-Wert stabilisiert um die eins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ITS keine Änderungen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nach Berichtsdatum Bundesländer (BL)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 steigender Trend im Bundesdurchschnitt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Berlin und Bayern liegen deutlich über Bundesdurchschnitt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Aber auch BL mit Werten unter dem Bundesdurchschnitt sind kleine Anstiege zu sehen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Geographische Verteilung in Deutschland: 7-T.-Inz.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3: Weiterhin SK Würzburg, LK Cloppenburg, SK München.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SK </w:t>
            </w:r>
            <w:proofErr w:type="spellStart"/>
            <w:r>
              <w:rPr>
                <w:sz w:val="22"/>
                <w:szCs w:val="22"/>
              </w:rPr>
              <w:t>München:meldet</w:t>
            </w:r>
            <w:proofErr w:type="spellEnd"/>
            <w:r>
              <w:rPr>
                <w:sz w:val="22"/>
                <w:szCs w:val="22"/>
              </w:rPr>
              <w:t xml:space="preserve"> mit 769 Fälle in letzten 7 Tagen die höchste Anzahl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 30 LK &gt;25-50 Fälle/100.00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 der Karte liegt neben Cloppenburg ein Kreis mit 0 Fällen: Hintergrund-Info zu diesem LK wird nachgeliefert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COVID-19 </w:t>
            </w:r>
            <w:proofErr w:type="spellStart"/>
            <w:r>
              <w:rPr>
                <w:sz w:val="22"/>
                <w:szCs w:val="22"/>
              </w:rPr>
              <w:t>Inz</w:t>
            </w:r>
            <w:proofErr w:type="spellEnd"/>
            <w:r>
              <w:rPr>
                <w:sz w:val="22"/>
                <w:szCs w:val="22"/>
              </w:rPr>
              <w:t>. nach Stadt-/LK und Meldewoche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Zeigt zu Beginn von KW5 an keine Unterschiede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</w:t>
            </w:r>
            <w:proofErr w:type="spellStart"/>
            <w:r>
              <w:rPr>
                <w:sz w:val="22"/>
                <w:szCs w:val="22"/>
              </w:rPr>
              <w:t>peak</w:t>
            </w:r>
            <w:proofErr w:type="spellEnd"/>
            <w:r>
              <w:rPr>
                <w:sz w:val="22"/>
                <w:szCs w:val="22"/>
              </w:rPr>
              <w:t xml:space="preserve"> höher in den </w:t>
            </w:r>
            <w:proofErr w:type="spellStart"/>
            <w:r>
              <w:rPr>
                <w:sz w:val="22"/>
                <w:szCs w:val="22"/>
              </w:rPr>
              <w:t>LKen</w:t>
            </w:r>
            <w:proofErr w:type="spellEnd"/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 KW20 steigen Werte in Städten und liegen seit dem höher mit ähnlichem Trend wie in </w:t>
            </w:r>
            <w:proofErr w:type="spellStart"/>
            <w:r>
              <w:rPr>
                <w:sz w:val="22"/>
                <w:szCs w:val="22"/>
              </w:rPr>
              <w:t>LKen</w:t>
            </w:r>
            <w:proofErr w:type="spellEnd"/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noch differenzierter ausgeführt werden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mit Angaben Epidemiologie (nach Meldewoche); (nur Fälle ohne Expositionsort im Ausland)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Zwei Folien hierzu: einmal tabellarisch und dann als Liniendiagramm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konnte man vor 6 Woche noch deutlicher sagen, ob Fälle zu Ausbrüchen gehören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Diskussion, ob Art der Transmission mit Melde- oder </w:t>
            </w:r>
            <w:proofErr w:type="spellStart"/>
            <w:r>
              <w:rPr>
                <w:sz w:val="22"/>
                <w:szCs w:val="22"/>
              </w:rPr>
              <w:t>Sentineldaten</w:t>
            </w:r>
            <w:proofErr w:type="spellEnd"/>
            <w:r>
              <w:rPr>
                <w:sz w:val="22"/>
                <w:szCs w:val="22"/>
              </w:rPr>
              <w:t xml:space="preserve"> besser erkennbar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Änderung zu </w:t>
            </w:r>
            <w:proofErr w:type="spellStart"/>
            <w:r>
              <w:rPr>
                <w:sz w:val="22"/>
                <w:szCs w:val="22"/>
              </w:rPr>
              <w:t>community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transmission</w:t>
            </w:r>
            <w:proofErr w:type="spellEnd"/>
            <w:r>
              <w:rPr>
                <w:sz w:val="22"/>
                <w:szCs w:val="22"/>
              </w:rPr>
              <w:t xml:space="preserve"> würde u.a. eine Änderung zum Testen gemäß WHO Empfehlung bedeuten, als auch Reisezulassungen verändern. Daher ist es das Ziel, die Einteilung </w:t>
            </w:r>
            <w:proofErr w:type="spellStart"/>
            <w:r>
              <w:rPr>
                <w:sz w:val="22"/>
                <w:szCs w:val="22"/>
              </w:rPr>
              <w:t>community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transmission</w:t>
            </w:r>
            <w:proofErr w:type="spellEnd"/>
            <w:r>
              <w:rPr>
                <w:sz w:val="22"/>
                <w:szCs w:val="22"/>
              </w:rPr>
              <w:t xml:space="preserve"> möglichst kleinteilig zu haben.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mit Angaben Epidemiologie nach BL (nur Fälle ohne Expositionsort im Ausland)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Unterschiede in Sachsen und Meck-</w:t>
            </w:r>
            <w:proofErr w:type="spellStart"/>
            <w:r>
              <w:rPr>
                <w:sz w:val="22"/>
                <w:szCs w:val="22"/>
              </w:rPr>
              <w:t>Vorp</w:t>
            </w:r>
            <w:proofErr w:type="spellEnd"/>
            <w:r>
              <w:rPr>
                <w:sz w:val="22"/>
                <w:szCs w:val="22"/>
              </w:rPr>
              <w:t>. sind höchstwahrscheinlich Eingabeartefakte, da unterschiedliche Software verwendet (</w:t>
            </w:r>
            <w:proofErr w:type="spellStart"/>
            <w:r>
              <w:rPr>
                <w:sz w:val="22"/>
                <w:szCs w:val="22"/>
              </w:rPr>
              <w:t>Octoware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Entscheidung zur Änderung auf </w:t>
            </w:r>
            <w:proofErr w:type="spellStart"/>
            <w:r>
              <w:rPr>
                <w:sz w:val="22"/>
                <w:szCs w:val="22"/>
              </w:rPr>
              <w:t>community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transmission</w:t>
            </w:r>
            <w:proofErr w:type="spellEnd"/>
            <w:r>
              <w:rPr>
                <w:sz w:val="22"/>
                <w:szCs w:val="22"/>
              </w:rPr>
              <w:t xml:space="preserve"> wird zu einem späteren Zeitpunkt getroffen.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Lagebericht: abgestimmte Sprachregelung zum gegenwärtig niedrigen Anteil der Sterbefälle unter den gemeldeten Fällen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des Fall-Verstorbene-Verhältnis bei COVID-19 Fällen nach Altersgruppe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Fall-Verstorbenen Anteil (nach Meldewoche); Stand 21.09.2020, 0:00 Uhr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Getrennt nach Geschlecht und Altersgruppe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KW11 bis KW33 in der Auswertung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über Zeit bei beiden Geschlechtern deutlich abgenommen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Anteile der Altersgruppen 60-79 und 80+ liegen bei beiden Geschlechtern und über die Zeit über den anderen Altersgruppen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Fall-Verstorbenen-Anteil (nach Meldewoche); getrennt nach Krankenhausaufenthalt (KH)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Nur Altersgruppen 60-79 und 80+ gezeigt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Getrennt nach Geschlecht sowie Krankenhausaufenthalt (KH)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Verstorbene 80+ ohne und mit KH in beiden Geschlechtern höher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Verstorbene mit KH bei 60-79-jährigen bei beiden Geschlechtern höher als ohne KH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Fall-Verstorbenen-Anteil (nach Meldewoche); getrennt nach mit ITS vs. keine ITS: 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ITS absteigender Trend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Aber mit ITS erscheint Anteil-Fall-Verstorbene relativ konstant</w:t>
            </w:r>
          </w:p>
          <w:p>
            <w:pPr>
              <w:pStyle w:val="Listenabsatz"/>
              <w:ind w:left="216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Fazit: 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Absteigender Trend sowohl in den beiden Gruppen „kein KH“ und „KH ohne ITS“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Fall-Verstorbenen passiert eher außerhalb KH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Bitte Daten nicht überinterpretieren, da erstmal erster Überblick zur Datenlage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Vermehrte Testen könnte die leichteren Verläufe bewirken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Formulierung für sinkenden Fall-Verstorbenen- Anteil in </w:t>
            </w:r>
            <w:proofErr w:type="spellStart"/>
            <w:r>
              <w:rPr>
                <w:sz w:val="22"/>
                <w:szCs w:val="22"/>
              </w:rPr>
              <w:t>Dtl</w:t>
            </w:r>
            <w:proofErr w:type="spellEnd"/>
            <w:r>
              <w:rPr>
                <w:sz w:val="22"/>
                <w:szCs w:val="22"/>
              </w:rPr>
              <w:t xml:space="preserve">.: In allen Altersgruppen in den Meldedaten gesunken. Aber Anteil der Risikofaktoren ist trotz vermehrtem Testen gleich </w:t>
            </w:r>
            <w:proofErr w:type="spellStart"/>
            <w:r>
              <w:rPr>
                <w:sz w:val="22"/>
                <w:szCs w:val="22"/>
              </w:rPr>
              <w:t>gebliebe</w:t>
            </w:r>
            <w:proofErr w:type="spellEnd"/>
            <w:r>
              <w:rPr>
                <w:sz w:val="22"/>
                <w:szCs w:val="22"/>
              </w:rPr>
              <w:t>; wichtigster Faktor war das häufigere Testen; Wir verringern zurzeit die Dunkelziffer durchs vermehrte Testen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Vermutlich Selektionseffekte in den Daten, bei den Fällen, die nie in KH aufgenommen wurden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Botschaft: </w:t>
            </w:r>
            <w:proofErr w:type="spellStart"/>
            <w:r>
              <w:rPr>
                <w:sz w:val="22"/>
                <w:szCs w:val="22"/>
              </w:rPr>
              <w:t>Zuschützende</w:t>
            </w:r>
            <w:proofErr w:type="spellEnd"/>
            <w:r>
              <w:rPr>
                <w:sz w:val="22"/>
                <w:szCs w:val="22"/>
              </w:rPr>
              <w:t xml:space="preserve"> Personen immer noch </w:t>
            </w:r>
            <w:proofErr w:type="spellStart"/>
            <w:r>
              <w:rPr>
                <w:sz w:val="22"/>
                <w:szCs w:val="22"/>
              </w:rPr>
              <w:t>verhanden</w:t>
            </w:r>
            <w:proofErr w:type="spellEnd"/>
          </w:p>
          <w:p>
            <w:pPr>
              <w:pStyle w:val="Listenabsatz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Bisher keinen Hinweis, dass Virulenz von SARS-CoV-2 bedeutsam abgenommen hat.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Fr. Buda übernimmt </w:t>
            </w:r>
            <w:proofErr w:type="spellStart"/>
            <w:r>
              <w:rPr>
                <w:i/>
                <w:sz w:val="22"/>
                <w:szCs w:val="22"/>
              </w:rPr>
              <w:t>Formullierungsvorschlag</w:t>
            </w:r>
            <w:proofErr w:type="spellEnd"/>
            <w:r>
              <w:rPr>
                <w:i/>
                <w:sz w:val="22"/>
                <w:szCs w:val="22"/>
              </w:rPr>
              <w:t>, der mit Krisenstab abgestimmt wird. Ziel ist es, den abgestimmten Text in den Lagebericht am Dienstag zu integrieren.</w:t>
            </w:r>
          </w:p>
          <w:p/>
        </w:tc>
        <w:tc>
          <w:tcPr>
            <w:tcW w:w="1560" w:type="dxa"/>
          </w:tcPr>
          <w:p/>
          <w:p/>
          <w:p/>
          <w:p>
            <w:r>
              <w:t>INIG</w:t>
            </w:r>
          </w:p>
          <w:p>
            <w:r>
              <w:t>Esquevin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FG36</w:t>
            </w:r>
          </w:p>
          <w:p>
            <w:r>
              <w:t>Haas/</w:t>
            </w:r>
          </w:p>
          <w:p>
            <w:r>
              <w:t>FG38/32</w:t>
            </w:r>
          </w:p>
          <w:p>
            <w:r>
              <w:t>Rexroth/</w:t>
            </w:r>
          </w:p>
          <w:p>
            <w:r>
              <w:t>AL1</w:t>
            </w:r>
          </w:p>
          <w:p/>
          <w:p/>
          <w:p/>
          <w:p/>
          <w:p/>
          <w:p/>
          <w:p/>
          <w:p/>
          <w:p/>
          <w:p/>
          <w:p/>
          <w:p>
            <w:r>
              <w:t>FG32</w:t>
            </w:r>
          </w:p>
          <w:p>
            <w:r>
              <w:t>Diercke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AL3/</w:t>
            </w:r>
          </w:p>
          <w:p>
            <w:r>
              <w:t>FG32</w:t>
            </w:r>
          </w:p>
          <w:p>
            <w:r>
              <w:t>Diercke</w:t>
            </w:r>
          </w:p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lang w:val="en-US"/>
              </w:rPr>
            </w:pPr>
            <w:r>
              <w:rPr>
                <w:lang w:val="en-US"/>
              </w:rPr>
              <w:t>FG36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Buda/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FG38/32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Rexroth/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AL3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FG32</w:t>
            </w:r>
          </w:p>
          <w:p>
            <w:r>
              <w:t>Diercke</w:t>
            </w:r>
          </w:p>
          <w:p/>
          <w:p/>
          <w:p/>
          <w:p/>
          <w:p>
            <w:r>
              <w:t>Alle</w:t>
            </w:r>
          </w:p>
          <w:p/>
          <w:p/>
          <w:p/>
          <w:p/>
          <w:p/>
          <w:p/>
          <w:p>
            <w:r>
              <w:t>Leitung</w:t>
            </w:r>
          </w:p>
          <w:p/>
          <w:p/>
          <w:p>
            <w:r>
              <w:t>FG34</w:t>
            </w:r>
          </w:p>
          <w:p>
            <w:r>
              <w:t>An der Heiden/</w:t>
            </w:r>
          </w:p>
          <w:p>
            <w:r>
              <w:t>Abt.3</w:t>
            </w:r>
          </w:p>
          <w:p>
            <w:r>
              <w:t>Walter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AL1/</w:t>
            </w:r>
          </w:p>
          <w:p>
            <w:r>
              <w:t>AL3</w:t>
            </w:r>
          </w:p>
          <w:p/>
          <w:p/>
          <w:p>
            <w:r>
              <w:t>FG36</w:t>
            </w:r>
          </w:p>
          <w:p>
            <w:r>
              <w:t>Buda</w:t>
            </w:r>
          </w:p>
          <w:p/>
          <w:p/>
          <w:p/>
          <w:p/>
          <w:p/>
          <w:p/>
          <w:p>
            <w:r>
              <w:t>FG36</w:t>
            </w:r>
          </w:p>
          <w:p>
            <w:r>
              <w:t>Haas</w:t>
            </w:r>
          </w:p>
          <w:p/>
          <w:p/>
          <w:p>
            <w:r>
              <w:t>BZgA</w:t>
            </w:r>
          </w:p>
          <w:p/>
          <w:p>
            <w:r>
              <w:t>FG38/32</w:t>
            </w:r>
          </w:p>
          <w:p>
            <w:r>
              <w:t>AL3/</w:t>
            </w:r>
          </w:p>
          <w:p>
            <w:r>
              <w:t>FG17</w:t>
            </w:r>
          </w:p>
          <w:p>
            <w:r>
              <w:t>Wolff</w:t>
            </w:r>
          </w:p>
          <w:p/>
        </w:tc>
      </w:tr>
      <w:tr>
        <w:tc>
          <w:tcPr>
            <w:tcW w:w="817" w:type="dxa"/>
          </w:tcPr>
          <w:p>
            <w:r>
              <w:lastRenderedPageBreak/>
              <w:t>2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Internationales </w:t>
            </w:r>
          </w:p>
          <w:p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Nicht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besprochen</w:t>
            </w:r>
            <w:proofErr w:type="spellEnd"/>
          </w:p>
        </w:tc>
        <w:tc>
          <w:tcPr>
            <w:tcW w:w="1560" w:type="dxa"/>
          </w:tcPr>
          <w:p>
            <w:r>
              <w:t>ZIG</w:t>
            </w:r>
          </w:p>
          <w:p/>
        </w:tc>
      </w:tr>
      <w:tr>
        <w:tc>
          <w:tcPr>
            <w:tcW w:w="817" w:type="dxa"/>
          </w:tcPr>
          <w:p>
            <w:r>
              <w:t>3</w:t>
            </w:r>
          </w:p>
        </w:tc>
        <w:tc>
          <w:tcPr>
            <w:tcW w:w="6662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rPr>
                <w:i/>
              </w:rPr>
            </w:pPr>
            <w:r>
              <w:rPr>
                <w:i/>
              </w:rPr>
              <w:t>Nicht besprochen</w:t>
            </w:r>
          </w:p>
        </w:tc>
        <w:tc>
          <w:tcPr>
            <w:tcW w:w="1560" w:type="dxa"/>
          </w:tcPr>
          <w:p/>
          <w:p/>
        </w:tc>
      </w:tr>
      <w:tr>
        <w:trPr>
          <w:trHeight w:val="319"/>
        </w:trPr>
        <w:tc>
          <w:tcPr>
            <w:tcW w:w="817" w:type="dxa"/>
          </w:tcPr>
          <w:p>
            <w:r>
              <w:t>4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Aktuelle Risikobewertung</w:t>
            </w:r>
          </w:p>
          <w:p>
            <w:pPr>
              <w:rPr>
                <w:i/>
              </w:rPr>
            </w:pPr>
            <w:r>
              <w:rPr>
                <w:i/>
              </w:rPr>
              <w:t xml:space="preserve">Nicht besprochen </w:t>
            </w:r>
          </w:p>
        </w:tc>
        <w:tc>
          <w:tcPr>
            <w:tcW w:w="1560" w:type="dxa"/>
          </w:tcPr>
          <w:p/>
          <w:p/>
        </w:tc>
      </w:tr>
      <w:tr>
        <w:tc>
          <w:tcPr>
            <w:tcW w:w="817" w:type="dxa"/>
          </w:tcPr>
          <w:p>
            <w:r>
              <w:lastRenderedPageBreak/>
              <w:t>5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Kommunikation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Info-Graphik und Plakat weiterentwickelt zu den drei A</w:t>
            </w:r>
          </w:p>
          <w:p/>
        </w:tc>
        <w:tc>
          <w:tcPr>
            <w:tcW w:w="1560" w:type="dxa"/>
          </w:tcPr>
          <w:p/>
          <w:p>
            <w:r>
              <w:t>BZgA</w:t>
            </w:r>
          </w:p>
          <w:p/>
        </w:tc>
      </w:tr>
      <w:tr>
        <w:tc>
          <w:tcPr>
            <w:tcW w:w="817" w:type="dxa"/>
          </w:tcPr>
          <w:p>
            <w:r>
              <w:t>6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Neues aus dem BMG</w:t>
            </w:r>
          </w:p>
          <w:p>
            <w:r>
              <w:rPr>
                <w:i/>
              </w:rPr>
              <w:t>Nicht besprochen</w:t>
            </w:r>
          </w:p>
        </w:tc>
        <w:tc>
          <w:tcPr>
            <w:tcW w:w="1560" w:type="dxa"/>
          </w:tcPr>
          <w:p/>
        </w:tc>
      </w:tr>
      <w:tr>
        <w:tc>
          <w:tcPr>
            <w:tcW w:w="817" w:type="dxa"/>
          </w:tcPr>
          <w:p>
            <w:r>
              <w:t>7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Strategie Fragen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pStyle w:val="Listenabsatz"/>
            </w:pPr>
            <w:r>
              <w:t>Lagebericht: abgestimmte Sprachregelung zum gegenwärtig niedrigen Anteil der Sterbefälle unter den gemeldeten Fällen</w:t>
            </w:r>
          </w:p>
          <w:p>
            <w:pPr>
              <w:pStyle w:val="Listenabsatz"/>
              <w:rPr>
                <w:b/>
              </w:rPr>
            </w:pPr>
            <w:r>
              <w:rPr>
                <w:b/>
              </w:rPr>
              <w:t>Unter Punkt 1 besprochen.</w:t>
            </w:r>
          </w:p>
          <w:p>
            <w:pPr>
              <w:pStyle w:val="Listenabsatz"/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pStyle w:val="Listenabsatz"/>
              <w:rPr>
                <w:b/>
              </w:rPr>
            </w:pPr>
          </w:p>
        </w:tc>
        <w:tc>
          <w:tcPr>
            <w:tcW w:w="1560" w:type="dxa"/>
          </w:tcPr>
          <w:p/>
          <w:p/>
          <w:p>
            <w:r>
              <w:t>Leitung</w:t>
            </w:r>
          </w:p>
          <w:p/>
        </w:tc>
      </w:tr>
      <w:tr>
        <w:tc>
          <w:tcPr>
            <w:tcW w:w="817" w:type="dxa"/>
          </w:tcPr>
          <w:p>
            <w:r>
              <w:t>8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RKI internes Lagemanagement </w:t>
            </w:r>
          </w:p>
        </w:tc>
        <w:tc>
          <w:tcPr>
            <w:tcW w:w="1560" w:type="dxa"/>
          </w:tcPr>
          <w:p/>
          <w:p/>
        </w:tc>
      </w:tr>
      <w:tr>
        <w:tc>
          <w:tcPr>
            <w:tcW w:w="817" w:type="dxa"/>
          </w:tcPr>
          <w:p>
            <w:r>
              <w:t>9</w:t>
            </w:r>
          </w:p>
        </w:tc>
        <w:tc>
          <w:tcPr>
            <w:tcW w:w="6662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</w:tc>
        <w:tc>
          <w:tcPr>
            <w:tcW w:w="1560" w:type="dxa"/>
          </w:tcPr>
          <w:p/>
          <w:p/>
        </w:tc>
      </w:tr>
      <w:tr>
        <w:tc>
          <w:tcPr>
            <w:tcW w:w="817" w:type="dxa"/>
          </w:tcPr>
          <w:p>
            <w:r>
              <w:t>10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Info Arbeitsschutz</w:t>
            </w:r>
          </w:p>
          <w:p>
            <w:pPr>
              <w:rPr>
                <w:b/>
              </w:rPr>
            </w:pPr>
          </w:p>
        </w:tc>
        <w:tc>
          <w:tcPr>
            <w:tcW w:w="1560" w:type="dxa"/>
          </w:tcPr>
          <w:p>
            <w:r>
              <w:t xml:space="preserve">IBBS </w:t>
            </w:r>
          </w:p>
        </w:tc>
      </w:tr>
      <w:tr>
        <w:tc>
          <w:tcPr>
            <w:tcW w:w="817" w:type="dxa"/>
          </w:tcPr>
          <w:p>
            <w:r>
              <w:t>11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Hinweise zur Testung in welchem Ct Bereich </w:t>
            </w:r>
            <w:proofErr w:type="spellStart"/>
            <w:r>
              <w:t>Infektiösität</w:t>
            </w:r>
            <w:proofErr w:type="spellEnd"/>
            <w:r>
              <w:t xml:space="preserve">; ein </w:t>
            </w:r>
            <w:proofErr w:type="spellStart"/>
            <w:r>
              <w:t>Labosstandard</w:t>
            </w:r>
            <w:proofErr w:type="spellEnd"/>
            <w:r>
              <w:t xml:space="preserve"> hierzu in Arbeit. Dies in Zusammenarbeit u.a. mit KL-Coronaviren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Antigentests in AG-Diagnostik im BMG noch viele Fragen zu klären; nach außen an Presse wurden überraschenderweise andere </w:t>
            </w:r>
            <w:proofErr w:type="spellStart"/>
            <w:r>
              <w:t>Ergenisse</w:t>
            </w:r>
            <w:proofErr w:type="spellEnd"/>
            <w:r>
              <w:t xml:space="preserve"> kommuniziert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Letzte Woche: 1.120 Proben davon waren 109 positiv; knapp 10% pos. Rate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Komolo</w:t>
            </w:r>
            <w:proofErr w:type="spellEnd"/>
            <w:r>
              <w:t xml:space="preserve"> Proben untersucht; weiter bundesweit Studie vorbereitet, ab dem 01.10.2020 werden Proben an TN verschickt</w:t>
            </w:r>
          </w:p>
          <w:p>
            <w:pPr>
              <w:pStyle w:val="Listenabsatz"/>
            </w:pPr>
          </w:p>
        </w:tc>
        <w:tc>
          <w:tcPr>
            <w:tcW w:w="1560" w:type="dxa"/>
          </w:tcPr>
          <w:p/>
          <w:p>
            <w:r>
              <w:t>AL1</w:t>
            </w:r>
          </w:p>
          <w:p/>
          <w:p/>
          <w:p/>
          <w:p/>
          <w:p/>
          <w:p>
            <w:r>
              <w:t>ZBS1</w:t>
            </w:r>
          </w:p>
          <w:p>
            <w:r>
              <w:t>Michel</w:t>
            </w:r>
          </w:p>
        </w:tc>
      </w:tr>
      <w:tr>
        <w:tc>
          <w:tcPr>
            <w:tcW w:w="817" w:type="dxa"/>
          </w:tcPr>
          <w:p>
            <w:r>
              <w:t>12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besprochen/kein Update nötig gewesen</w:t>
            </w:r>
          </w:p>
        </w:tc>
        <w:tc>
          <w:tcPr>
            <w:tcW w:w="1560" w:type="dxa"/>
          </w:tcPr>
          <w:p/>
          <w:p>
            <w:r>
              <w:t>FG36/IBBS</w:t>
            </w:r>
          </w:p>
        </w:tc>
      </w:tr>
      <w:tr>
        <w:tc>
          <w:tcPr>
            <w:tcW w:w="817" w:type="dxa"/>
          </w:tcPr>
          <w:p>
            <w:r>
              <w:t>13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Kollegen von WHO verstärkt gemeldet, wollten diskutieren inwiefern zusätzliche Maßnahmen für pharmazeutische Interventionen effektiv sind.</w:t>
            </w:r>
          </w:p>
          <w:p>
            <w:pPr>
              <w:pStyle w:val="Listenabsatz"/>
            </w:pPr>
          </w:p>
        </w:tc>
        <w:tc>
          <w:tcPr>
            <w:tcW w:w="1560" w:type="dxa"/>
          </w:tcPr>
          <w:p/>
          <w:p>
            <w:r>
              <w:t>FG14</w:t>
            </w:r>
          </w:p>
          <w:p>
            <w:r>
              <w:t>Arvand</w:t>
            </w:r>
          </w:p>
          <w:p/>
        </w:tc>
      </w:tr>
      <w:tr>
        <w:tc>
          <w:tcPr>
            <w:tcW w:w="817" w:type="dxa"/>
          </w:tcPr>
          <w:p>
            <w:r>
              <w:t>14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Update Corona-KiTa-Studie (Folien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>Anhand von Grippeweb, liegen alle Inzidenzen unter den Vorjahreswerten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 xml:space="preserve">Meldezahlen: </w:t>
            </w:r>
            <w:proofErr w:type="spellStart"/>
            <w:r>
              <w:t>Inz</w:t>
            </w:r>
            <w:proofErr w:type="spellEnd"/>
            <w:r>
              <w:t xml:space="preserve">. geht in der Woche zurück; SK München zeigt eine erhöhte </w:t>
            </w:r>
            <w:proofErr w:type="spellStart"/>
            <w:r>
              <w:t>Inz</w:t>
            </w:r>
            <w:proofErr w:type="spellEnd"/>
            <w:r>
              <w:t>.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lastRenderedPageBreak/>
              <w:t>Inzidenz und Anteil nach Altersgruppe: Anteil der übermittelten COVID-19-Fälle hat sich stabilisiert.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i/>
              </w:rPr>
            </w:pPr>
            <w:r>
              <w:t xml:space="preserve">Ausbrüche in Kita: </w:t>
            </w:r>
          </w:p>
          <w:p>
            <w:pPr>
              <w:pStyle w:val="Listenabsatz"/>
              <w:numPr>
                <w:ilvl w:val="2"/>
                <w:numId w:val="11"/>
              </w:numPr>
              <w:rPr>
                <w:i/>
              </w:rPr>
            </w:pPr>
            <w:r>
              <w:t>7 neue Ausbrüche: Anzahl der gemeldeten Fälle steigt; Anteil 15 - jährige höher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i/>
              </w:rPr>
            </w:pPr>
            <w:r>
              <w:t>Ausbrüche in Schulen:</w:t>
            </w:r>
          </w:p>
          <w:p>
            <w:pPr>
              <w:pStyle w:val="Listenabsatz"/>
              <w:numPr>
                <w:ilvl w:val="2"/>
                <w:numId w:val="11"/>
              </w:numPr>
            </w:pPr>
            <w:r>
              <w:t>in Schulen 27 neue Ausbrüche seit letzter Woche</w:t>
            </w:r>
          </w:p>
          <w:p>
            <w:pPr>
              <w:pStyle w:val="Listenabsatz"/>
              <w:numPr>
                <w:ilvl w:val="2"/>
                <w:numId w:val="11"/>
              </w:numPr>
            </w:pPr>
            <w:r>
              <w:t xml:space="preserve">deutlich mehr Aktivität, insbesondere 11-14 Jahren eine Bedeutung haben. </w:t>
            </w:r>
          </w:p>
          <w:p>
            <w:pPr>
              <w:pStyle w:val="Listenabsatz"/>
              <w:numPr>
                <w:ilvl w:val="2"/>
                <w:numId w:val="11"/>
              </w:numPr>
            </w:pPr>
            <w:r>
              <w:t>Häufig sind Erwachsene aus Privathaushalten Index für Ausbrüche unter Schülern bzw. gehen Schulausbrüche in private Haushalte über</w:t>
            </w:r>
          </w:p>
          <w:p>
            <w:pPr>
              <w:pStyle w:val="Listenabsatz"/>
              <w:ind w:left="2160"/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Letzten Freitag wurde </w:t>
            </w:r>
            <w:proofErr w:type="spellStart"/>
            <w:r>
              <w:t>SurvNet</w:t>
            </w:r>
            <w:proofErr w:type="spellEnd"/>
            <w:r>
              <w:t xml:space="preserve"> RKI erfolgreich intern ausgerollt: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>Spätestens morgen Früh können die GÄ an die neueste Version angebunden sein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>Dieses Update geht aber auch mit Änderungen der DB einher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>Info-Brief an die GÄ in Vorbereitung in Abstimmung mit den Landesbehörden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 xml:space="preserve">Inbegriffen ist eine </w:t>
            </w:r>
            <w:proofErr w:type="spellStart"/>
            <w:r>
              <w:t>Vereinfachnung</w:t>
            </w:r>
            <w:proofErr w:type="spellEnd"/>
            <w:r>
              <w:t xml:space="preserve"> des Kontaktpersonenmanagement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>AL3 wird das erfolgte Update an das BMG kommunizieren</w:t>
            </w:r>
          </w:p>
          <w:p/>
          <w:p>
            <w:pPr>
              <w:rPr>
                <w:i/>
              </w:rPr>
            </w:pPr>
            <w:proofErr w:type="spellStart"/>
            <w:r>
              <w:t>ToDo</w:t>
            </w:r>
            <w:proofErr w:type="spellEnd"/>
            <w:r>
              <w:t xml:space="preserve">: </w:t>
            </w:r>
            <w:r>
              <w:rPr>
                <w:i/>
              </w:rPr>
              <w:t xml:space="preserve">Vorstellung der Schulausbrüche in der </w:t>
            </w:r>
            <w:proofErr w:type="spellStart"/>
            <w:r>
              <w:rPr>
                <w:i/>
              </w:rPr>
              <w:t>Epilag</w:t>
            </w:r>
            <w:proofErr w:type="spellEnd"/>
            <w:r>
              <w:rPr>
                <w:i/>
              </w:rPr>
              <w:t xml:space="preserve"> durch FG36</w:t>
            </w:r>
          </w:p>
          <w:p>
            <w:pPr>
              <w:rPr>
                <w:i/>
              </w:rPr>
            </w:pPr>
          </w:p>
        </w:tc>
        <w:tc>
          <w:tcPr>
            <w:tcW w:w="1560" w:type="dxa"/>
          </w:tcPr>
          <w:p/>
          <w:p>
            <w:r>
              <w:t xml:space="preserve">FG36 </w:t>
            </w:r>
          </w:p>
          <w:p>
            <w:r>
              <w:t>Haas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FG32</w:t>
            </w:r>
          </w:p>
          <w:p>
            <w:r>
              <w:t>Diercke</w:t>
            </w:r>
          </w:p>
          <w:p/>
        </w:tc>
      </w:tr>
      <w:tr>
        <w:tc>
          <w:tcPr>
            <w:tcW w:w="817" w:type="dxa"/>
          </w:tcPr>
          <w:p>
            <w:r>
              <w:lastRenderedPageBreak/>
              <w:t>15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Transport und Grenzübergangsstellen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ind w:left="360"/>
            </w:pPr>
          </w:p>
        </w:tc>
        <w:tc>
          <w:tcPr>
            <w:tcW w:w="1560" w:type="dxa"/>
          </w:tcPr>
          <w:p/>
          <w:p/>
        </w:tc>
      </w:tr>
      <w:tr>
        <w:tc>
          <w:tcPr>
            <w:tcW w:w="817" w:type="dxa"/>
          </w:tcPr>
          <w:p>
            <w:r>
              <w:t>16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28"/>
              </w:numPr>
            </w:pPr>
          </w:p>
        </w:tc>
        <w:tc>
          <w:tcPr>
            <w:tcW w:w="1560" w:type="dxa"/>
          </w:tcPr>
          <w:p/>
          <w:p/>
        </w:tc>
      </w:tr>
      <w:tr>
        <w:tc>
          <w:tcPr>
            <w:tcW w:w="817" w:type="dxa"/>
          </w:tcPr>
          <w:p>
            <w:r>
              <w:t>17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t>Nicht besprochen</w:t>
            </w:r>
          </w:p>
        </w:tc>
        <w:tc>
          <w:tcPr>
            <w:tcW w:w="1560" w:type="dxa"/>
          </w:tcPr>
          <w:p>
            <w:r>
              <w:t>alle</w:t>
            </w:r>
          </w:p>
        </w:tc>
      </w:tr>
      <w:tr>
        <w:tc>
          <w:tcPr>
            <w:tcW w:w="817" w:type="dxa"/>
          </w:tcPr>
          <w:p>
            <w:r>
              <w:t>18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t>Nächste Sitzung: Mittwoch 23.09.2020, 11:00-13:00</w:t>
            </w:r>
          </w:p>
          <w:p>
            <w:pPr>
              <w:pStyle w:val="Listenabsatz"/>
              <w:rPr>
                <w:b/>
              </w:rPr>
            </w:pPr>
          </w:p>
        </w:tc>
        <w:tc>
          <w:tcPr>
            <w:tcW w:w="1560" w:type="dxa"/>
          </w:tcPr>
          <w:p/>
        </w:tc>
      </w:tr>
    </w:tbl>
    <w:p>
      <w:pPr>
        <w:spacing w:after="240" w:line="360" w:lineRule="auto"/>
      </w:pPr>
    </w:p>
    <w:sectPr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851" w:right="1797" w:bottom="96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6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Agenda des COVID-19 Krisenstabs</w:t>
    </w:r>
  </w:p>
  <w:p>
    <w:pPr>
      <w:pStyle w:val="Kopfzeile"/>
      <w:rPr>
        <w:color w:val="1F497D" w:themeColor="text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3EEB"/>
    <w:multiLevelType w:val="hybridMultilevel"/>
    <w:tmpl w:val="0AE2F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6308"/>
    <w:multiLevelType w:val="hybridMultilevel"/>
    <w:tmpl w:val="CD78308C"/>
    <w:lvl w:ilvl="0" w:tplc="7BE218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24B"/>
    <w:multiLevelType w:val="hybridMultilevel"/>
    <w:tmpl w:val="05A01034"/>
    <w:lvl w:ilvl="0" w:tplc="7BE218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29FCF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5F65"/>
    <w:multiLevelType w:val="hybridMultilevel"/>
    <w:tmpl w:val="780A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87E05"/>
    <w:multiLevelType w:val="hybridMultilevel"/>
    <w:tmpl w:val="D4FED5A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0941A7"/>
    <w:multiLevelType w:val="hybridMultilevel"/>
    <w:tmpl w:val="AEE64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97807"/>
    <w:multiLevelType w:val="hybridMultilevel"/>
    <w:tmpl w:val="A610290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4518"/>
    <w:multiLevelType w:val="hybridMultilevel"/>
    <w:tmpl w:val="00E8400C"/>
    <w:lvl w:ilvl="0" w:tplc="49221F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21567"/>
    <w:multiLevelType w:val="hybridMultilevel"/>
    <w:tmpl w:val="A8E85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6203F"/>
    <w:multiLevelType w:val="hybridMultilevel"/>
    <w:tmpl w:val="2CC0367A"/>
    <w:lvl w:ilvl="0" w:tplc="560454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8305E"/>
    <w:multiLevelType w:val="hybridMultilevel"/>
    <w:tmpl w:val="A4A84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5088B"/>
    <w:multiLevelType w:val="hybridMultilevel"/>
    <w:tmpl w:val="E2709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A7A9C"/>
    <w:multiLevelType w:val="hybridMultilevel"/>
    <w:tmpl w:val="1730DCB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F13A1"/>
    <w:multiLevelType w:val="hybridMultilevel"/>
    <w:tmpl w:val="5D6EA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D59C2"/>
    <w:multiLevelType w:val="hybridMultilevel"/>
    <w:tmpl w:val="6DC0B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0180D"/>
    <w:multiLevelType w:val="hybridMultilevel"/>
    <w:tmpl w:val="B3A65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C0447"/>
    <w:multiLevelType w:val="hybridMultilevel"/>
    <w:tmpl w:val="085293BA"/>
    <w:lvl w:ilvl="0" w:tplc="C0E46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D787B"/>
    <w:multiLevelType w:val="hybridMultilevel"/>
    <w:tmpl w:val="C48E0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02433"/>
    <w:multiLevelType w:val="hybridMultilevel"/>
    <w:tmpl w:val="05DC3E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2178CF"/>
    <w:multiLevelType w:val="hybridMultilevel"/>
    <w:tmpl w:val="45B46152"/>
    <w:lvl w:ilvl="0" w:tplc="0BDEA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07176"/>
    <w:multiLevelType w:val="hybridMultilevel"/>
    <w:tmpl w:val="E61C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6"/>
  </w:num>
  <w:num w:numId="4">
    <w:abstractNumId w:val="12"/>
  </w:num>
  <w:num w:numId="5">
    <w:abstractNumId w:val="14"/>
  </w:num>
  <w:num w:numId="6">
    <w:abstractNumId w:val="6"/>
  </w:num>
  <w:num w:numId="7">
    <w:abstractNumId w:val="20"/>
  </w:num>
  <w:num w:numId="8">
    <w:abstractNumId w:val="11"/>
  </w:num>
  <w:num w:numId="9">
    <w:abstractNumId w:val="18"/>
  </w:num>
  <w:num w:numId="10">
    <w:abstractNumId w:val="21"/>
  </w:num>
  <w:num w:numId="11">
    <w:abstractNumId w:val="29"/>
  </w:num>
  <w:num w:numId="12">
    <w:abstractNumId w:val="23"/>
  </w:num>
  <w:num w:numId="13">
    <w:abstractNumId w:val="8"/>
  </w:num>
  <w:num w:numId="14">
    <w:abstractNumId w:val="22"/>
  </w:num>
  <w:num w:numId="15">
    <w:abstractNumId w:val="10"/>
  </w:num>
  <w:num w:numId="16">
    <w:abstractNumId w:val="16"/>
  </w:num>
  <w:num w:numId="17">
    <w:abstractNumId w:val="4"/>
  </w:num>
  <w:num w:numId="18">
    <w:abstractNumId w:val="3"/>
  </w:num>
  <w:num w:numId="19">
    <w:abstractNumId w:val="17"/>
  </w:num>
  <w:num w:numId="20">
    <w:abstractNumId w:val="15"/>
  </w:num>
  <w:num w:numId="21">
    <w:abstractNumId w:val="13"/>
  </w:num>
  <w:num w:numId="22">
    <w:abstractNumId w:val="2"/>
  </w:num>
  <w:num w:numId="23">
    <w:abstractNumId w:val="1"/>
  </w:num>
  <w:num w:numId="24">
    <w:abstractNumId w:val="9"/>
  </w:num>
  <w:num w:numId="25">
    <w:abstractNumId w:val="27"/>
  </w:num>
  <w:num w:numId="26">
    <w:abstractNumId w:val="24"/>
  </w:num>
  <w:num w:numId="27">
    <w:abstractNumId w:val="0"/>
  </w:num>
  <w:num w:numId="28">
    <w:abstractNumId w:val="7"/>
  </w:num>
  <w:num w:numId="29">
    <w:abstractNumId w:val="25"/>
  </w:num>
  <w:num w:numId="30">
    <w:abstractNumId w:val="1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C0A91-B13E-455F-9F5E-977BF209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st">
    <w:name w:val="st"/>
    <w:basedOn w:val="Absatz-Standardschriftart"/>
  </w:style>
  <w:style w:type="paragraph" w:styleId="NurText">
    <w:name w:val="Plain Text"/>
    <w:basedOn w:val="Standard"/>
    <w:link w:val="NurTextZchn"/>
    <w:uiPriority w:val="99"/>
    <w:semiHidden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Pr>
      <w:rFonts w:ascii="Calibri" w:hAnsi="Calibri"/>
      <w:sz w:val="22"/>
      <w:szCs w:val="21"/>
    </w:rPr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VID-19_Internationale_Lage_2020-09-21.ppt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ronaKita_Krisenstab_2020-09-21.ppt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all-Verstorbenen-Verh&#228;ltnis_COVID-19.pptx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Lage-National_2020-09-21.ppt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7DD1EDB40140379CED92F86F595F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E744A2-BF07-4F75-80A3-C028C447E730}"/>
      </w:docPartPr>
      <w:docPartBody>
        <w:p>
          <w:pPr>
            <w:pStyle w:val="347DD1EDB40140379CED92F86F595FE3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35AABFE4F2A4F229E48577557B1D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350939-A39F-445E-9FCF-48E84C6CEB05}"/>
      </w:docPartPr>
      <w:docPartBody>
        <w:p>
          <w:pPr>
            <w:pStyle w:val="635AABFE4F2A4F229E48577557B1D369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3EC23ABAA5D4FD58971217DC36B4C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262AC9-FD08-49C0-A535-A529FE11386C}"/>
      </w:docPartPr>
      <w:docPartBody>
        <w:p>
          <w:pPr>
            <w:pStyle w:val="B3EC23ABAA5D4FD58971217DC36B4C76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/>
    <w:rsid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A32AE"/>
    <w:rPr>
      <w:color w:val="808080"/>
    </w:rPr>
  </w:style>
  <w:style w:type="paragraph" w:customStyle="1" w:styleId="347DD1EDB40140379CED92F86F595FE3">
    <w:name w:val="347DD1EDB40140379CED92F86F595FE3"/>
    <w:rsid w:val="008A32AE"/>
  </w:style>
  <w:style w:type="paragraph" w:customStyle="1" w:styleId="635AABFE4F2A4F229E48577557B1D369">
    <w:name w:val="635AABFE4F2A4F229E48577557B1D369"/>
    <w:rsid w:val="008A32AE"/>
  </w:style>
  <w:style w:type="paragraph" w:customStyle="1" w:styleId="B3EC23ABAA5D4FD58971217DC36B4C76">
    <w:name w:val="B3EC23ABAA5D4FD58971217DC36B4C76"/>
    <w:rsid w:val="008A3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A46E3-F043-4357-A445-56A3F9741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1415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216</cp:revision>
  <cp:lastPrinted>2020-09-14T15:24:00Z</cp:lastPrinted>
  <dcterms:created xsi:type="dcterms:W3CDTF">2020-09-21T15:25:00Z</dcterms:created>
  <dcterms:modified xsi:type="dcterms:W3CDTF">2022-12-30T12:38:00Z</dcterms:modified>
</cp:coreProperties>
</file>