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23.09.2020,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Viterokonferenz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>Teilnehmende: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 w:line="233" w:lineRule="auto"/>
        <w:rPr>
          <w:sz w:val="22"/>
        </w:rPr>
      </w:pPr>
      <w:r>
        <w:rPr>
          <w:sz w:val="22"/>
        </w:rPr>
        <w:t>FG 14</w:t>
      </w:r>
    </w:p>
    <w:p>
      <w:pPr>
        <w:pStyle w:val="Listenabsatz"/>
        <w:numPr>
          <w:ilvl w:val="0"/>
          <w:numId w:val="29"/>
        </w:numPr>
        <w:spacing w:after="0" w:line="233" w:lineRule="auto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FG32/FG38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2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P1 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2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Sarah McFarland </w:t>
      </w:r>
    </w:p>
    <w:p>
      <w:pPr>
        <w:pStyle w:val="Listenabsatz"/>
        <w:numPr>
          <w:ilvl w:val="0"/>
          <w:numId w:val="2"/>
        </w:numPr>
        <w:spacing w:after="0"/>
        <w:ind w:left="714" w:hanging="357"/>
        <w:rPr>
          <w:sz w:val="22"/>
          <w:szCs w:val="22"/>
        </w:rPr>
      </w:pPr>
      <w:r>
        <w:rPr>
          <w:sz w:val="22"/>
          <w:szCs w:val="22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Iris Andernach</w:t>
      </w:r>
    </w:p>
    <w:p>
      <w:pPr>
        <w:pStyle w:val="Listenabsatz"/>
        <w:numPr>
          <w:ilvl w:val="0"/>
          <w:numId w:val="26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Protokoll</w:t>
      </w:r>
    </w:p>
    <w:p>
      <w:pPr>
        <w:pStyle w:val="Listenabsatz"/>
        <w:numPr>
          <w:ilvl w:val="0"/>
          <w:numId w:val="2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Janet Frotscher</w:t>
      </w:r>
    </w:p>
    <w:p>
      <w:pPr>
        <w:pStyle w:val="Listenabsatz"/>
        <w:spacing w:after="0"/>
        <w:ind w:left="1440"/>
        <w:rPr>
          <w:sz w:val="22"/>
          <w:szCs w:val="22"/>
        </w:rPr>
      </w:pPr>
    </w:p>
    <w:p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8"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Trendanalyse international, Maßnahmen (Folien</w:t>
            </w:r>
            <w:r>
              <w:t xml:space="preserve"> </w:t>
            </w:r>
            <w:hyperlink r:id="rId8" w:history="1">
              <w:r>
                <w:rPr>
                  <w:rStyle w:val="Hyperlink"/>
                  <w:b/>
                  <w:color w:val="1F497D" w:themeColor="text2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31 Mio. Fälle und über 960.000 Verstorbene (3,1%)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wenig Veränderung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Israel, Frankreich, USA über 15% Zunahme</w:t>
            </w:r>
          </w:p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 nach WHO Regionen weltweit 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Rückgang in Indien, Kolumbien, Peru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Starke Veränderung; aktuell 49 Länder mit einer 7-Tages-Inzidenz &gt; 50 Fälle / 100.000 EW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stärksten betroffen ist Nord- und Südamerika; neu dazugekommen sind die drei Inseln </w:t>
            </w:r>
            <w:proofErr w:type="spellStart"/>
            <w:r>
              <w:rPr>
                <w:sz w:val="22"/>
                <w:szCs w:val="22"/>
              </w:rPr>
              <w:t>Bonaire</w:t>
            </w:r>
            <w:proofErr w:type="spellEnd"/>
            <w:r>
              <w:rPr>
                <w:sz w:val="22"/>
                <w:szCs w:val="22"/>
              </w:rPr>
              <w:t xml:space="preserve">, Saint </w:t>
            </w:r>
            <w:proofErr w:type="spellStart"/>
            <w:r>
              <w:rPr>
                <w:sz w:val="22"/>
                <w:szCs w:val="22"/>
              </w:rPr>
              <w:t>Eustatius</w:t>
            </w:r>
            <w:proofErr w:type="spellEnd"/>
            <w:r>
              <w:rPr>
                <w:sz w:val="22"/>
                <w:szCs w:val="22"/>
              </w:rPr>
              <w:t xml:space="preserve"> und Saba (Karibische Niederlande)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Subregionen in EU/EEA/UK und CH mit 7d-Inzidenz &gt;50/100.000 EW 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Montag, 21.09.2020, sind Dänemark und Island neu hinzugekommen, sie haben den Schwellenwert von der 7d-Inzidenz &gt;50/100.00 EW überschritten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ECDC </w:t>
            </w:r>
            <w:proofErr w:type="spellStart"/>
            <w:r>
              <w:rPr>
                <w:sz w:val="22"/>
                <w:szCs w:val="22"/>
              </w:rPr>
              <w:t>Threat</w:t>
            </w:r>
            <w:proofErr w:type="spellEnd"/>
            <w:r>
              <w:rPr>
                <w:sz w:val="22"/>
                <w:szCs w:val="22"/>
              </w:rPr>
              <w:t xml:space="preserve"> Assessment Brief: </w:t>
            </w:r>
            <w:proofErr w:type="spellStart"/>
            <w:r>
              <w:rPr>
                <w:sz w:val="22"/>
                <w:szCs w:val="22"/>
              </w:rPr>
              <w:t>Reinfection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with</w:t>
            </w:r>
            <w:proofErr w:type="spellEnd"/>
            <w:r>
              <w:rPr>
                <w:sz w:val="22"/>
                <w:szCs w:val="22"/>
              </w:rPr>
              <w:t xml:space="preserve"> SARS-Cov-2: </w:t>
            </w:r>
            <w:proofErr w:type="spellStart"/>
            <w:r>
              <w:rPr>
                <w:sz w:val="22"/>
                <w:szCs w:val="22"/>
              </w:rPr>
              <w:t>considerations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public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health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wurde am 21.09.2020 veröffentlicht mit folgenden Zielen (Folien 4-7):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Häufigkeit sowie Eigenschaften von bekannten Reinfektionen zu beschreiben</w:t>
            </w:r>
          </w:p>
          <w:p>
            <w:pPr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über SARS-CoV-2-Infektionen sowie die Entwicklung von Antikörpern zusammenzufassen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 zu 7-Tages-Inzidenz:</w:t>
            </w:r>
          </w:p>
          <w:p>
            <w:pPr>
              <w:pStyle w:val="Listenabsatz"/>
              <w:numPr>
                <w:ilvl w:val="0"/>
                <w:numId w:val="3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die Schwelle hochgesetzt?</w:t>
            </w:r>
          </w:p>
          <w:p>
            <w:pPr>
              <w:pStyle w:val="Listenabsatz"/>
              <w:numPr>
                <w:ilvl w:val="0"/>
                <w:numId w:val="3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erwogen Länder mit &gt; 50 Fälle / 100.000 EW nicht mehr in Risikogebiete einzuteilen?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 weiterer Ansatz ist es mit der Europäischen Kommission gemeinsame Standards festzulegen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 herrscht kein Bestreben Grenzwerte zu erweitern oder zu ändern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 werden weiter mit Schwellenwert festgelegt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Regionale Klassifikation des Risikogebietes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Dank an ZIG 1 für die umfangreiche Berichterstattung – wird als ausgesprochen hilfreich angesehen!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Wie zielführend ist es, alles als Risikogebiet festzulegen?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Trend: Anstieg der Inzidenzen, Abstimmung dazu erfolgt, relevante Informationen werden von Herrn Bayer am Freitag, 25.09.2020, kommuniziert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AGI: eventuell ist mit Klagen von Verwaltungsgerichten zu rechnen 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Fallzahlen, Todesfälle, Trend (Folien</w:t>
            </w:r>
            <w:r>
              <w:t xml:space="preserve"> </w:t>
            </w:r>
            <w:hyperlink r:id="rId9" w:history="1">
              <w:r>
                <w:rPr>
                  <w:rStyle w:val="Hyperlink"/>
                  <w:b/>
                  <w:color w:val="1F497D" w:themeColor="text2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7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275.927 (+1769), davon 9.409 (3,4%) Todesfälle (+13), Inzidenz  332/100.000 EW, ca. 245.400 Genesene, Reff=0,79; 7T Reff=0,95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nach Meldedatum Bundesländer (Folie 2)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 führend, gefolgt von Bayern und Hamburg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 und Bayern liegen deutlich über bundesweiter Gesamtinzidenz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Erhöhte Inzidenzen liegen in Baden-Württemberg, Hamburg, Nordrhein-Westfalen und Bremen vor</w:t>
            </w:r>
          </w:p>
          <w:p>
            <w:pPr>
              <w:pStyle w:val="Listenabsatz"/>
              <w:ind w:left="1080"/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 LK </w:t>
            </w:r>
            <w:r>
              <w:rPr>
                <w:bCs/>
                <w:sz w:val="22"/>
                <w:szCs w:val="22"/>
              </w:rPr>
              <w:t xml:space="preserve">&gt;25-50 </w:t>
            </w:r>
            <w:r>
              <w:rPr>
                <w:sz w:val="22"/>
                <w:szCs w:val="22"/>
              </w:rPr>
              <w:t>Fälle/100.000 EW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LK </w:t>
            </w:r>
            <w:r>
              <w:rPr>
                <w:bCs/>
                <w:sz w:val="22"/>
                <w:szCs w:val="22"/>
              </w:rPr>
              <w:t xml:space="preserve">&gt;50-100 </w:t>
            </w:r>
            <w:r>
              <w:rPr>
                <w:sz w:val="22"/>
                <w:szCs w:val="22"/>
              </w:rPr>
              <w:t>Fälle/100.000 EW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Führend in der Liste: 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 Hamm, SK Remscheid, SK Würzburg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Bericht aus NRW auf </w:t>
            </w:r>
            <w:proofErr w:type="spellStart"/>
            <w:r>
              <w:rPr>
                <w:sz w:val="22"/>
                <w:szCs w:val="22"/>
              </w:rPr>
              <w:t>Parties</w:t>
            </w:r>
            <w:proofErr w:type="spellEnd"/>
            <w:r>
              <w:rPr>
                <w:sz w:val="22"/>
                <w:szCs w:val="22"/>
              </w:rPr>
              <w:t>, Events und Bar-Besuche zurückzuführen, aber auch hier gibt es deutliche Unterschiede in einzelnen Regionen – es gilt genau zu beobachten!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COVID-19-Fälle mit Expositionsort im Ausland</w:t>
            </w: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der im </w:t>
            </w:r>
            <w:r>
              <w:rPr>
                <w:iCs/>
                <w:sz w:val="22"/>
                <w:szCs w:val="22"/>
              </w:rPr>
              <w:t>Ausland exponierten</w:t>
            </w:r>
            <w:r>
              <w:rPr>
                <w:sz w:val="22"/>
                <w:szCs w:val="22"/>
              </w:rPr>
              <w:t xml:space="preserve"> COVID-19-Fälle </w:t>
            </w:r>
          </w:p>
          <w:p>
            <w:pPr>
              <w:pStyle w:val="Listenabsatz"/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Syndromischen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(Folien</w:t>
            </w:r>
            <w:r>
              <w:t xml:space="preserve"> </w:t>
            </w:r>
            <w:hyperlink r:id="rId10" w:history="1">
              <w:r>
                <w:rPr>
                  <w:rStyle w:val="Hyperlink"/>
                  <w:b/>
                  <w:color w:val="1F497D" w:themeColor="text2"/>
                  <w:sz w:val="22"/>
                  <w:szCs w:val="22"/>
                </w:rPr>
                <w:t>hier</w:t>
              </w:r>
            </w:hyperlink>
            <w:r>
              <w:rPr>
                <w:b/>
                <w:sz w:val="22"/>
                <w:szCs w:val="22"/>
              </w:rPr>
              <w:t>)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vergleichbar mit Vorsaison, seit zwei Wochen bei Kindern leichter Abfall und leichter Anstieg bei Erwachsenen (</w:t>
            </w: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  <w:r>
              <w:rPr>
                <w:sz w:val="22"/>
                <w:szCs w:val="22"/>
              </w:rPr>
              <w:t xml:space="preserve"> Raten); alles im Rahmen der üblichen saisonalen Bewegung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Konsultationsinzidenz ähnlich gleicher Verlauf, auch hier alles im saisonalen Rahmen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SARI-Fallzahlen und Anteil COVID seit KW 33 stabil bei 3%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SARS-CoV-2 in ARS (Folien </w:t>
            </w:r>
            <w:hyperlink r:id="rId11" w:history="1">
              <w:r>
                <w:rPr>
                  <w:rStyle w:val="Hyperlink"/>
                  <w:b/>
                  <w:color w:val="1F497D" w:themeColor="text2"/>
                  <w:sz w:val="22"/>
                  <w:szCs w:val="22"/>
                </w:rPr>
                <w:t>hier</w:t>
              </w:r>
            </w:hyperlink>
            <w:r>
              <w:rPr>
                <w:b/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Testverzug:</w:t>
            </w:r>
            <w:r>
              <w:rPr>
                <w:sz w:val="22"/>
                <w:szCs w:val="22"/>
              </w:rPr>
              <w:t xml:space="preserve"> 1,3 Tage Turnaround-time 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größeren Änderungen zur letzten Woche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Positivenanteil</w:t>
            </w:r>
            <w:proofErr w:type="spellEnd"/>
            <w:r>
              <w:rPr>
                <w:bCs/>
                <w:sz w:val="22"/>
                <w:szCs w:val="22"/>
              </w:rPr>
              <w:t xml:space="preserve"> nach Altersgruppe und Kalenderwoche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paralleler und sehr konstanter  Verlauf in allen Altersgruppen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Vorschlag: die Spannweite des Verzugs darzustellen (Perzentile)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McFarland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 /FG 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Rexroth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Andernach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FG34 / Bremer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Andernach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/ FG38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FG32 / FG 38 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 36/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FG37/ Haller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 Buda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 Risikobewertung</w:t>
            </w:r>
          </w:p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•    </w:t>
            </w: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Nicht anwesend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Nicht besprochen / kein Update nötig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/ Wenchel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•    </w:t>
            </w: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spacing w:line="276" w:lineRule="auto"/>
              <w:rPr>
                <w:b/>
                <w:sz w:val="28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Kürzungen und etwaigen Änderungen im Lagebericht bitte präzise bleiben!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Lagebericht wird bei der der Sprachregelung der </w:t>
            </w:r>
            <w:proofErr w:type="spellStart"/>
            <w:r>
              <w:rPr>
                <w:sz w:val="22"/>
                <w:szCs w:val="22"/>
              </w:rPr>
              <w:t>Fallverstorbenenanteil</w:t>
            </w:r>
            <w:proofErr w:type="spellEnd"/>
            <w:r>
              <w:rPr>
                <w:sz w:val="22"/>
                <w:szCs w:val="22"/>
              </w:rPr>
              <w:t xml:space="preserve"> weggelassen 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Sinnvoll hier eine vorsichtige, ausweichende Klausel (Formel) einzufügen (in Fußnote </w:t>
            </w:r>
            <w:proofErr w:type="spellStart"/>
            <w:r>
              <w:rPr>
                <w:sz w:val="22"/>
                <w:szCs w:val="22"/>
              </w:rPr>
              <w:t>klarifizieren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  <w:p>
            <w:pPr>
              <w:spacing w:line="276" w:lineRule="auto"/>
              <w:ind w:left="36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Regelung zum Maskentragen am Institut sollen deutlich kommuniziert werden (Wunsch auch aus Lagezentrum und von Presseabteilung)</w:t>
            </w:r>
          </w:p>
          <w:p>
            <w:pPr>
              <w:pStyle w:val="Listenabsatz"/>
              <w:numPr>
                <w:ilvl w:val="0"/>
                <w:numId w:val="33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Arbeitsauftrag nach innen ist bereits erfolgt und wird in Kürze durch Leitung publiziert - Richtlinien festhalten, die wir nach außen empfehlen!</w:t>
            </w:r>
          </w:p>
          <w:p>
            <w:pPr>
              <w:pStyle w:val="Listenabsatz"/>
              <w:spacing w:line="276" w:lineRule="auto"/>
              <w:ind w:left="360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FG32 / FG38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FG36 / Buda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FG37 / Haller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FG32/ FG38 Rexroth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Presse / Wenchel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FG12 / Mankertz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•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Informationen zu Arbeitsschutz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keine Veränderung zur Vorwoche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  geringer </w:t>
            </w:r>
            <w:proofErr w:type="spellStart"/>
            <w:r>
              <w:rPr>
                <w:sz w:val="22"/>
                <w:szCs w:val="22"/>
              </w:rPr>
              <w:t>Rhinovirennachweis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kein Influenzavirennachweis</w:t>
            </w:r>
          </w:p>
          <w:p>
            <w:pPr>
              <w:pStyle w:val="Listenabsatz"/>
              <w:ind w:left="453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/ Dürrwald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  Internationale Anfragen zur Übernahme von Patienten bespricht Herr Herzog mit dem BMG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/ Herzog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spacing w:line="276" w:lineRule="auto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spacing w:line="276" w:lineRule="auto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spacing w:line="276" w:lineRule="auto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spacing w:line="276" w:lineRule="auto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>•   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spacing w:line="276" w:lineRule="auto"/>
              <w:rPr>
                <w:b/>
                <w:sz w:val="28"/>
              </w:rPr>
            </w:pP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Herr Wieler lässt von seinem Besuch in Genf diese Woche bei der WHO als Chair des IHR Review </w:t>
            </w:r>
            <w:proofErr w:type="spellStart"/>
            <w:r>
              <w:rPr>
                <w:sz w:val="22"/>
                <w:szCs w:val="22"/>
              </w:rPr>
              <w:t>Committes</w:t>
            </w:r>
            <w:proofErr w:type="spellEnd"/>
            <w:r>
              <w:rPr>
                <w:sz w:val="22"/>
                <w:szCs w:val="22"/>
              </w:rPr>
              <w:t xml:space="preserve"> ausrichten, dass der Generaldirektor Tedros </w:t>
            </w:r>
            <w:proofErr w:type="spellStart"/>
            <w:r>
              <w:rPr>
                <w:sz w:val="22"/>
                <w:szCs w:val="22"/>
              </w:rPr>
              <w:t>Adhanom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Ghebreyesus</w:t>
            </w:r>
            <w:proofErr w:type="spellEnd"/>
            <w:r>
              <w:rPr>
                <w:sz w:val="22"/>
                <w:szCs w:val="22"/>
              </w:rPr>
              <w:t xml:space="preserve"> und der Executive </w:t>
            </w:r>
            <w:proofErr w:type="spellStart"/>
            <w:r>
              <w:rPr>
                <w:sz w:val="22"/>
                <w:szCs w:val="22"/>
              </w:rPr>
              <w:t>Director</w:t>
            </w:r>
            <w:proofErr w:type="spellEnd"/>
            <w:r>
              <w:rPr>
                <w:sz w:val="22"/>
                <w:szCs w:val="22"/>
              </w:rPr>
              <w:t xml:space="preserve"> des WHO Health </w:t>
            </w:r>
            <w:proofErr w:type="spellStart"/>
            <w:r>
              <w:rPr>
                <w:sz w:val="22"/>
                <w:szCs w:val="22"/>
              </w:rPr>
              <w:t>Emergencies</w:t>
            </w:r>
            <w:proofErr w:type="spellEnd"/>
            <w:r>
              <w:rPr>
                <w:sz w:val="22"/>
                <w:szCs w:val="22"/>
              </w:rPr>
              <w:t xml:space="preserve"> Programme Mike Ryan das RKI in höchsten Tönen gelobt haben. Hätte man früher auf das US CDC oder Public Health England gesehen, wäre es während der COVID-19 Pandemie wie folgt: "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global </w:t>
            </w:r>
            <w:proofErr w:type="spellStart"/>
            <w:r>
              <w:rPr>
                <w:sz w:val="22"/>
                <w:szCs w:val="22"/>
              </w:rPr>
              <w:t>landscape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shifted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RKI". 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Herr Wieler sieht dies klar als Teamleistung des RKI, ist schwer beeindruckt von unserer Arbeit und spricht uns seine Hochachtung aus.  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</w:p>
          <w:p>
            <w:pPr>
              <w:spacing w:line="276" w:lineRule="auto"/>
              <w:rPr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•    Nächste Sitzung: Freitag, 25.09.2020, 11:00 Uhr, via </w:t>
            </w:r>
            <w:proofErr w:type="spellStart"/>
            <w:r>
              <w:rPr>
                <w:sz w:val="22"/>
                <w:szCs w:val="22"/>
              </w:rPr>
              <w:t>Vitero</w:t>
            </w:r>
            <w:proofErr w:type="spellEnd"/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38/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Maria an der Heiden</w:t>
            </w: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Bdr>
        <w:bottom w:val="single" w:sz="6" w:space="1" w:color="auto"/>
      </w:pBdr>
      <w:tabs>
        <w:tab w:val="center" w:pos="4153"/>
        <w:tab w:val="right" w:pos="8306"/>
      </w:tabs>
      <w:spacing w:after="0"/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Bdr>
        <w:bottom w:val="single" w:sz="6" w:space="1" w:color="auto"/>
      </w:pBdr>
      <w:tabs>
        <w:tab w:val="center" w:pos="4153"/>
        <w:tab w:val="right" w:pos="8306"/>
      </w:tabs>
      <w:spacing w:after="0"/>
      <w:rPr>
        <w:color w:val="1F497D" w:themeColor="text2"/>
      </w:rPr>
    </w:pPr>
  </w:p>
  <w:p>
    <w:pPr>
      <w:pBdr>
        <w:bottom w:val="single" w:sz="6" w:space="1" w:color="auto"/>
      </w:pBdr>
      <w:tabs>
        <w:tab w:val="center" w:pos="4153"/>
        <w:tab w:val="right" w:pos="8306"/>
      </w:tabs>
      <w:spacing w:after="0"/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Agenda des COVID-19 Krisenstabs</w:t>
    </w:r>
  </w:p>
  <w:p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A65"/>
    <w:multiLevelType w:val="hybridMultilevel"/>
    <w:tmpl w:val="BAA4D6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BB7"/>
    <w:multiLevelType w:val="hybridMultilevel"/>
    <w:tmpl w:val="DABE2F60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F52C3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B56"/>
    <w:multiLevelType w:val="hybridMultilevel"/>
    <w:tmpl w:val="7D127A7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7F17A3"/>
    <w:multiLevelType w:val="hybridMultilevel"/>
    <w:tmpl w:val="FBFA40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24EC"/>
    <w:multiLevelType w:val="hybridMultilevel"/>
    <w:tmpl w:val="336C3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50EC"/>
    <w:multiLevelType w:val="hybridMultilevel"/>
    <w:tmpl w:val="876807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4F8299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8E6453"/>
    <w:multiLevelType w:val="hybridMultilevel"/>
    <w:tmpl w:val="05ACD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630DC"/>
    <w:multiLevelType w:val="hybridMultilevel"/>
    <w:tmpl w:val="693C82B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84360"/>
    <w:multiLevelType w:val="hybridMultilevel"/>
    <w:tmpl w:val="6E10E19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03B93"/>
    <w:multiLevelType w:val="hybridMultilevel"/>
    <w:tmpl w:val="55983D3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55C3"/>
    <w:multiLevelType w:val="hybridMultilevel"/>
    <w:tmpl w:val="C2B67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339C"/>
    <w:multiLevelType w:val="hybridMultilevel"/>
    <w:tmpl w:val="41FCDC94"/>
    <w:lvl w:ilvl="0" w:tplc="DA1AA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96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8AF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7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CF5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24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4D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EA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2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1867B9"/>
    <w:multiLevelType w:val="hybridMultilevel"/>
    <w:tmpl w:val="CFCEA2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321642"/>
    <w:multiLevelType w:val="hybridMultilevel"/>
    <w:tmpl w:val="476A332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CE8"/>
    <w:multiLevelType w:val="hybridMultilevel"/>
    <w:tmpl w:val="DAB4D62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B2524"/>
    <w:multiLevelType w:val="hybridMultilevel"/>
    <w:tmpl w:val="28826E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3638E"/>
    <w:multiLevelType w:val="hybridMultilevel"/>
    <w:tmpl w:val="DECEF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84E65"/>
    <w:multiLevelType w:val="hybridMultilevel"/>
    <w:tmpl w:val="B060E632"/>
    <w:lvl w:ilvl="0" w:tplc="0407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3" w15:restartNumberingAfterBreak="0">
    <w:nsid w:val="4B095C62"/>
    <w:multiLevelType w:val="hybridMultilevel"/>
    <w:tmpl w:val="4A52B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BE2565"/>
    <w:multiLevelType w:val="hybridMultilevel"/>
    <w:tmpl w:val="9766895C"/>
    <w:lvl w:ilvl="0" w:tplc="0407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42C37D6"/>
    <w:multiLevelType w:val="hybridMultilevel"/>
    <w:tmpl w:val="8EDAC0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B39CD"/>
    <w:multiLevelType w:val="hybridMultilevel"/>
    <w:tmpl w:val="633C862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707D07"/>
    <w:multiLevelType w:val="hybridMultilevel"/>
    <w:tmpl w:val="9E7EF0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F047E"/>
    <w:multiLevelType w:val="hybridMultilevel"/>
    <w:tmpl w:val="E8ACA6C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31316"/>
    <w:multiLevelType w:val="hybridMultilevel"/>
    <w:tmpl w:val="1A14C5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F0895"/>
    <w:multiLevelType w:val="hybridMultilevel"/>
    <w:tmpl w:val="E46217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06685"/>
    <w:multiLevelType w:val="hybridMultilevel"/>
    <w:tmpl w:val="A4EEB14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14794B"/>
    <w:multiLevelType w:val="hybridMultilevel"/>
    <w:tmpl w:val="27705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D0840"/>
    <w:multiLevelType w:val="hybridMultilevel"/>
    <w:tmpl w:val="45EE4A6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55AE2"/>
    <w:multiLevelType w:val="hybridMultilevel"/>
    <w:tmpl w:val="2264D39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23"/>
  </w:num>
  <w:num w:numId="5">
    <w:abstractNumId w:val="8"/>
  </w:num>
  <w:num w:numId="6">
    <w:abstractNumId w:val="24"/>
  </w:num>
  <w:num w:numId="7">
    <w:abstractNumId w:val="17"/>
  </w:num>
  <w:num w:numId="8">
    <w:abstractNumId w:val="21"/>
  </w:num>
  <w:num w:numId="9">
    <w:abstractNumId w:val="16"/>
  </w:num>
  <w:num w:numId="10">
    <w:abstractNumId w:val="26"/>
  </w:num>
  <w:num w:numId="11">
    <w:abstractNumId w:val="31"/>
  </w:num>
  <w:num w:numId="12">
    <w:abstractNumId w:val="4"/>
  </w:num>
  <w:num w:numId="13">
    <w:abstractNumId w:val="25"/>
  </w:num>
  <w:num w:numId="14">
    <w:abstractNumId w:val="12"/>
  </w:num>
  <w:num w:numId="15">
    <w:abstractNumId w:val="34"/>
  </w:num>
  <w:num w:numId="16">
    <w:abstractNumId w:val="18"/>
  </w:num>
  <w:num w:numId="17">
    <w:abstractNumId w:val="10"/>
  </w:num>
  <w:num w:numId="18">
    <w:abstractNumId w:val="19"/>
  </w:num>
  <w:num w:numId="19">
    <w:abstractNumId w:val="28"/>
  </w:num>
  <w:num w:numId="20">
    <w:abstractNumId w:val="0"/>
  </w:num>
  <w:num w:numId="21">
    <w:abstractNumId w:val="27"/>
  </w:num>
  <w:num w:numId="22">
    <w:abstractNumId w:val="20"/>
  </w:num>
  <w:num w:numId="23">
    <w:abstractNumId w:val="11"/>
  </w:num>
  <w:num w:numId="24">
    <w:abstractNumId w:val="22"/>
  </w:num>
  <w:num w:numId="25">
    <w:abstractNumId w:val="13"/>
  </w:num>
  <w:num w:numId="26">
    <w:abstractNumId w:val="33"/>
  </w:num>
  <w:num w:numId="27">
    <w:abstractNumId w:val="32"/>
  </w:num>
  <w:num w:numId="28">
    <w:abstractNumId w:val="6"/>
  </w:num>
  <w:num w:numId="29">
    <w:abstractNumId w:val="7"/>
  </w:num>
  <w:num w:numId="30">
    <w:abstractNumId w:val="14"/>
  </w:num>
  <w:num w:numId="31">
    <w:abstractNumId w:val="29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1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9"/>
  </w:num>
  <w:num w:numId="38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1FC25F73-519E-49C6-9485-7D7DFD3D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9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e_Lage_2020-09-23.ppt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ARS-CoV-2%20in%20ARS_20200923_Krisenstabssitzung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rki.local\daten\Wissdaten\RKI_nCoV-Lage\1.Lagemanagement\1.3.Besprechungen_TKs\1.Lage_AG\2020-09-23_Lage-AG\syndrom-ARE-SARI-COVID_bis_KW38_2020_f&#252;r-Krisenstab.ppt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\\rki.local\daten\Wissdaten\RKI_nCoV-Lage\1.Lagemanagement\1.3.Besprechungen_TKs\1.Lage_AG\2020-09-23_Lage-AG\Lage-National_2020-09-23.ppt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72AC-1B32-440D-8192-0DB9F38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8</cp:revision>
  <cp:lastPrinted>2020-09-21T12:50:00Z</cp:lastPrinted>
  <dcterms:created xsi:type="dcterms:W3CDTF">2020-09-23T19:35:00Z</dcterms:created>
  <dcterms:modified xsi:type="dcterms:W3CDTF">2021-05-06T13:12:00Z</dcterms:modified>
</cp:coreProperties>
</file>