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25.09.2020,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p>
    <w:p>
      <w:pPr>
        <w:rPr>
          <w:b/>
          <w:sz w:val="22"/>
        </w:rPr>
      </w:pPr>
      <w:r>
        <w:rPr>
          <w:b/>
          <w:sz w:val="22"/>
        </w:rPr>
        <w:t>Moderation: Lars Schaade</w:t>
      </w:r>
    </w:p>
    <w:p>
      <w:pPr>
        <w:spacing w:after="0"/>
        <w:rPr>
          <w:b/>
          <w:sz w:val="22"/>
        </w:rPr>
      </w:pPr>
      <w:r>
        <w:rPr>
          <w:b/>
          <w:sz w:val="22"/>
        </w:rPr>
        <w:t>Teilnehmende:</w:t>
      </w:r>
    </w:p>
    <w:p>
      <w:pPr>
        <w:pStyle w:val="Listenabsatz"/>
        <w:numPr>
          <w:ilvl w:val="0"/>
          <w:numId w:val="2"/>
        </w:numPr>
        <w:spacing w:after="0"/>
        <w:rPr>
          <w:sz w:val="22"/>
        </w:rPr>
      </w:pPr>
      <w:proofErr w:type="spellStart"/>
      <w:r>
        <w:rPr>
          <w:sz w:val="22"/>
        </w:rPr>
        <w:t>Präs</w:t>
      </w:r>
      <w:proofErr w:type="spellEnd"/>
    </w:p>
    <w:p>
      <w:pPr>
        <w:pStyle w:val="Listenabsatz"/>
        <w:numPr>
          <w:ilvl w:val="1"/>
          <w:numId w:val="2"/>
        </w:numPr>
        <w:spacing w:after="0"/>
        <w:rPr>
          <w:sz w:val="22"/>
        </w:rPr>
      </w:pPr>
      <w:r>
        <w:rPr>
          <w:sz w:val="22"/>
        </w:rPr>
        <w:t>Lothar Wieler</w:t>
      </w:r>
    </w:p>
    <w:p>
      <w:pPr>
        <w:pStyle w:val="Listenabsatz"/>
        <w:numPr>
          <w:ilvl w:val="0"/>
          <w:numId w:val="2"/>
        </w:numPr>
        <w:spacing w:after="0"/>
        <w:rPr>
          <w:sz w:val="22"/>
        </w:rPr>
      </w:pPr>
      <w:r>
        <w:rPr>
          <w:sz w:val="22"/>
        </w:rPr>
        <w:t>Abt. 1</w:t>
      </w:r>
    </w:p>
    <w:p>
      <w:pPr>
        <w:pStyle w:val="Listenabsatz"/>
        <w:numPr>
          <w:ilvl w:val="1"/>
          <w:numId w:val="2"/>
        </w:numPr>
        <w:spacing w:after="0"/>
        <w:rPr>
          <w:sz w:val="22"/>
        </w:rPr>
      </w:pPr>
      <w:r>
        <w:rPr>
          <w:sz w:val="22"/>
        </w:rPr>
        <w:t>Martin Mielke</w:t>
      </w:r>
    </w:p>
    <w:p>
      <w:pPr>
        <w:pStyle w:val="Listenabsatz"/>
        <w:numPr>
          <w:ilvl w:val="0"/>
          <w:numId w:val="2"/>
        </w:numPr>
        <w:spacing w:after="0"/>
        <w:rPr>
          <w:sz w:val="22"/>
        </w:rPr>
      </w:pPr>
      <w:r>
        <w:rPr>
          <w:sz w:val="22"/>
        </w:rPr>
        <w:t>Abt. 3</w:t>
      </w:r>
    </w:p>
    <w:p>
      <w:pPr>
        <w:pStyle w:val="Listenabsatz"/>
        <w:numPr>
          <w:ilvl w:val="1"/>
          <w:numId w:val="2"/>
        </w:numPr>
        <w:spacing w:after="0"/>
        <w:rPr>
          <w:sz w:val="22"/>
        </w:rPr>
      </w:pPr>
      <w:r>
        <w:rPr>
          <w:sz w:val="22"/>
        </w:rPr>
        <w:t>Osamah Hamouda</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2"/>
        </w:numPr>
        <w:spacing w:after="0" w:line="233" w:lineRule="auto"/>
        <w:rPr>
          <w:sz w:val="22"/>
        </w:rPr>
      </w:pPr>
      <w:r>
        <w:rPr>
          <w:sz w:val="22"/>
        </w:rPr>
        <w:t>FG14</w:t>
      </w:r>
    </w:p>
    <w:p>
      <w:pPr>
        <w:pStyle w:val="Listenabsatz"/>
        <w:numPr>
          <w:ilvl w:val="0"/>
          <w:numId w:val="11"/>
        </w:numPr>
        <w:spacing w:after="0" w:line="233" w:lineRule="auto"/>
        <w:rPr>
          <w:sz w:val="22"/>
        </w:rPr>
      </w:pPr>
      <w:r>
        <w:rPr>
          <w:sz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Dschin-Je Oh</w:t>
      </w:r>
    </w:p>
    <w:p>
      <w:pPr>
        <w:pStyle w:val="Listenabsatz"/>
        <w:numPr>
          <w:ilvl w:val="0"/>
          <w:numId w:val="2"/>
        </w:numPr>
        <w:spacing w:after="0"/>
        <w:contextualSpacing w:val="0"/>
        <w:rPr>
          <w:sz w:val="22"/>
        </w:rPr>
      </w:pPr>
      <w:r>
        <w:rPr>
          <w:sz w:val="22"/>
        </w:rPr>
        <w:t>FG24</w:t>
      </w:r>
    </w:p>
    <w:p>
      <w:pPr>
        <w:pStyle w:val="Listenabsatz"/>
        <w:numPr>
          <w:ilvl w:val="1"/>
          <w:numId w:val="2"/>
        </w:numPr>
        <w:spacing w:after="0"/>
        <w:contextualSpacing w:val="0"/>
        <w:rPr>
          <w:sz w:val="22"/>
        </w:rPr>
      </w:pPr>
      <w:r>
        <w:rPr>
          <w:sz w:val="22"/>
        </w:rPr>
        <w:t>Thomas Ziese</w:t>
      </w:r>
    </w:p>
    <w:p>
      <w:pPr>
        <w:pStyle w:val="Listenabsatz"/>
        <w:numPr>
          <w:ilvl w:val="0"/>
          <w:numId w:val="4"/>
        </w:numPr>
        <w:spacing w:after="0"/>
        <w:contextualSpacing w:val="0"/>
        <w:rPr>
          <w:sz w:val="22"/>
        </w:rPr>
      </w:pPr>
      <w:r>
        <w:rPr>
          <w:sz w:val="22"/>
        </w:rPr>
        <w:t>FG32</w:t>
      </w:r>
    </w:p>
    <w:p>
      <w:pPr>
        <w:pStyle w:val="Listenabsatz"/>
        <w:numPr>
          <w:ilvl w:val="1"/>
          <w:numId w:val="4"/>
        </w:numPr>
        <w:spacing w:after="0"/>
        <w:rPr>
          <w:sz w:val="22"/>
        </w:rPr>
      </w:pPr>
      <w:r>
        <w:rPr>
          <w:sz w:val="22"/>
        </w:rPr>
        <w:t>Ute Rexroth</w:t>
      </w:r>
    </w:p>
    <w:p>
      <w:pPr>
        <w:pStyle w:val="Listenabsatz"/>
        <w:numPr>
          <w:ilvl w:val="1"/>
          <w:numId w:val="2"/>
        </w:numPr>
        <w:spacing w:after="0"/>
        <w:contextualSpacing w:val="0"/>
        <w:rPr>
          <w:sz w:val="22"/>
          <w:szCs w:val="22"/>
        </w:rPr>
      </w:pPr>
      <w:r>
        <w:rPr>
          <w:sz w:val="22"/>
        </w:rPr>
        <w:t xml:space="preserve">Maria an der Heiden </w:t>
      </w:r>
    </w:p>
    <w:p>
      <w:pPr>
        <w:pStyle w:val="Listenabsatz"/>
        <w:numPr>
          <w:ilvl w:val="1"/>
          <w:numId w:val="2"/>
        </w:numPr>
        <w:spacing w:after="0"/>
        <w:contextualSpacing w:val="0"/>
        <w:rPr>
          <w:sz w:val="22"/>
          <w:szCs w:val="22"/>
        </w:rPr>
      </w:pPr>
      <w:r>
        <w:rPr>
          <w:sz w:val="22"/>
          <w:szCs w:val="22"/>
        </w:rPr>
        <w:t xml:space="preserve">Sarah McFarland </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Matthias an der Heiden</w:t>
      </w:r>
    </w:p>
    <w:p>
      <w:pPr>
        <w:pStyle w:val="Listenabsatz"/>
        <w:numPr>
          <w:ilvl w:val="0"/>
          <w:numId w:val="4"/>
        </w:numPr>
        <w:spacing w:after="0"/>
        <w:rPr>
          <w:sz w:val="22"/>
          <w:szCs w:val="22"/>
        </w:rPr>
      </w:pPr>
      <w:r>
        <w:rPr>
          <w:sz w:val="22"/>
          <w:szCs w:val="22"/>
        </w:rPr>
        <w:t>FG36</w:t>
      </w:r>
    </w:p>
    <w:p>
      <w:pPr>
        <w:pStyle w:val="Listenabsatz"/>
        <w:numPr>
          <w:ilvl w:val="1"/>
          <w:numId w:val="2"/>
        </w:numPr>
        <w:spacing w:after="0"/>
        <w:rPr>
          <w:sz w:val="22"/>
          <w:szCs w:val="22"/>
        </w:rPr>
      </w:pPr>
      <w:r>
        <w:rPr>
          <w:sz w:val="22"/>
          <w:szCs w:val="22"/>
        </w:rPr>
        <w:t>Barbara Hauer</w:t>
      </w:r>
    </w:p>
    <w:p>
      <w:pPr>
        <w:pStyle w:val="Listenabsatz"/>
        <w:numPr>
          <w:ilvl w:val="1"/>
          <w:numId w:val="2"/>
        </w:numPr>
        <w:spacing w:after="0"/>
        <w:rPr>
          <w:sz w:val="22"/>
          <w:szCs w:val="22"/>
        </w:rPr>
      </w:pPr>
      <w:r>
        <w:rPr>
          <w:sz w:val="22"/>
          <w:szCs w:val="22"/>
        </w:rPr>
        <w:t>Udo Buchholz</w:t>
      </w:r>
    </w:p>
    <w:p>
      <w:pPr>
        <w:pStyle w:val="Listenabsatz"/>
        <w:numPr>
          <w:ilvl w:val="1"/>
          <w:numId w:val="2"/>
        </w:numPr>
        <w:spacing w:after="0"/>
        <w:rPr>
          <w:sz w:val="22"/>
          <w:szCs w:val="22"/>
        </w:rPr>
      </w:pPr>
      <w:r>
        <w:rPr>
          <w:sz w:val="22"/>
          <w:szCs w:val="22"/>
        </w:rPr>
        <w:t>Silke Buda</w:t>
      </w:r>
    </w:p>
    <w:p>
      <w:pPr>
        <w:pStyle w:val="Listenabsatz"/>
        <w:numPr>
          <w:ilvl w:val="1"/>
          <w:numId w:val="2"/>
        </w:numPr>
        <w:spacing w:after="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lastRenderedPageBreak/>
        <w:t>IBBS</w:t>
      </w:r>
    </w:p>
    <w:p>
      <w:pPr>
        <w:pStyle w:val="Listenabsatz"/>
        <w:numPr>
          <w:ilvl w:val="1"/>
          <w:numId w:val="3"/>
        </w:numPr>
        <w:spacing w:after="0"/>
        <w:contextualSpacing w:val="0"/>
        <w:rPr>
          <w:sz w:val="22"/>
          <w:szCs w:val="22"/>
        </w:rPr>
      </w:pPr>
      <w:r>
        <w:rPr>
          <w:sz w:val="22"/>
          <w:szCs w:val="22"/>
        </w:rPr>
        <w:t>Bettina Ruehe</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 xml:space="preserve">Susanne Glasmacher </w:t>
      </w:r>
    </w:p>
    <w:p>
      <w:pPr>
        <w:pStyle w:val="Listenabsatz"/>
        <w:numPr>
          <w:ilvl w:val="1"/>
          <w:numId w:val="3"/>
        </w:numPr>
        <w:spacing w:after="0"/>
        <w:contextualSpacing w:val="0"/>
        <w:rPr>
          <w:sz w:val="22"/>
        </w:rPr>
      </w:pPr>
      <w:r>
        <w:rPr>
          <w:sz w:val="22"/>
        </w:rPr>
        <w:t>Jamela Seedat</w:t>
      </w:r>
    </w:p>
    <w:p>
      <w:pPr>
        <w:pStyle w:val="Listenabsatz"/>
        <w:numPr>
          <w:ilvl w:val="0"/>
          <w:numId w:val="2"/>
        </w:numPr>
        <w:spacing w:after="0"/>
        <w:contextualSpacing w:val="0"/>
        <w:rPr>
          <w:sz w:val="22"/>
        </w:rPr>
      </w:pPr>
      <w:r>
        <w:rPr>
          <w:sz w:val="22"/>
        </w:rPr>
        <w:t>P1</w:t>
      </w:r>
    </w:p>
    <w:p>
      <w:pPr>
        <w:pStyle w:val="Listenabsatz"/>
        <w:numPr>
          <w:ilvl w:val="1"/>
          <w:numId w:val="2"/>
        </w:numPr>
        <w:spacing w:after="0"/>
        <w:contextualSpacing w:val="0"/>
        <w:rPr>
          <w:sz w:val="22"/>
        </w:rPr>
      </w:pPr>
      <w:r>
        <w:rPr>
          <w:sz w:val="22"/>
        </w:rPr>
        <w:t>Mirjam Jenny</w:t>
      </w:r>
    </w:p>
    <w:p>
      <w:pPr>
        <w:pStyle w:val="Listenabsatz"/>
        <w:numPr>
          <w:ilvl w:val="1"/>
          <w:numId w:val="2"/>
        </w:numPr>
        <w:spacing w:after="0"/>
        <w:contextualSpacing w:val="0"/>
        <w:rPr>
          <w:sz w:val="22"/>
        </w:rPr>
      </w:pPr>
      <w:r>
        <w:rPr>
          <w:sz w:val="22"/>
        </w:rPr>
        <w:t xml:space="preserve">Esther-Maria Antao </w:t>
      </w:r>
    </w:p>
    <w:p>
      <w:pPr>
        <w:pStyle w:val="Listenabsatz"/>
        <w:numPr>
          <w:ilvl w:val="0"/>
          <w:numId w:val="9"/>
        </w:numPr>
        <w:spacing w:after="0"/>
        <w:rPr>
          <w:sz w:val="22"/>
          <w:szCs w:val="22"/>
        </w:rPr>
      </w:pPr>
      <w:r>
        <w:rPr>
          <w:sz w:val="22"/>
          <w:szCs w:val="22"/>
        </w:rPr>
        <w:t>MF3</w:t>
      </w:r>
    </w:p>
    <w:p>
      <w:pPr>
        <w:pStyle w:val="Listenabsatz"/>
        <w:numPr>
          <w:ilvl w:val="0"/>
          <w:numId w:val="10"/>
        </w:numPr>
        <w:spacing w:after="0"/>
      </w:pPr>
      <w:r>
        <w:rPr>
          <w:sz w:val="22"/>
          <w:szCs w:val="22"/>
        </w:rPr>
        <w:t>Nancy Erickson (Protokoll)</w:t>
      </w:r>
    </w:p>
    <w:p>
      <w:pPr>
        <w:pStyle w:val="Listenabsatz"/>
        <w:spacing w:after="0"/>
        <w:ind w:left="1440"/>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8"/>
              </w:rPr>
            </w:pPr>
          </w:p>
          <w:p>
            <w:pPr>
              <w:spacing w:line="276" w:lineRule="auto"/>
              <w:rPr>
                <w:b/>
                <w:sz w:val="22"/>
                <w:szCs w:val="22"/>
              </w:rPr>
            </w:pPr>
            <w:r>
              <w:rPr>
                <w:b/>
                <w:sz w:val="22"/>
                <w:szCs w:val="22"/>
              </w:rPr>
              <w:t xml:space="preserve">International </w:t>
            </w:r>
          </w:p>
          <w:p>
            <w:pPr>
              <w:spacing w:line="276" w:lineRule="auto"/>
              <w:rPr>
                <w:sz w:val="22"/>
                <w:szCs w:val="22"/>
              </w:rPr>
            </w:pPr>
            <w:r>
              <w:rPr>
                <w:b/>
                <w:sz w:val="22"/>
                <w:szCs w:val="22"/>
              </w:rPr>
              <w:t>Trendanalyse international, Maßnahmen</w:t>
            </w:r>
            <w:r>
              <w:rPr>
                <w:sz w:val="22"/>
                <w:szCs w:val="22"/>
              </w:rPr>
              <w:t xml:space="preserve"> (Folien</w:t>
            </w:r>
            <w:r>
              <w:t xml:space="preserve"> </w:t>
            </w:r>
            <w:hyperlink r:id="rId8" w:history="1">
              <w:r>
                <w:rPr>
                  <w:rStyle w:val="Hyperlink"/>
                  <w:b/>
                  <w:sz w:val="22"/>
                  <w:szCs w:val="22"/>
                </w:rPr>
                <w:t>hier</w:t>
              </w:r>
            </w:hyperlink>
            <w:r>
              <w:rPr>
                <w:sz w:val="22"/>
                <w:szCs w:val="22"/>
              </w:rPr>
              <w:t>)</w:t>
            </w:r>
          </w:p>
          <w:p>
            <w:pPr>
              <w:rPr>
                <w:sz w:val="22"/>
                <w:szCs w:val="22"/>
              </w:rPr>
            </w:pPr>
            <w:r>
              <w:rPr>
                <w:sz w:val="22"/>
                <w:szCs w:val="22"/>
              </w:rPr>
              <w:t>Ca. 32 Mio. Fälle und über 978.000 Verstorbene (3,1%)</w:t>
            </w:r>
          </w:p>
          <w:p>
            <w:pPr>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Insgesamt wenig Veränderung</w:t>
            </w:r>
          </w:p>
          <w:p>
            <w:pPr>
              <w:pStyle w:val="Listenabsatz"/>
              <w:numPr>
                <w:ilvl w:val="1"/>
                <w:numId w:val="5"/>
              </w:numPr>
              <w:spacing w:line="276" w:lineRule="auto"/>
              <w:ind w:left="907" w:hanging="340"/>
              <w:rPr>
                <w:sz w:val="22"/>
                <w:szCs w:val="22"/>
              </w:rPr>
            </w:pPr>
            <w:r>
              <w:rPr>
                <w:sz w:val="22"/>
                <w:szCs w:val="22"/>
              </w:rPr>
              <w:t xml:space="preserve">Vor allem Zunahme in 5 Ländern: USA, Argentinien, Spanien, Frankreich, Israel </w:t>
            </w:r>
          </w:p>
          <w:p>
            <w:pPr>
              <w:pStyle w:val="Listenabsatz"/>
              <w:numPr>
                <w:ilvl w:val="1"/>
                <w:numId w:val="5"/>
              </w:numPr>
              <w:spacing w:line="276" w:lineRule="auto"/>
              <w:ind w:left="907" w:hanging="340"/>
              <w:rPr>
                <w:sz w:val="22"/>
                <w:szCs w:val="22"/>
              </w:rPr>
            </w:pPr>
            <w:r>
              <w:rPr>
                <w:sz w:val="22"/>
                <w:szCs w:val="22"/>
              </w:rPr>
              <w:t xml:space="preserve">Alle außer Russischer Föderation und Indien 7d-Inzidenz/100.000 </w:t>
            </w:r>
            <w:proofErr w:type="spellStart"/>
            <w:r>
              <w:rPr>
                <w:sz w:val="22"/>
                <w:szCs w:val="22"/>
              </w:rPr>
              <w:t>Ew</w:t>
            </w:r>
            <w:proofErr w:type="spellEnd"/>
            <w:r>
              <w:rPr>
                <w:sz w:val="22"/>
                <w:szCs w:val="22"/>
              </w:rPr>
              <w:t xml:space="preserve"> über 50 % </w:t>
            </w:r>
          </w:p>
          <w:p>
            <w:pPr>
              <w:spacing w:line="276" w:lineRule="auto"/>
              <w:rPr>
                <w:sz w:val="22"/>
                <w:szCs w:val="22"/>
              </w:rPr>
            </w:pPr>
            <w:r>
              <w:rPr>
                <w:sz w:val="22"/>
                <w:szCs w:val="22"/>
              </w:rPr>
              <w:t xml:space="preserve">7-Tages-Inzidenz pro 100.000 </w:t>
            </w:r>
            <w:proofErr w:type="spellStart"/>
            <w:r>
              <w:rPr>
                <w:sz w:val="22"/>
                <w:szCs w:val="22"/>
              </w:rPr>
              <w:t>Ew</w:t>
            </w:r>
            <w:proofErr w:type="spellEnd"/>
            <w:r>
              <w:rPr>
                <w:sz w:val="22"/>
                <w:szCs w:val="22"/>
              </w:rPr>
              <w:t xml:space="preserve"> - EU/EWR/UK/CH: 11 Länder, wie Mittwoch, Malta neu hinzugekommen</w:t>
            </w:r>
          </w:p>
          <w:p>
            <w:pPr>
              <w:spacing w:line="276" w:lineRule="auto"/>
              <w:rPr>
                <w:sz w:val="22"/>
                <w:szCs w:val="22"/>
              </w:rPr>
            </w:pPr>
          </w:p>
          <w:p>
            <w:pPr>
              <w:spacing w:line="276" w:lineRule="auto"/>
              <w:rPr>
                <w:sz w:val="22"/>
                <w:szCs w:val="22"/>
                <w:lang w:val="en-US"/>
              </w:rPr>
            </w:pPr>
            <w:r>
              <w:rPr>
                <w:b/>
                <w:sz w:val="22"/>
                <w:szCs w:val="22"/>
                <w:lang w:val="en-US"/>
              </w:rPr>
              <w:t>RRA: Increased transmission of COVID-19 in the EU/EEA and the UK – 12th update</w:t>
            </w:r>
            <w:r>
              <w:rPr>
                <w:sz w:val="22"/>
                <w:szCs w:val="22"/>
                <w:lang w:val="en-US"/>
              </w:rPr>
              <w:t xml:space="preserve"> (24.09.2020) (</w:t>
            </w:r>
            <w:proofErr w:type="spellStart"/>
            <w:r>
              <w:rPr>
                <w:sz w:val="22"/>
                <w:szCs w:val="22"/>
                <w:lang w:val="en-US"/>
              </w:rPr>
              <w:t>Gesamtdokument</w:t>
            </w:r>
            <w:proofErr w:type="spellEnd"/>
            <w:r>
              <w:rPr>
                <w:sz w:val="22"/>
                <w:szCs w:val="22"/>
                <w:lang w:val="en-US"/>
              </w:rPr>
              <w:t xml:space="preserve"> </w:t>
            </w:r>
            <w:r>
              <w:fldChar w:fldCharType="begin"/>
            </w:r>
            <w:r>
              <w:rPr>
                <w:lang w:val="en-GB"/>
              </w:rPr>
              <w:instrText xml:space="preserve"> HYPERLINK "covid-19-risk-assessment-increased-transmission-12th-update-september-2020.pdf" </w:instrText>
            </w:r>
            <w:r>
              <w:fldChar w:fldCharType="separate"/>
            </w:r>
            <w:proofErr w:type="spellStart"/>
            <w:r>
              <w:rPr>
                <w:rStyle w:val="Hyperlink"/>
                <w:b/>
                <w:sz w:val="22"/>
                <w:szCs w:val="22"/>
                <w:lang w:val="en-US"/>
              </w:rPr>
              <w:t>hier</w:t>
            </w:r>
            <w:proofErr w:type="spellEnd"/>
            <w:r>
              <w:rPr>
                <w:rStyle w:val="Hyperlink"/>
                <w:b/>
                <w:sz w:val="22"/>
                <w:szCs w:val="22"/>
                <w:lang w:val="en-US"/>
              </w:rPr>
              <w:fldChar w:fldCharType="end"/>
            </w:r>
            <w:r>
              <w:rPr>
                <w:sz w:val="22"/>
                <w:szCs w:val="22"/>
                <w:lang w:val="en-US"/>
              </w:rPr>
              <w:t>)</w:t>
            </w:r>
          </w:p>
          <w:p>
            <w:pPr>
              <w:spacing w:line="276" w:lineRule="auto"/>
              <w:rPr>
                <w:sz w:val="22"/>
                <w:szCs w:val="22"/>
              </w:rPr>
            </w:pPr>
            <w:r>
              <w:rPr>
                <w:sz w:val="22"/>
                <w:szCs w:val="22"/>
              </w:rPr>
              <w:t xml:space="preserve">Hintergrundinformation (Achtung: Datenstand 13.09.2020!) </w:t>
            </w:r>
          </w:p>
          <w:p>
            <w:pPr>
              <w:pStyle w:val="Listenabsatz"/>
              <w:numPr>
                <w:ilvl w:val="0"/>
                <w:numId w:val="13"/>
              </w:numPr>
              <w:rPr>
                <w:sz w:val="22"/>
                <w:szCs w:val="22"/>
              </w:rPr>
            </w:pPr>
            <w:r>
              <w:rPr>
                <w:sz w:val="22"/>
                <w:szCs w:val="22"/>
              </w:rPr>
              <w:t>In der EU gestiegen, erhebliche Unterschiede zwischen den Ländern</w:t>
            </w:r>
          </w:p>
          <w:p>
            <w:pPr>
              <w:pStyle w:val="Listenabsatz"/>
              <w:numPr>
                <w:ilvl w:val="0"/>
                <w:numId w:val="13"/>
              </w:numPr>
              <w:rPr>
                <w:sz w:val="22"/>
                <w:szCs w:val="22"/>
              </w:rPr>
            </w:pPr>
            <w:r>
              <w:rPr>
                <w:sz w:val="22"/>
                <w:szCs w:val="22"/>
              </w:rPr>
              <w:t xml:space="preserve">Anhaltende Anstiege von &gt;10 % in der 14-Tage Meldungsrate in 13 Ländern (KW37): Dänemark, Estland, Frankreich, Irland, die Niederlande, Norwegen, Portugal, </w:t>
            </w:r>
            <w:proofErr w:type="spellStart"/>
            <w:r>
              <w:rPr>
                <w:sz w:val="22"/>
                <w:szCs w:val="22"/>
              </w:rPr>
              <w:t>Slovenien</w:t>
            </w:r>
            <w:proofErr w:type="spellEnd"/>
            <w:r>
              <w:rPr>
                <w:sz w:val="22"/>
                <w:szCs w:val="22"/>
              </w:rPr>
              <w:t>, Slowakei, Spanien, Tschechien, Ungarn, das Vereinigte Königreich</w:t>
            </w:r>
          </w:p>
          <w:p>
            <w:pPr>
              <w:pStyle w:val="Listenabsatz"/>
              <w:numPr>
                <w:ilvl w:val="0"/>
                <w:numId w:val="13"/>
              </w:numPr>
              <w:rPr>
                <w:sz w:val="22"/>
                <w:szCs w:val="22"/>
              </w:rPr>
            </w:pPr>
            <w:r>
              <w:rPr>
                <w:sz w:val="22"/>
                <w:szCs w:val="22"/>
              </w:rPr>
              <w:t xml:space="preserve">Anstieg der Testungsrate in den meisten Ländern </w:t>
            </w:r>
          </w:p>
          <w:p>
            <w:pPr>
              <w:pStyle w:val="Listenabsatz"/>
              <w:numPr>
                <w:ilvl w:val="0"/>
                <w:numId w:val="13"/>
              </w:numPr>
              <w:rPr>
                <w:sz w:val="22"/>
                <w:szCs w:val="22"/>
              </w:rPr>
            </w:pPr>
            <w:r>
              <w:rPr>
                <w:sz w:val="22"/>
                <w:szCs w:val="22"/>
              </w:rPr>
              <w:t>Letzte 4 Wochen: Mehrheit der Fälle (67 %) bei Personen zwischen 15-49 J, davon bilden 25-49 J 45% der Fälle</w:t>
            </w:r>
          </w:p>
          <w:p>
            <w:pPr>
              <w:pStyle w:val="Listenabsatz"/>
              <w:numPr>
                <w:ilvl w:val="0"/>
                <w:numId w:val="13"/>
              </w:numPr>
              <w:rPr>
                <w:sz w:val="22"/>
                <w:szCs w:val="22"/>
              </w:rPr>
            </w:pPr>
            <w:r>
              <w:rPr>
                <w:sz w:val="22"/>
                <w:szCs w:val="22"/>
              </w:rPr>
              <w:t>49 % der Todesfälle bei Personen &gt;80 J</w:t>
            </w:r>
          </w:p>
          <w:p>
            <w:pPr>
              <w:pStyle w:val="Listenabsatz"/>
              <w:numPr>
                <w:ilvl w:val="0"/>
                <w:numId w:val="13"/>
              </w:numPr>
              <w:rPr>
                <w:sz w:val="22"/>
                <w:szCs w:val="22"/>
              </w:rPr>
            </w:pPr>
            <w:r>
              <w:rPr>
                <w:sz w:val="22"/>
                <w:szCs w:val="22"/>
              </w:rPr>
              <w:t xml:space="preserve">Das Medianalter der Todesfälle ist 80 J (71-86 IQR) </w:t>
            </w:r>
          </w:p>
          <w:p>
            <w:pPr>
              <w:pStyle w:val="Listenabsatz"/>
              <w:numPr>
                <w:ilvl w:val="0"/>
                <w:numId w:val="13"/>
              </w:numPr>
              <w:rPr>
                <w:sz w:val="22"/>
                <w:szCs w:val="22"/>
              </w:rPr>
            </w:pPr>
            <w:r>
              <w:rPr>
                <w:sz w:val="22"/>
                <w:szCs w:val="22"/>
              </w:rPr>
              <w:t xml:space="preserve">Letzte 4 Wochen: 239 (0,%) schwere Fälle </w:t>
            </w:r>
          </w:p>
          <w:p>
            <w:pPr>
              <w:pStyle w:val="Listenabsatz"/>
              <w:numPr>
                <w:ilvl w:val="0"/>
                <w:numId w:val="13"/>
              </w:numPr>
              <w:rPr>
                <w:sz w:val="22"/>
                <w:szCs w:val="22"/>
              </w:rPr>
            </w:pPr>
            <w:r>
              <w:rPr>
                <w:sz w:val="22"/>
                <w:szCs w:val="22"/>
              </w:rPr>
              <w:t>Höchster Anteil schwerer Fälle zwischen 15-49 J (4 %)</w:t>
            </w:r>
          </w:p>
          <w:p>
            <w:pPr>
              <w:pStyle w:val="Listenabsatz"/>
              <w:numPr>
                <w:ilvl w:val="0"/>
                <w:numId w:val="13"/>
              </w:numPr>
              <w:rPr>
                <w:sz w:val="22"/>
                <w:szCs w:val="22"/>
              </w:rPr>
            </w:pPr>
            <w:r>
              <w:rPr>
                <w:sz w:val="22"/>
                <w:szCs w:val="22"/>
              </w:rPr>
              <w:lastRenderedPageBreak/>
              <w:t>Medianalter hospitalisierter Fälle 60 J (41-74 IQR)</w:t>
            </w:r>
          </w:p>
          <w:p>
            <w:pPr>
              <w:numPr>
                <w:ilvl w:val="0"/>
                <w:numId w:val="13"/>
              </w:numPr>
              <w:spacing w:line="276" w:lineRule="auto"/>
              <w:rPr>
                <w:sz w:val="22"/>
                <w:szCs w:val="22"/>
              </w:rPr>
            </w:pPr>
            <w:proofErr w:type="spellStart"/>
            <w:r>
              <w:rPr>
                <w:sz w:val="22"/>
                <w:szCs w:val="22"/>
              </w:rPr>
              <w:t>Seroprävalenz</w:t>
            </w:r>
            <w:proofErr w:type="spellEnd"/>
            <w:r>
              <w:rPr>
                <w:sz w:val="22"/>
                <w:szCs w:val="22"/>
              </w:rPr>
              <w:t xml:space="preserve"> für die Mehrheit der Regionen &lt; 15 %</w:t>
            </w:r>
          </w:p>
          <w:p>
            <w:pPr>
              <w:spacing w:line="276" w:lineRule="auto"/>
              <w:ind w:left="1080"/>
              <w:rPr>
                <w:sz w:val="22"/>
                <w:szCs w:val="22"/>
              </w:rPr>
            </w:pPr>
          </w:p>
          <w:p>
            <w:pPr>
              <w:spacing w:line="276" w:lineRule="auto"/>
              <w:rPr>
                <w:sz w:val="22"/>
                <w:szCs w:val="22"/>
              </w:rPr>
            </w:pPr>
            <w:r>
              <w:rPr>
                <w:sz w:val="22"/>
                <w:szCs w:val="22"/>
              </w:rPr>
              <w:t xml:space="preserve">Zum Risiko für die Allgemeinbevölkerung, Risikogruppen sowie die Gesundheitsversorgung: </w:t>
            </w:r>
          </w:p>
          <w:p>
            <w:pPr>
              <w:numPr>
                <w:ilvl w:val="0"/>
                <w:numId w:val="5"/>
              </w:numPr>
              <w:spacing w:line="276" w:lineRule="auto"/>
              <w:rPr>
                <w:sz w:val="22"/>
                <w:szCs w:val="22"/>
              </w:rPr>
            </w:pPr>
            <w:r>
              <w:rPr>
                <w:b/>
                <w:sz w:val="22"/>
                <w:szCs w:val="22"/>
              </w:rPr>
              <w:t>niedrig</w:t>
            </w:r>
            <w:r>
              <w:rPr>
                <w:sz w:val="22"/>
                <w:szCs w:val="22"/>
              </w:rPr>
              <w:t xml:space="preserve"> für die Allgemeinbevölkerung und die Gesundheitsversorgung in Ländern, die </w:t>
            </w:r>
            <w:r>
              <w:rPr>
                <w:sz w:val="22"/>
                <w:szCs w:val="22"/>
                <w:u w:val="single"/>
              </w:rPr>
              <w:t>stabile oder niedrige Melderaten</w:t>
            </w:r>
            <w:r>
              <w:rPr>
                <w:sz w:val="22"/>
                <w:szCs w:val="22"/>
              </w:rPr>
              <w:t xml:space="preserve"> (</w:t>
            </w:r>
            <w:proofErr w:type="spellStart"/>
            <w:r>
              <w:rPr>
                <w:sz w:val="22"/>
                <w:szCs w:val="22"/>
              </w:rPr>
              <w:t>notification</w:t>
            </w:r>
            <w:proofErr w:type="spellEnd"/>
            <w:r>
              <w:rPr>
                <w:sz w:val="22"/>
                <w:szCs w:val="22"/>
              </w:rPr>
              <w:t xml:space="preserve"> </w:t>
            </w:r>
            <w:proofErr w:type="spellStart"/>
            <w:r>
              <w:rPr>
                <w:sz w:val="22"/>
                <w:szCs w:val="22"/>
              </w:rPr>
              <w:t>rates</w:t>
            </w:r>
            <w:proofErr w:type="spellEnd"/>
            <w:r>
              <w:rPr>
                <w:sz w:val="22"/>
                <w:szCs w:val="22"/>
              </w:rPr>
              <w:t xml:space="preserve">) sowie eine </w:t>
            </w:r>
            <w:r>
              <w:rPr>
                <w:sz w:val="22"/>
                <w:szCs w:val="22"/>
                <w:u w:val="single"/>
              </w:rPr>
              <w:t>niedrige Testpositivität</w:t>
            </w:r>
            <w:r>
              <w:rPr>
                <w:sz w:val="22"/>
                <w:szCs w:val="22"/>
              </w:rPr>
              <w:t xml:space="preserve"> haben </w:t>
            </w:r>
          </w:p>
          <w:p>
            <w:pPr>
              <w:numPr>
                <w:ilvl w:val="0"/>
                <w:numId w:val="5"/>
              </w:numPr>
              <w:spacing w:line="276" w:lineRule="auto"/>
              <w:rPr>
                <w:sz w:val="22"/>
                <w:szCs w:val="22"/>
              </w:rPr>
            </w:pPr>
            <w:r>
              <w:rPr>
                <w:b/>
                <w:sz w:val="22"/>
                <w:szCs w:val="22"/>
              </w:rPr>
              <w:t>mäßig</w:t>
            </w:r>
            <w:r>
              <w:rPr>
                <w:sz w:val="22"/>
                <w:szCs w:val="22"/>
              </w:rPr>
              <w:t xml:space="preserve"> für vulnerable Personen in Ländern, die </w:t>
            </w:r>
            <w:r>
              <w:rPr>
                <w:sz w:val="22"/>
                <w:szCs w:val="22"/>
                <w:u w:val="single"/>
              </w:rPr>
              <w:t>stabile oder niedrige Melderaten</w:t>
            </w:r>
            <w:r>
              <w:rPr>
                <w:sz w:val="22"/>
                <w:szCs w:val="22"/>
              </w:rPr>
              <w:t xml:space="preserve"> sowie eine </w:t>
            </w:r>
            <w:r>
              <w:rPr>
                <w:sz w:val="22"/>
                <w:szCs w:val="22"/>
                <w:u w:val="single"/>
              </w:rPr>
              <w:t>niedrige Testpositivität</w:t>
            </w:r>
            <w:r>
              <w:rPr>
                <w:sz w:val="22"/>
                <w:szCs w:val="22"/>
              </w:rPr>
              <w:t xml:space="preserve"> haben</w:t>
            </w:r>
          </w:p>
          <w:p>
            <w:pPr>
              <w:numPr>
                <w:ilvl w:val="0"/>
                <w:numId w:val="5"/>
              </w:numPr>
              <w:spacing w:line="276" w:lineRule="auto"/>
              <w:rPr>
                <w:sz w:val="22"/>
                <w:szCs w:val="22"/>
              </w:rPr>
            </w:pPr>
            <w:r>
              <w:rPr>
                <w:b/>
                <w:sz w:val="22"/>
                <w:szCs w:val="22"/>
              </w:rPr>
              <w:t>mäßig</w:t>
            </w:r>
            <w:r>
              <w:rPr>
                <w:sz w:val="22"/>
                <w:szCs w:val="22"/>
              </w:rPr>
              <w:t xml:space="preserve"> für die Allgemeinbevölkerung und die Gesundheitsversorgung in Ländern, die eine </w:t>
            </w:r>
            <w:r>
              <w:rPr>
                <w:sz w:val="22"/>
                <w:szCs w:val="22"/>
                <w:u w:val="single"/>
              </w:rPr>
              <w:t>hohe oder anhaltende Zunahme der Melderaten oder Testpositivität</w:t>
            </w:r>
            <w:r>
              <w:rPr>
                <w:sz w:val="22"/>
                <w:szCs w:val="22"/>
              </w:rPr>
              <w:t xml:space="preserve"> haben, ABER mit </w:t>
            </w:r>
            <w:r>
              <w:rPr>
                <w:sz w:val="22"/>
                <w:szCs w:val="22"/>
                <w:u w:val="single"/>
              </w:rPr>
              <w:t>hohen Testraten</w:t>
            </w:r>
            <w:r>
              <w:rPr>
                <w:sz w:val="22"/>
                <w:szCs w:val="22"/>
              </w:rPr>
              <w:t xml:space="preserve"> sowie einer </w:t>
            </w:r>
            <w:r>
              <w:rPr>
                <w:sz w:val="22"/>
                <w:szCs w:val="22"/>
                <w:u w:val="single"/>
              </w:rPr>
              <w:t>Übertragung hauptsächlich in jungen Bevölkerungsgruppen</w:t>
            </w:r>
          </w:p>
          <w:p>
            <w:pPr>
              <w:numPr>
                <w:ilvl w:val="0"/>
                <w:numId w:val="5"/>
              </w:numPr>
              <w:spacing w:line="276" w:lineRule="auto"/>
              <w:rPr>
                <w:sz w:val="22"/>
                <w:szCs w:val="22"/>
              </w:rPr>
            </w:pPr>
            <w:r>
              <w:rPr>
                <w:b/>
                <w:sz w:val="22"/>
                <w:szCs w:val="22"/>
              </w:rPr>
              <w:t>hoch</w:t>
            </w:r>
            <w:r>
              <w:rPr>
                <w:sz w:val="22"/>
                <w:szCs w:val="22"/>
              </w:rPr>
              <w:t xml:space="preserve"> für die Allgemeinbevölkerung in Ländern, die eine </w:t>
            </w:r>
            <w:r>
              <w:rPr>
                <w:sz w:val="22"/>
                <w:szCs w:val="22"/>
                <w:u w:val="single"/>
              </w:rPr>
              <w:t>hohe oder anhaltende Zunahme der Melderaten oder eine hohe Testpositivität</w:t>
            </w:r>
            <w:r>
              <w:rPr>
                <w:sz w:val="22"/>
                <w:szCs w:val="22"/>
              </w:rPr>
              <w:t xml:space="preserve"> und einen zunehmenden Anteil von Fällen in </w:t>
            </w:r>
            <w:r>
              <w:rPr>
                <w:sz w:val="22"/>
                <w:szCs w:val="22"/>
                <w:u w:val="single"/>
              </w:rPr>
              <w:t>älteren Bevölkerungsgruppen</w:t>
            </w:r>
            <w:r>
              <w:rPr>
                <w:sz w:val="22"/>
                <w:szCs w:val="22"/>
              </w:rPr>
              <w:t xml:space="preserve"> und/oder eine hohe oder zunehmende COVID-19- </w:t>
            </w:r>
            <w:r>
              <w:rPr>
                <w:sz w:val="22"/>
                <w:szCs w:val="22"/>
                <w:u w:val="single"/>
              </w:rPr>
              <w:t>Mortalität</w:t>
            </w:r>
            <w:r>
              <w:rPr>
                <w:sz w:val="22"/>
                <w:szCs w:val="22"/>
              </w:rPr>
              <w:t xml:space="preserve"> haben </w:t>
            </w:r>
          </w:p>
          <w:p>
            <w:pPr>
              <w:numPr>
                <w:ilvl w:val="0"/>
                <w:numId w:val="5"/>
              </w:numPr>
              <w:spacing w:line="276" w:lineRule="auto"/>
              <w:rPr>
                <w:sz w:val="22"/>
                <w:szCs w:val="22"/>
              </w:rPr>
            </w:pPr>
            <w:r>
              <w:rPr>
                <w:b/>
                <w:sz w:val="22"/>
                <w:szCs w:val="22"/>
              </w:rPr>
              <w:t>sehr hoch</w:t>
            </w:r>
            <w:r>
              <w:rPr>
                <w:sz w:val="22"/>
                <w:szCs w:val="22"/>
              </w:rPr>
              <w:t xml:space="preserve"> für vulnerable Personen, basierend auf einer sehr hohen Wahrscheinlichkeit einer Infektion und sehr schweren Folgen einer Erkrankung.</w:t>
            </w:r>
          </w:p>
          <w:p>
            <w:pPr>
              <w:spacing w:line="276" w:lineRule="auto"/>
              <w:rPr>
                <w:sz w:val="22"/>
                <w:szCs w:val="22"/>
              </w:rPr>
            </w:pPr>
          </w:p>
          <w:p>
            <w:pPr>
              <w:spacing w:line="276" w:lineRule="auto"/>
              <w:rPr>
                <w:sz w:val="22"/>
                <w:szCs w:val="22"/>
              </w:rPr>
            </w:pPr>
            <w:r>
              <w:rPr>
                <w:sz w:val="22"/>
                <w:szCs w:val="22"/>
              </w:rPr>
              <w:t>Länder kategorisiert nach Trend: „</w:t>
            </w:r>
            <w:proofErr w:type="spellStart"/>
            <w:r>
              <w:rPr>
                <w:sz w:val="22"/>
                <w:szCs w:val="22"/>
              </w:rPr>
              <w:t>stable</w:t>
            </w:r>
            <w:proofErr w:type="spellEnd"/>
            <w:r>
              <w:rPr>
                <w:sz w:val="22"/>
                <w:szCs w:val="22"/>
              </w:rPr>
              <w:t>“ oder „</w:t>
            </w:r>
            <w:proofErr w:type="spellStart"/>
            <w:r>
              <w:rPr>
                <w:sz w:val="22"/>
                <w:szCs w:val="22"/>
              </w:rPr>
              <w:t>concerning</w:t>
            </w:r>
            <w:proofErr w:type="spellEnd"/>
            <w:r>
              <w:rPr>
                <w:sz w:val="22"/>
                <w:szCs w:val="22"/>
              </w:rPr>
              <w:t>“</w:t>
            </w:r>
          </w:p>
          <w:p>
            <w:pPr>
              <w:spacing w:line="276" w:lineRule="auto"/>
              <w:rPr>
                <w:sz w:val="22"/>
                <w:szCs w:val="22"/>
              </w:rPr>
            </w:pPr>
            <w:r>
              <w:rPr>
                <w:sz w:val="22"/>
                <w:szCs w:val="22"/>
              </w:rPr>
              <w:t>„</w:t>
            </w:r>
            <w:proofErr w:type="spellStart"/>
            <w:r>
              <w:rPr>
                <w:sz w:val="22"/>
                <w:szCs w:val="22"/>
              </w:rPr>
              <w:t>Concerning</w:t>
            </w:r>
            <w:proofErr w:type="spellEnd"/>
            <w:r>
              <w:rPr>
                <w:sz w:val="22"/>
                <w:szCs w:val="22"/>
              </w:rPr>
              <w:t>“ = mindestens 2 von den folgenden Kriterien:</w:t>
            </w:r>
          </w:p>
          <w:p>
            <w:pPr>
              <w:numPr>
                <w:ilvl w:val="0"/>
                <w:numId w:val="5"/>
              </w:numPr>
              <w:spacing w:line="276" w:lineRule="auto"/>
              <w:rPr>
                <w:sz w:val="22"/>
                <w:szCs w:val="22"/>
                <w:lang w:val="en-US"/>
              </w:rPr>
            </w:pPr>
            <w:r>
              <w:rPr>
                <w:sz w:val="22"/>
                <w:szCs w:val="22"/>
                <w:lang w:val="en-US"/>
              </w:rPr>
              <w:t xml:space="preserve">high (≥ 60/100 000) or sustained increase (≥7 days) in 14-day case notification rates </w:t>
            </w:r>
          </w:p>
          <w:p>
            <w:pPr>
              <w:numPr>
                <w:ilvl w:val="0"/>
                <w:numId w:val="5"/>
              </w:numPr>
              <w:spacing w:line="276" w:lineRule="auto"/>
              <w:rPr>
                <w:sz w:val="22"/>
                <w:szCs w:val="22"/>
                <w:lang w:val="en-US"/>
              </w:rPr>
            </w:pPr>
            <w:r>
              <w:rPr>
                <w:sz w:val="22"/>
                <w:szCs w:val="22"/>
                <w:lang w:val="en-US"/>
              </w:rPr>
              <w:t xml:space="preserve">high (≥60/100 000) or sustained increase (≥7 days) in 14-day case notification rates in older age groups (65-79 years old AND/OR 80 years or older) </w:t>
            </w:r>
          </w:p>
          <w:p>
            <w:pPr>
              <w:numPr>
                <w:ilvl w:val="0"/>
                <w:numId w:val="5"/>
              </w:numPr>
              <w:spacing w:line="276" w:lineRule="auto"/>
              <w:rPr>
                <w:sz w:val="22"/>
                <w:szCs w:val="22"/>
                <w:lang w:val="en-US"/>
              </w:rPr>
            </w:pPr>
            <w:r>
              <w:rPr>
                <w:sz w:val="22"/>
                <w:szCs w:val="22"/>
                <w:lang w:val="en-US"/>
              </w:rPr>
              <w:t xml:space="preserve">high (≥ 3%) or sustained increase (≥7 days) in test positivity </w:t>
            </w:r>
          </w:p>
          <w:p>
            <w:pPr>
              <w:numPr>
                <w:ilvl w:val="0"/>
                <w:numId w:val="5"/>
              </w:numPr>
              <w:spacing w:line="276" w:lineRule="auto"/>
              <w:rPr>
                <w:sz w:val="22"/>
                <w:szCs w:val="22"/>
                <w:lang w:val="en-US"/>
              </w:rPr>
            </w:pPr>
            <w:r>
              <w:rPr>
                <w:sz w:val="22"/>
                <w:szCs w:val="22"/>
                <w:lang w:val="en-US"/>
              </w:rPr>
              <w:t>high (≥ 10/1 000 000) or sustained increase (≥7 days) in 14-day death rates</w:t>
            </w:r>
          </w:p>
          <w:p>
            <w:pPr>
              <w:numPr>
                <w:ilvl w:val="0"/>
                <w:numId w:val="5"/>
              </w:numPr>
              <w:spacing w:line="276" w:lineRule="auto"/>
              <w:rPr>
                <w:sz w:val="22"/>
                <w:szCs w:val="22"/>
              </w:rPr>
            </w:pPr>
            <w:r>
              <w:rPr>
                <w:sz w:val="22"/>
                <w:szCs w:val="22"/>
              </w:rPr>
              <w:t>2 Kategorien für Länder mit “</w:t>
            </w:r>
            <w:proofErr w:type="spellStart"/>
            <w:r>
              <w:rPr>
                <w:sz w:val="22"/>
                <w:szCs w:val="22"/>
              </w:rPr>
              <w:t>concerning</w:t>
            </w:r>
            <w:proofErr w:type="spellEnd"/>
            <w:r>
              <w:rPr>
                <w:sz w:val="22"/>
                <w:szCs w:val="22"/>
              </w:rPr>
              <w:t xml:space="preserve">” </w:t>
            </w:r>
            <w:proofErr w:type="spellStart"/>
            <w:r>
              <w:rPr>
                <w:sz w:val="22"/>
                <w:szCs w:val="22"/>
              </w:rPr>
              <w:t>trends</w:t>
            </w:r>
            <w:proofErr w:type="spellEnd"/>
            <w:r>
              <w:rPr>
                <w:sz w:val="22"/>
                <w:szCs w:val="22"/>
              </w:rPr>
              <w:t>:</w:t>
            </w:r>
          </w:p>
          <w:p>
            <w:pPr>
              <w:numPr>
                <w:ilvl w:val="0"/>
                <w:numId w:val="5"/>
              </w:numPr>
              <w:spacing w:line="276" w:lineRule="auto"/>
              <w:rPr>
                <w:sz w:val="22"/>
                <w:szCs w:val="22"/>
                <w:lang w:val="en-US"/>
              </w:rPr>
            </w:pPr>
            <w:r>
              <w:rPr>
                <w:sz w:val="22"/>
                <w:szCs w:val="22"/>
                <w:lang w:val="en-US"/>
              </w:rPr>
              <w:t>high or increasing notification rates due to high testing rates; transmission primarily in young individuals with a low proportion of severe cases and deaths</w:t>
            </w:r>
          </w:p>
          <w:p>
            <w:pPr>
              <w:numPr>
                <w:ilvl w:val="0"/>
                <w:numId w:val="5"/>
              </w:numPr>
              <w:spacing w:line="276" w:lineRule="auto"/>
              <w:rPr>
                <w:sz w:val="22"/>
                <w:szCs w:val="22"/>
                <w:lang w:val="en-US"/>
              </w:rPr>
            </w:pPr>
            <w:r>
              <w:rPr>
                <w:sz w:val="22"/>
                <w:szCs w:val="22"/>
                <w:lang w:val="en-US"/>
              </w:rPr>
              <w:t xml:space="preserve">high or increasing notification rates in older individuals </w:t>
            </w:r>
            <w:r>
              <w:rPr>
                <w:sz w:val="22"/>
                <w:szCs w:val="22"/>
                <w:lang w:val="en-US"/>
              </w:rPr>
              <w:lastRenderedPageBreak/>
              <w:t>and an increase in proportion of hospitalized and severe cases</w:t>
            </w:r>
          </w:p>
          <w:p>
            <w:pPr>
              <w:spacing w:before="120" w:line="276" w:lineRule="auto"/>
              <w:rPr>
                <w:b/>
                <w:sz w:val="22"/>
                <w:szCs w:val="22"/>
              </w:rPr>
            </w:pPr>
            <w:r>
              <w:rPr>
                <w:b/>
                <w:sz w:val="22"/>
                <w:szCs w:val="22"/>
              </w:rPr>
              <w:t xml:space="preserve">National </w:t>
            </w:r>
          </w:p>
          <w:p>
            <w:pPr>
              <w:rPr>
                <w:sz w:val="22"/>
                <w:szCs w:val="22"/>
              </w:rPr>
            </w:pPr>
            <w:r>
              <w:rPr>
                <w:b/>
                <w:sz w:val="22"/>
                <w:szCs w:val="22"/>
              </w:rPr>
              <w:t>Fallzahlen, Todesfälle, Trend</w:t>
            </w:r>
            <w:r>
              <w:rPr>
                <w:sz w:val="22"/>
                <w:szCs w:val="22"/>
              </w:rPr>
              <w:t xml:space="preserve"> (Folien</w:t>
            </w:r>
            <w:r>
              <w:t xml:space="preserve"> </w:t>
            </w:r>
            <w:hyperlink r:id="rId9" w:history="1">
              <w:r>
                <w:rPr>
                  <w:rStyle w:val="Hyperlink"/>
                  <w:b/>
                  <w:sz w:val="22"/>
                  <w:szCs w:val="22"/>
                </w:rPr>
                <w:t>hier</w:t>
              </w:r>
            </w:hyperlink>
            <w:r>
              <w:rPr>
                <w:sz w:val="22"/>
                <w:szCs w:val="22"/>
              </w:rPr>
              <w:t xml:space="preserve">) </w:t>
            </w:r>
          </w:p>
          <w:p>
            <w:pPr>
              <w:pStyle w:val="Listenabsatz"/>
              <w:numPr>
                <w:ilvl w:val="0"/>
                <w:numId w:val="14"/>
              </w:numPr>
              <w:rPr>
                <w:sz w:val="22"/>
                <w:szCs w:val="22"/>
              </w:rPr>
            </w:pPr>
            <w:r>
              <w:rPr>
                <w:sz w:val="22"/>
                <w:szCs w:val="22"/>
              </w:rPr>
              <w:t xml:space="preserve">25.09.2020: + 2.153 bestätigte Fälle, 15 Verstorbene IST 296 (+3 zu Vortag), R: 0,91; 7-Tage-R: 1,01 </w:t>
            </w:r>
          </w:p>
          <w:p>
            <w:pPr>
              <w:pStyle w:val="Listenabsatz"/>
              <w:numPr>
                <w:ilvl w:val="0"/>
                <w:numId w:val="14"/>
              </w:numPr>
              <w:rPr>
                <w:sz w:val="22"/>
                <w:szCs w:val="22"/>
              </w:rPr>
            </w:pPr>
            <w:r>
              <w:rPr>
                <w:sz w:val="22"/>
                <w:szCs w:val="22"/>
              </w:rPr>
              <w:t xml:space="preserve">7-Tage-Inzidenz der Bundesländer: alle ansteigend, sehr schnell v.a. Berlin (vermutlich bedingt durch ca. 300 nicht-abgerufene Meldungen älteren Datums auf der Plattform zwischen Labor28 und Gesundheitsamt) </w:t>
            </w:r>
          </w:p>
          <w:p>
            <w:pPr>
              <w:pStyle w:val="Listenabsatz"/>
              <w:numPr>
                <w:ilvl w:val="0"/>
                <w:numId w:val="14"/>
              </w:numPr>
              <w:rPr>
                <w:sz w:val="22"/>
                <w:szCs w:val="22"/>
              </w:rPr>
            </w:pPr>
            <w:r>
              <w:rPr>
                <w:sz w:val="22"/>
                <w:szCs w:val="22"/>
              </w:rPr>
              <w:t>Berlin: Friedrichshain-Kreuzberg, Mitte, Neukölln und Charlottenburg-Wilmersdorf mit 7d-Inzidenz zwischen 41,5 und 32,8 (führend SK Hamm 96,0; SK Remscheid 71,2 und LK Dingolfing-Landau 64,4)</w:t>
            </w:r>
          </w:p>
          <w:p>
            <w:pPr>
              <w:pStyle w:val="Listenabsatz"/>
              <w:numPr>
                <w:ilvl w:val="0"/>
                <w:numId w:val="14"/>
              </w:numPr>
              <w:rPr>
                <w:sz w:val="22"/>
                <w:szCs w:val="22"/>
              </w:rPr>
            </w:pPr>
            <w:proofErr w:type="spellStart"/>
            <w:r>
              <w:rPr>
                <w:sz w:val="22"/>
                <w:szCs w:val="22"/>
              </w:rPr>
              <w:t>Positivenquote</w:t>
            </w:r>
            <w:proofErr w:type="spellEnd"/>
            <w:r>
              <w:t xml:space="preserve"> </w:t>
            </w:r>
            <w:r>
              <w:rPr>
                <w:sz w:val="22"/>
                <w:szCs w:val="22"/>
              </w:rPr>
              <w:t xml:space="preserve">der SARS-CoV-2 Testungen 1,2 % (deutlich höher als in den letzten Wochen, Testkapazitäten der Labore weiterhin hoch mit ca. 1,5 </w:t>
            </w:r>
            <w:proofErr w:type="spellStart"/>
            <w:r>
              <w:rPr>
                <w:sz w:val="22"/>
                <w:szCs w:val="22"/>
              </w:rPr>
              <w:t>Mio</w:t>
            </w:r>
            <w:proofErr w:type="spellEnd"/>
            <w:r>
              <w:rPr>
                <w:sz w:val="22"/>
                <w:szCs w:val="22"/>
              </w:rPr>
              <w:t xml:space="preserve"> pro Woche; </w:t>
            </w:r>
          </w:p>
          <w:p>
            <w:pPr>
              <w:pStyle w:val="Listenabsatz"/>
              <w:numPr>
                <w:ilvl w:val="0"/>
                <w:numId w:val="14"/>
              </w:numPr>
              <w:rPr>
                <w:sz w:val="22"/>
                <w:szCs w:val="22"/>
              </w:rPr>
            </w:pPr>
            <w:r>
              <w:rPr>
                <w:sz w:val="22"/>
                <w:szCs w:val="22"/>
              </w:rPr>
              <w:t>Wöchentliche Sterbefallzahlen KW34: 17.032 Todesfälle (-2.261 zur Vorwoche), ca. 3% über dem Durchschnitt der Vorjahre 2016-19 (Nachmeldungen aber noch möglich);</w:t>
            </w:r>
          </w:p>
          <w:p>
            <w:pPr>
              <w:pStyle w:val="Listenabsatz"/>
              <w:numPr>
                <w:ilvl w:val="0"/>
                <w:numId w:val="14"/>
              </w:numPr>
              <w:rPr>
                <w:sz w:val="22"/>
                <w:szCs w:val="22"/>
              </w:rPr>
            </w:pPr>
            <w:r>
              <w:rPr>
                <w:sz w:val="22"/>
                <w:szCs w:val="22"/>
              </w:rPr>
              <w:t xml:space="preserve">Frühere Todesfälle zu ca. 30 % ambulant, </w:t>
            </w:r>
            <w:r>
              <w:rPr>
                <w:i/>
                <w:sz w:val="22"/>
                <w:szCs w:val="22"/>
              </w:rPr>
              <w:t>zu aktuellen Todesfällen wird dies erst noch ermittelt (hospitalisiert oder ambulant)</w:t>
            </w:r>
            <w:r>
              <w:rPr>
                <w:sz w:val="22"/>
                <w:szCs w:val="22"/>
              </w:rPr>
              <w:t xml:space="preserve"> </w:t>
            </w:r>
          </w:p>
          <w:p>
            <w:pPr>
              <w:rPr>
                <w:b/>
                <w:sz w:val="22"/>
                <w:szCs w:val="22"/>
              </w:rPr>
            </w:pPr>
          </w:p>
          <w:p>
            <w:pPr>
              <w:rPr>
                <w:b/>
                <w:sz w:val="22"/>
                <w:szCs w:val="22"/>
              </w:rPr>
            </w:pPr>
            <w:proofErr w:type="spellStart"/>
            <w:r>
              <w:rPr>
                <w:b/>
                <w:sz w:val="22"/>
                <w:szCs w:val="22"/>
              </w:rPr>
              <w:t>Syndromische</w:t>
            </w:r>
            <w:proofErr w:type="spellEnd"/>
            <w:r>
              <w:rPr>
                <w:b/>
                <w:sz w:val="22"/>
                <w:szCs w:val="22"/>
              </w:rPr>
              <w:t xml:space="preserve"> Surveillance </w:t>
            </w:r>
          </w:p>
          <w:p>
            <w:pPr>
              <w:rPr>
                <w:b/>
                <w:sz w:val="22"/>
                <w:szCs w:val="22"/>
              </w:rPr>
            </w:pPr>
          </w:p>
          <w:p>
            <w:pPr>
              <w:pStyle w:val="Listenabsatz"/>
              <w:numPr>
                <w:ilvl w:val="0"/>
                <w:numId w:val="7"/>
              </w:numPr>
              <w:rPr>
                <w:sz w:val="22"/>
                <w:szCs w:val="22"/>
              </w:rPr>
            </w:pPr>
            <w:r>
              <w:rPr>
                <w:sz w:val="22"/>
                <w:szCs w:val="22"/>
              </w:rPr>
              <w:t>Nur Mittwoch</w:t>
            </w:r>
          </w:p>
          <w:p>
            <w:pPr>
              <w:rPr>
                <w:b/>
                <w:sz w:val="22"/>
                <w:szCs w:val="22"/>
              </w:rPr>
            </w:pPr>
          </w:p>
          <w:p>
            <w:pPr>
              <w:rPr>
                <w:b/>
                <w:sz w:val="22"/>
                <w:szCs w:val="22"/>
              </w:rPr>
            </w:pPr>
            <w:r>
              <w:rPr>
                <w:b/>
                <w:sz w:val="22"/>
                <w:szCs w:val="22"/>
              </w:rPr>
              <w:t xml:space="preserve">SARS-CoV-2 in ARS </w:t>
            </w:r>
          </w:p>
          <w:p>
            <w:pPr>
              <w:rPr>
                <w:b/>
                <w:sz w:val="22"/>
                <w:szCs w:val="22"/>
              </w:rPr>
            </w:pPr>
          </w:p>
          <w:p>
            <w:pPr>
              <w:pStyle w:val="Listenabsatz"/>
              <w:numPr>
                <w:ilvl w:val="0"/>
                <w:numId w:val="8"/>
              </w:numPr>
              <w:rPr>
                <w:sz w:val="22"/>
                <w:szCs w:val="22"/>
              </w:rPr>
            </w:pPr>
            <w:r>
              <w:rPr>
                <w:bCs/>
                <w:sz w:val="22"/>
                <w:szCs w:val="22"/>
              </w:rPr>
              <w:t>Nur Mittwoch</w:t>
            </w:r>
          </w:p>
          <w:p>
            <w:pPr>
              <w:rPr>
                <w:sz w:val="22"/>
                <w:szCs w:val="22"/>
              </w:rPr>
            </w:pPr>
          </w:p>
          <w:p>
            <w:pPr>
              <w:rPr>
                <w:sz w:val="22"/>
                <w:szCs w:val="22"/>
              </w:rPr>
            </w:pPr>
            <w:r>
              <w:rPr>
                <w:b/>
                <w:sz w:val="22"/>
                <w:szCs w:val="22"/>
              </w:rPr>
              <w:t>Die COVID-19-Daten von Bayern und München im Vergleich</w:t>
            </w:r>
            <w:r>
              <w:rPr>
                <w:sz w:val="22"/>
                <w:szCs w:val="22"/>
              </w:rPr>
              <w:t xml:space="preserve"> (Dokument </w:t>
            </w:r>
            <w:hyperlink r:id="rId10" w:history="1">
              <w:r>
                <w:rPr>
                  <w:rStyle w:val="Hyperlink"/>
                  <w:b/>
                  <w:sz w:val="22"/>
                  <w:szCs w:val="22"/>
                </w:rPr>
                <w:t>hier</w:t>
              </w:r>
            </w:hyperlink>
            <w:r>
              <w:rPr>
                <w:sz w:val="22"/>
                <w:szCs w:val="22"/>
              </w:rPr>
              <w:t xml:space="preserve">) </w:t>
            </w:r>
          </w:p>
          <w:p>
            <w:pPr>
              <w:pStyle w:val="Listenabsatz"/>
              <w:numPr>
                <w:ilvl w:val="0"/>
                <w:numId w:val="22"/>
              </w:numPr>
              <w:rPr>
                <w:sz w:val="22"/>
                <w:szCs w:val="22"/>
              </w:rPr>
            </w:pPr>
            <w:r>
              <w:rPr>
                <w:sz w:val="22"/>
                <w:szCs w:val="22"/>
              </w:rPr>
              <w:t>Dienstreise 20.9. bis 23.9.2020: sehr schnelle Mobilisierung erforderlich und machbar, Notwendigkeit retrospektiv fraglich</w:t>
            </w:r>
          </w:p>
          <w:p>
            <w:pPr>
              <w:pStyle w:val="Listenabsatz"/>
              <w:numPr>
                <w:ilvl w:val="0"/>
                <w:numId w:val="22"/>
              </w:numPr>
              <w:rPr>
                <w:sz w:val="22"/>
                <w:szCs w:val="22"/>
              </w:rPr>
            </w:pPr>
            <w:r>
              <w:rPr>
                <w:sz w:val="22"/>
                <w:szCs w:val="22"/>
              </w:rPr>
              <w:t>7-Tages-Inzidenz nach Bundesländern relativ zum Ferienende/Schulstart – Bayern hat keinen Rückgang nach den Ferien, wie viele andere Bundesländer.</w:t>
            </w:r>
          </w:p>
          <w:p>
            <w:pPr>
              <w:pStyle w:val="Listenabsatz"/>
              <w:numPr>
                <w:ilvl w:val="0"/>
                <w:numId w:val="22"/>
              </w:numPr>
              <w:rPr>
                <w:sz w:val="22"/>
                <w:szCs w:val="22"/>
              </w:rPr>
            </w:pPr>
            <w:r>
              <w:rPr>
                <w:sz w:val="22"/>
                <w:szCs w:val="22"/>
              </w:rPr>
              <w:t>Möglicher Erklärungsansatz: Anstieg liegt im allgemeinen Trend (Trendüberlappung)</w:t>
            </w:r>
          </w:p>
          <w:p>
            <w:pPr>
              <w:pStyle w:val="Listenabsatz"/>
              <w:numPr>
                <w:ilvl w:val="0"/>
                <w:numId w:val="22"/>
              </w:numPr>
              <w:rPr>
                <w:sz w:val="22"/>
                <w:szCs w:val="22"/>
              </w:rPr>
            </w:pPr>
            <w:r>
              <w:rPr>
                <w:sz w:val="22"/>
                <w:szCs w:val="22"/>
              </w:rPr>
              <w:t xml:space="preserve">Altersadjustierte 7 Tagesinzidenzen (10 Jahresschritte) Bayern: Ausbrüche von jüngeren Altersgruppen getriggert (vor allem 20- bis 29-Jährige) </w:t>
            </w:r>
          </w:p>
          <w:p>
            <w:pPr>
              <w:pStyle w:val="Listenabsatz"/>
              <w:numPr>
                <w:ilvl w:val="0"/>
                <w:numId w:val="22"/>
              </w:numPr>
              <w:rPr>
                <w:sz w:val="22"/>
                <w:szCs w:val="22"/>
              </w:rPr>
            </w:pPr>
            <w:r>
              <w:rPr>
                <w:sz w:val="22"/>
                <w:szCs w:val="22"/>
              </w:rPr>
              <w:t>Altersadjustierte 7 Tagesinzidenzen (5 Jahresschritte bis 35)</w:t>
            </w:r>
            <w:r>
              <w:rPr>
                <w:sz w:val="22"/>
                <w:szCs w:val="22"/>
              </w:rPr>
              <w:br/>
              <w:t xml:space="preserve">insbesondere Altersgruppe 10-19 muss in 10-14 und 15-19 geteilt werden: 0- bis 14-Jährige tragen nicht viel zu Ausbrüchen, diese werden von älteren Altersgruppen </w:t>
            </w:r>
            <w:r>
              <w:rPr>
                <w:sz w:val="22"/>
                <w:szCs w:val="22"/>
              </w:rPr>
              <w:lastRenderedPageBreak/>
              <w:t xml:space="preserve">getriggert (siehe Garmisch-Partenkirchen: eine einzige Altersgruppe trägt gesamten Peak) </w:t>
            </w:r>
          </w:p>
          <w:p>
            <w:pPr>
              <w:pStyle w:val="Listenabsatz"/>
              <w:numPr>
                <w:ilvl w:val="0"/>
                <w:numId w:val="22"/>
              </w:numPr>
              <w:rPr>
                <w:sz w:val="22"/>
                <w:szCs w:val="22"/>
              </w:rPr>
            </w:pPr>
            <w:r>
              <w:rPr>
                <w:sz w:val="22"/>
                <w:szCs w:val="22"/>
              </w:rPr>
              <w:t>Exposition Deutschland vs. Exposition Ausland: v.a. Rosenheim (Balkan)</w:t>
            </w:r>
          </w:p>
          <w:p>
            <w:pPr>
              <w:rPr>
                <w:sz w:val="22"/>
                <w:szCs w:val="22"/>
              </w:rPr>
            </w:pPr>
            <w:r>
              <w:rPr>
                <w:sz w:val="22"/>
                <w:szCs w:val="22"/>
              </w:rPr>
              <w:sym w:font="Wingdings" w:char="F0E0"/>
            </w:r>
            <w:r>
              <w:rPr>
                <w:sz w:val="22"/>
                <w:szCs w:val="22"/>
              </w:rPr>
              <w:t xml:space="preserve"> Infektionsgeschehen derzeit v.a. durch Freizeit und private Haushalte getriggert</w:t>
            </w:r>
          </w:p>
          <w:p>
            <w:pPr>
              <w:rPr>
                <w:sz w:val="22"/>
                <w:szCs w:val="22"/>
              </w:rPr>
            </w:pPr>
            <w:r>
              <w:rPr>
                <w:sz w:val="22"/>
                <w:szCs w:val="22"/>
              </w:rPr>
              <w:sym w:font="Wingdings" w:char="F0E0"/>
            </w:r>
            <w:r>
              <w:rPr>
                <w:sz w:val="22"/>
                <w:szCs w:val="22"/>
              </w:rPr>
              <w:t xml:space="preserve"> Bereits erste Ausbrüche in Krankenhäusern und Altenheimen zu verzeichnen</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FG32/INIG</w:t>
            </w:r>
          </w:p>
          <w:p>
            <w:pPr>
              <w:rPr>
                <w:sz w:val="22"/>
                <w:szCs w:val="22"/>
              </w:rPr>
            </w:pPr>
            <w:r>
              <w:rPr>
                <w:sz w:val="22"/>
                <w:szCs w:val="22"/>
              </w:rPr>
              <w:t>Sarah McFarland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FG37 / Tim Eckmanns </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ZIG</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Aktuelle Risikobewertung</w:t>
            </w:r>
          </w:p>
          <w:p>
            <w:pPr>
              <w:spacing w:line="276" w:lineRule="auto"/>
              <w:rPr>
                <w:b/>
                <w:sz w:val="28"/>
                <w:szCs w:val="28"/>
              </w:rPr>
            </w:pPr>
            <w:r>
              <w:rPr>
                <w:b/>
                <w:sz w:val="28"/>
                <w:szCs w:val="28"/>
              </w:rPr>
              <w:t xml:space="preserve"> •    </w:t>
            </w:r>
            <w:r>
              <w:rPr>
                <w:sz w:val="22"/>
                <w:szCs w:val="22"/>
              </w:rPr>
              <w:t>Nicht besprochen</w:t>
            </w:r>
          </w:p>
        </w:tc>
        <w:tc>
          <w:tcPr>
            <w:tcW w:w="1492" w:type="dxa"/>
          </w:tcPr>
          <w:p>
            <w:pPr>
              <w:rPr>
                <w:sz w:val="22"/>
                <w:szCs w:val="22"/>
              </w:rPr>
            </w:pPr>
            <w:r>
              <w:rPr>
                <w:sz w:val="22"/>
                <w:szCs w:val="22"/>
              </w:rPr>
              <w:t>alle</w:t>
            </w: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rPr>
                <w:sz w:val="22"/>
                <w:szCs w:val="22"/>
              </w:rPr>
            </w:pPr>
            <w:r>
              <w:rPr>
                <w:sz w:val="22"/>
                <w:szCs w:val="22"/>
              </w:rPr>
              <w:t>•    Nicht anwesend</w:t>
            </w:r>
          </w:p>
          <w:p>
            <w:pPr>
              <w:spacing w:before="120"/>
              <w:rPr>
                <w:b/>
                <w:sz w:val="22"/>
                <w:szCs w:val="22"/>
              </w:rPr>
            </w:pPr>
            <w:r>
              <w:rPr>
                <w:b/>
                <w:sz w:val="22"/>
                <w:szCs w:val="22"/>
              </w:rPr>
              <w:t>Presse</w:t>
            </w:r>
          </w:p>
          <w:p>
            <w:pPr>
              <w:rPr>
                <w:sz w:val="22"/>
                <w:szCs w:val="22"/>
              </w:rPr>
            </w:pPr>
            <w:r>
              <w:rPr>
                <w:sz w:val="22"/>
                <w:szCs w:val="22"/>
              </w:rPr>
              <w:t xml:space="preserve">•    Nicht besprochen </w:t>
            </w:r>
          </w:p>
          <w:p>
            <w:pPr>
              <w:rPr>
                <w:sz w:val="22"/>
                <w:szCs w:val="22"/>
              </w:rPr>
            </w:pPr>
          </w:p>
        </w:tc>
        <w:tc>
          <w:tcPr>
            <w:tcW w:w="1492" w:type="dxa"/>
          </w:tcPr>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jc w:val="both"/>
              <w:rPr>
                <w:sz w:val="22"/>
                <w:szCs w:val="22"/>
              </w:rPr>
            </w:pPr>
            <w:r>
              <w:rPr>
                <w:i/>
                <w:sz w:val="22"/>
                <w:szCs w:val="22"/>
              </w:rPr>
              <w:t xml:space="preserve">•    </w:t>
            </w:r>
            <w:r>
              <w:rPr>
                <w:sz w:val="22"/>
                <w:szCs w:val="22"/>
              </w:rPr>
              <w:t>Nicht besprochen</w:t>
            </w:r>
          </w:p>
          <w:p>
            <w:pPr>
              <w:jc w:val="both"/>
              <w:rPr>
                <w:i/>
                <w:sz w:val="22"/>
                <w:szCs w:val="22"/>
              </w:rPr>
            </w:pPr>
          </w:p>
        </w:tc>
        <w:tc>
          <w:tcPr>
            <w:tcW w:w="1492" w:type="dxa"/>
          </w:tcPr>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spacing w:line="276" w:lineRule="auto"/>
              <w:rPr>
                <w:b/>
                <w:sz w:val="28"/>
              </w:rPr>
            </w:pPr>
          </w:p>
          <w:p>
            <w:pPr>
              <w:pStyle w:val="Listenabsatz"/>
              <w:numPr>
                <w:ilvl w:val="0"/>
                <w:numId w:val="6"/>
              </w:numPr>
              <w:spacing w:line="276" w:lineRule="auto"/>
              <w:ind w:left="340" w:hanging="340"/>
              <w:rPr>
                <w:b/>
                <w:sz w:val="22"/>
              </w:rPr>
            </w:pPr>
            <w:r>
              <w:rPr>
                <w:b/>
                <w:sz w:val="22"/>
              </w:rPr>
              <w:t>Allgemein</w:t>
            </w:r>
            <w:r>
              <w:rPr>
                <w:sz w:val="22"/>
                <w:szCs w:val="22"/>
              </w:rPr>
              <w:t xml:space="preserve"> </w:t>
            </w:r>
          </w:p>
          <w:p>
            <w:pPr>
              <w:rPr>
                <w:sz w:val="22"/>
                <w:szCs w:val="22"/>
              </w:rPr>
            </w:pPr>
          </w:p>
          <w:p>
            <w:pPr>
              <w:rPr>
                <w:sz w:val="22"/>
                <w:szCs w:val="22"/>
              </w:rPr>
            </w:pPr>
            <w:r>
              <w:rPr>
                <w:b/>
                <w:sz w:val="22"/>
                <w:szCs w:val="22"/>
              </w:rPr>
              <w:t>Initiativbericht an BMG – Quarantäne für Haushalte</w:t>
            </w:r>
            <w:r>
              <w:rPr>
                <w:sz w:val="22"/>
                <w:szCs w:val="22"/>
              </w:rPr>
              <w:t xml:space="preserve"> (Dokument </w:t>
            </w:r>
            <w:hyperlink r:id="rId11" w:history="1">
              <w:r>
                <w:rPr>
                  <w:rStyle w:val="Hyperlink"/>
                  <w:b/>
                  <w:sz w:val="22"/>
                  <w:szCs w:val="22"/>
                </w:rPr>
                <w:t>hier</w:t>
              </w:r>
            </w:hyperlink>
            <w:r>
              <w:rPr>
                <w:sz w:val="22"/>
                <w:szCs w:val="22"/>
              </w:rPr>
              <w:t>)</w:t>
            </w:r>
          </w:p>
          <w:p>
            <w:pPr>
              <w:pStyle w:val="Listenabsatz"/>
              <w:rPr>
                <w:sz w:val="22"/>
                <w:szCs w:val="22"/>
              </w:rPr>
            </w:pPr>
          </w:p>
          <w:p>
            <w:pPr>
              <w:pStyle w:val="Listenabsatz"/>
              <w:numPr>
                <w:ilvl w:val="0"/>
                <w:numId w:val="16"/>
              </w:numPr>
              <w:rPr>
                <w:sz w:val="22"/>
                <w:szCs w:val="22"/>
              </w:rPr>
            </w:pPr>
            <w:r>
              <w:rPr>
                <w:sz w:val="22"/>
                <w:szCs w:val="22"/>
              </w:rPr>
              <w:t>Quarantänedauer 14 d nach letztem infektiösem Kontakt, bei Infektiosität von bis zu 10 d: mind. 24 d Quarantäne für Mehrpersonenhaushalte</w:t>
            </w:r>
          </w:p>
          <w:p>
            <w:pPr>
              <w:pStyle w:val="Listenabsatz"/>
              <w:numPr>
                <w:ilvl w:val="0"/>
                <w:numId w:val="16"/>
              </w:numPr>
              <w:rPr>
                <w:sz w:val="22"/>
                <w:szCs w:val="22"/>
              </w:rPr>
            </w:pPr>
            <w:r>
              <w:rPr>
                <w:sz w:val="22"/>
                <w:szCs w:val="22"/>
              </w:rPr>
              <w:t xml:space="preserve">Analyse der Meldedaten von Ausbrüchen in Haushalten (HH): bei 2 bis 5 Fällen pro HH am Tag 0 Anteil Sekundärfalle in etwa ähnlich hoch (Abb. 1) – denkbar durch Kombination aus Fällen kurzer Inkubationszeit oder gemeinsamer externer Quelle überall hoch </w:t>
            </w:r>
          </w:p>
          <w:p>
            <w:pPr>
              <w:pStyle w:val="Listenabsatz"/>
              <w:rPr>
                <w:sz w:val="22"/>
                <w:szCs w:val="22"/>
              </w:rPr>
            </w:pPr>
            <w:r>
              <w:rPr>
                <w:sz w:val="22"/>
                <w:szCs w:val="22"/>
              </w:rPr>
              <w:sym w:font="Wingdings" w:char="F0E0"/>
            </w:r>
            <w:r>
              <w:rPr>
                <w:sz w:val="22"/>
                <w:szCs w:val="22"/>
              </w:rPr>
              <w:t xml:space="preserve"> Anzahl der Fälle pro HH irrelevant, ca. 98 % bis d 14 </w:t>
            </w:r>
          </w:p>
          <w:p>
            <w:pPr>
              <w:pStyle w:val="Listenabsatz"/>
              <w:rPr>
                <w:sz w:val="22"/>
                <w:szCs w:val="22"/>
              </w:rPr>
            </w:pPr>
            <w:r>
              <w:rPr>
                <w:sz w:val="22"/>
                <w:szCs w:val="22"/>
              </w:rPr>
              <w:sym w:font="Wingdings" w:char="F0E0"/>
            </w:r>
            <w:r>
              <w:rPr>
                <w:sz w:val="22"/>
                <w:szCs w:val="22"/>
              </w:rPr>
              <w:t xml:space="preserve"> Exposition findet in HH frühzeitig statt, Symptombeginne weiterer Fälle hängen quasi ausschließlich davon ab, wann die Erkrankung des Primärfalles beginnt und nicht davon, ob oder wann weitere Fälle im Haushalt auftreten </w:t>
            </w:r>
          </w:p>
          <w:p>
            <w:pPr>
              <w:pStyle w:val="Listenabsatz"/>
              <w:numPr>
                <w:ilvl w:val="0"/>
                <w:numId w:val="16"/>
              </w:numPr>
              <w:rPr>
                <w:sz w:val="22"/>
                <w:szCs w:val="22"/>
              </w:rPr>
            </w:pPr>
            <w:r>
              <w:rPr>
                <w:sz w:val="22"/>
                <w:szCs w:val="22"/>
              </w:rPr>
              <w:t>Bisheriges Vorgehen: max. ca. 24 d Quarantäne</w:t>
            </w:r>
          </w:p>
          <w:p>
            <w:pPr>
              <w:pStyle w:val="Listenabsatz"/>
              <w:numPr>
                <w:ilvl w:val="0"/>
                <w:numId w:val="16"/>
              </w:numPr>
              <w:rPr>
                <w:sz w:val="22"/>
                <w:szCs w:val="22"/>
              </w:rPr>
            </w:pPr>
            <w:r>
              <w:rPr>
                <w:sz w:val="22"/>
                <w:szCs w:val="22"/>
              </w:rPr>
              <w:t xml:space="preserve">Vorschlag zukünftig (Abb. 2): </w:t>
            </w:r>
          </w:p>
          <w:p>
            <w:pPr>
              <w:pStyle w:val="Listenabsatz"/>
              <w:numPr>
                <w:ilvl w:val="1"/>
                <w:numId w:val="16"/>
              </w:numPr>
              <w:rPr>
                <w:sz w:val="22"/>
                <w:szCs w:val="22"/>
              </w:rPr>
            </w:pPr>
            <w:r>
              <w:rPr>
                <w:sz w:val="22"/>
                <w:szCs w:val="22"/>
              </w:rPr>
              <w:lastRenderedPageBreak/>
              <w:t xml:space="preserve">Laborbestätigte Fälle mit mildem Verlauf werden (wie bisher) für 10 d isoliert </w:t>
            </w:r>
          </w:p>
          <w:p>
            <w:pPr>
              <w:pStyle w:val="Listenabsatz"/>
              <w:numPr>
                <w:ilvl w:val="1"/>
                <w:numId w:val="16"/>
              </w:numPr>
              <w:rPr>
                <w:sz w:val="22"/>
                <w:szCs w:val="22"/>
              </w:rPr>
            </w:pPr>
            <w:r>
              <w:rPr>
                <w:sz w:val="22"/>
                <w:szCs w:val="22"/>
              </w:rPr>
              <w:t>Erkrankte Haushaltsmitglieder werden (wie bisher) getestet</w:t>
            </w:r>
          </w:p>
          <w:p>
            <w:pPr>
              <w:pStyle w:val="Listenabsatz"/>
              <w:numPr>
                <w:ilvl w:val="1"/>
                <w:numId w:val="16"/>
              </w:numPr>
              <w:rPr>
                <w:sz w:val="22"/>
                <w:szCs w:val="22"/>
              </w:rPr>
            </w:pPr>
            <w:r>
              <w:rPr>
                <w:sz w:val="22"/>
                <w:szCs w:val="22"/>
              </w:rPr>
              <w:t>Weitere auftretende Fälle werden (wie bisher) für 10 d ab ihrem eigenen Symptombeginn isoliert</w:t>
            </w:r>
          </w:p>
          <w:p>
            <w:pPr>
              <w:pStyle w:val="Listenabsatz"/>
              <w:numPr>
                <w:ilvl w:val="1"/>
                <w:numId w:val="16"/>
              </w:numPr>
              <w:rPr>
                <w:sz w:val="22"/>
                <w:szCs w:val="22"/>
              </w:rPr>
            </w:pPr>
            <w:r>
              <w:rPr>
                <w:sz w:val="22"/>
                <w:szCs w:val="22"/>
              </w:rPr>
              <w:t xml:space="preserve">Erkrankte/Test-negative oder HH-Mitglieder ohne Erkrankung werden max.14 d </w:t>
            </w:r>
            <w:proofErr w:type="spellStart"/>
            <w:r>
              <w:rPr>
                <w:sz w:val="22"/>
                <w:szCs w:val="22"/>
              </w:rPr>
              <w:t>quarantänisiert</w:t>
            </w:r>
            <w:proofErr w:type="spellEnd"/>
            <w:r>
              <w:rPr>
                <w:sz w:val="22"/>
                <w:szCs w:val="22"/>
              </w:rPr>
              <w:t xml:space="preserve">, </w:t>
            </w:r>
            <w:proofErr w:type="spellStart"/>
            <w:r>
              <w:rPr>
                <w:sz w:val="22"/>
                <w:szCs w:val="22"/>
              </w:rPr>
              <w:t>unabh</w:t>
            </w:r>
            <w:proofErr w:type="spellEnd"/>
            <w:r>
              <w:rPr>
                <w:sz w:val="22"/>
                <w:szCs w:val="22"/>
              </w:rPr>
              <w:t>. vom Auftreten weiterer Fälle im HH (NEU)</w:t>
            </w:r>
          </w:p>
          <w:p>
            <w:pPr>
              <w:pStyle w:val="Listenabsatz"/>
              <w:numPr>
                <w:ilvl w:val="1"/>
                <w:numId w:val="16"/>
              </w:numPr>
              <w:rPr>
                <w:sz w:val="22"/>
                <w:szCs w:val="22"/>
              </w:rPr>
            </w:pPr>
            <w:r>
              <w:rPr>
                <w:sz w:val="22"/>
                <w:szCs w:val="22"/>
              </w:rPr>
              <w:t xml:space="preserve">Erkrankte/Test-negative oder nicht erkrankte </w:t>
            </w:r>
            <w:proofErr w:type="spellStart"/>
            <w:r>
              <w:rPr>
                <w:sz w:val="22"/>
                <w:szCs w:val="22"/>
              </w:rPr>
              <w:t>Perso-nen</w:t>
            </w:r>
            <w:proofErr w:type="spellEnd"/>
            <w:r>
              <w:rPr>
                <w:sz w:val="22"/>
                <w:szCs w:val="22"/>
              </w:rPr>
              <w:t xml:space="preserve"> sollen sich von d 15-20 wie Kontaktpersonen II° verhalten (Kontakte auf Min. beschränken, Isolation &amp; Testung bei Erkrankung) (NEU)</w:t>
            </w:r>
          </w:p>
          <w:p>
            <w:pPr>
              <w:rPr>
                <w:sz w:val="22"/>
                <w:szCs w:val="22"/>
              </w:rPr>
            </w:pPr>
            <w:r>
              <w:sym w:font="Wingdings" w:char="F0E0"/>
            </w:r>
            <w:r>
              <w:rPr>
                <w:sz w:val="22"/>
                <w:szCs w:val="22"/>
              </w:rPr>
              <w:t xml:space="preserve"> </w:t>
            </w:r>
            <w:r>
              <w:rPr>
                <w:i/>
                <w:sz w:val="22"/>
                <w:szCs w:val="22"/>
              </w:rPr>
              <w:t>erhebliche Quarantänedauer-Ersparnis bei weiterhin guter Vertretbarkeit und Effizienz</w:t>
            </w:r>
          </w:p>
          <w:p>
            <w:pPr>
              <w:rPr>
                <w:sz w:val="22"/>
                <w:szCs w:val="22"/>
              </w:rPr>
            </w:pPr>
            <w:r>
              <w:rPr>
                <w:sz w:val="22"/>
                <w:szCs w:val="22"/>
              </w:rPr>
              <w:sym w:font="Wingdings" w:char="F0E0"/>
            </w:r>
            <w:r>
              <w:rPr>
                <w:sz w:val="22"/>
                <w:szCs w:val="22"/>
              </w:rPr>
              <w:t xml:space="preserve"> </w:t>
            </w:r>
            <w:r>
              <w:rPr>
                <w:i/>
                <w:sz w:val="22"/>
                <w:szCs w:val="22"/>
              </w:rPr>
              <w:t>Zustimmung zu zukünftiger Handhabung</w:t>
            </w:r>
          </w:p>
          <w:p>
            <w:pPr>
              <w:rPr>
                <w:sz w:val="22"/>
                <w:szCs w:val="22"/>
              </w:rPr>
            </w:pPr>
          </w:p>
          <w:p>
            <w:pPr>
              <w:rPr>
                <w:sz w:val="22"/>
                <w:szCs w:val="22"/>
                <w:highlight w:val="yellow"/>
              </w:rPr>
            </w:pPr>
            <w:r>
              <w:rPr>
                <w:b/>
                <w:sz w:val="22"/>
                <w:szCs w:val="22"/>
              </w:rPr>
              <w:t>SARS-CoV-2 Testkriterien: Anpassungen für Herbst 2020</w:t>
            </w:r>
            <w:r>
              <w:rPr>
                <w:sz w:val="22"/>
                <w:szCs w:val="22"/>
              </w:rPr>
              <w:t xml:space="preserve"> (Dokument </w:t>
            </w:r>
            <w:hyperlink r:id="rId12" w:history="1">
              <w:r>
                <w:rPr>
                  <w:rStyle w:val="Hyperlink"/>
                  <w:b/>
                  <w:sz w:val="22"/>
                  <w:szCs w:val="22"/>
                </w:rPr>
                <w:t>hier</w:t>
              </w:r>
            </w:hyperlink>
            <w:r>
              <w:rPr>
                <w:sz w:val="22"/>
                <w:szCs w:val="22"/>
              </w:rPr>
              <w:t xml:space="preserve">) </w:t>
            </w:r>
          </w:p>
          <w:p>
            <w:pPr>
              <w:rPr>
                <w:sz w:val="22"/>
                <w:szCs w:val="22"/>
              </w:rPr>
            </w:pPr>
          </w:p>
          <w:p>
            <w:pPr>
              <w:pStyle w:val="Listenabsatz"/>
              <w:numPr>
                <w:ilvl w:val="0"/>
                <w:numId w:val="17"/>
              </w:numPr>
              <w:rPr>
                <w:sz w:val="22"/>
                <w:szCs w:val="22"/>
              </w:rPr>
            </w:pPr>
            <w:r>
              <w:rPr>
                <w:sz w:val="22"/>
                <w:szCs w:val="22"/>
              </w:rPr>
              <w:t xml:space="preserve">Anpassung der Testkriterien für kommende ARE Saison, um Überlastung Arztpraxen zu verhindern und optimale Nutzung von Labor-Kapazitäten zu ermöglichen </w:t>
            </w:r>
          </w:p>
          <w:p>
            <w:pPr>
              <w:pStyle w:val="Listenabsatz"/>
              <w:numPr>
                <w:ilvl w:val="0"/>
                <w:numId w:val="17"/>
              </w:numPr>
              <w:rPr>
                <w:sz w:val="22"/>
                <w:szCs w:val="22"/>
              </w:rPr>
            </w:pPr>
            <w:r>
              <w:rPr>
                <w:sz w:val="22"/>
                <w:szCs w:val="22"/>
              </w:rPr>
              <w:t>Beschränkung auf Prio1-Personen</w:t>
            </w:r>
          </w:p>
          <w:p>
            <w:pPr>
              <w:pStyle w:val="Listenabsatz"/>
              <w:numPr>
                <w:ilvl w:val="0"/>
                <w:numId w:val="17"/>
              </w:numPr>
              <w:rPr>
                <w:sz w:val="22"/>
                <w:szCs w:val="22"/>
              </w:rPr>
            </w:pPr>
            <w:r>
              <w:rPr>
                <w:sz w:val="22"/>
                <w:szCs w:val="22"/>
              </w:rPr>
              <w:t xml:space="preserve">keine </w:t>
            </w:r>
            <w:proofErr w:type="spellStart"/>
            <w:r>
              <w:rPr>
                <w:sz w:val="22"/>
                <w:szCs w:val="22"/>
              </w:rPr>
              <w:t>vollst</w:t>
            </w:r>
            <w:proofErr w:type="spellEnd"/>
            <w:r>
              <w:rPr>
                <w:sz w:val="22"/>
                <w:szCs w:val="22"/>
              </w:rPr>
              <w:t>. Erfassung aller Fälle möglich</w:t>
            </w:r>
          </w:p>
          <w:p>
            <w:pPr>
              <w:pStyle w:val="Listenabsatz"/>
              <w:numPr>
                <w:ilvl w:val="0"/>
                <w:numId w:val="17"/>
              </w:numPr>
              <w:rPr>
                <w:sz w:val="22"/>
                <w:szCs w:val="22"/>
              </w:rPr>
            </w:pPr>
            <w:r>
              <w:rPr>
                <w:sz w:val="22"/>
                <w:szCs w:val="22"/>
              </w:rPr>
              <w:t>wichtige Maßnahme Selbstisolation bei ARE von mind. 5 d als akzeptables Maß</w:t>
            </w:r>
          </w:p>
          <w:p>
            <w:pPr>
              <w:rPr>
                <w:sz w:val="22"/>
                <w:szCs w:val="22"/>
              </w:rPr>
            </w:pPr>
            <w:r>
              <w:rPr>
                <w:sz w:val="22"/>
                <w:szCs w:val="22"/>
              </w:rPr>
              <w:t xml:space="preserve">Ziele: </w:t>
            </w:r>
          </w:p>
          <w:p>
            <w:pPr>
              <w:rPr>
                <w:sz w:val="22"/>
                <w:szCs w:val="22"/>
              </w:rPr>
            </w:pPr>
            <w:r>
              <w:rPr>
                <w:sz w:val="22"/>
                <w:szCs w:val="22"/>
              </w:rPr>
              <w:t xml:space="preserve">1. Senken der SARS-CoV-2-bedingten Mortalität, indem </w:t>
            </w:r>
          </w:p>
          <w:p>
            <w:pPr>
              <w:ind w:left="720"/>
              <w:rPr>
                <w:sz w:val="22"/>
                <w:szCs w:val="22"/>
              </w:rPr>
            </w:pPr>
            <w:r>
              <w:rPr>
                <w:sz w:val="22"/>
                <w:szCs w:val="22"/>
              </w:rPr>
              <w:t xml:space="preserve">a. Fälle mit erhöhtem Risiko für einen schweren Verlauf rechtzeitig erkannt und </w:t>
            </w:r>
          </w:p>
          <w:p>
            <w:pPr>
              <w:ind w:left="720"/>
              <w:rPr>
                <w:sz w:val="22"/>
                <w:szCs w:val="22"/>
              </w:rPr>
            </w:pPr>
            <w:r>
              <w:rPr>
                <w:sz w:val="22"/>
                <w:szCs w:val="22"/>
              </w:rPr>
              <w:t>b. Erkrankungen bei Kontaktpersonen zu vulnerablen Personen(gruppen) früh identifiziert werden.</w:t>
            </w:r>
          </w:p>
          <w:p>
            <w:pPr>
              <w:rPr>
                <w:sz w:val="22"/>
                <w:szCs w:val="22"/>
              </w:rPr>
            </w:pPr>
            <w:r>
              <w:rPr>
                <w:sz w:val="22"/>
                <w:szCs w:val="22"/>
              </w:rPr>
              <w:t xml:space="preserve">2. Erkennung von Fällen mit höherer Wahrscheinlichkeit einer   </w:t>
            </w:r>
          </w:p>
          <w:p>
            <w:pPr>
              <w:rPr>
                <w:sz w:val="22"/>
                <w:szCs w:val="22"/>
              </w:rPr>
            </w:pPr>
            <w:r>
              <w:rPr>
                <w:sz w:val="22"/>
                <w:szCs w:val="22"/>
              </w:rPr>
              <w:t xml:space="preserve">     Exposition. </w:t>
            </w:r>
          </w:p>
          <w:p>
            <w:pPr>
              <w:rPr>
                <w:sz w:val="22"/>
                <w:szCs w:val="22"/>
              </w:rPr>
            </w:pPr>
            <w:r>
              <w:rPr>
                <w:sz w:val="22"/>
                <w:szCs w:val="22"/>
              </w:rPr>
              <w:t xml:space="preserve">3. Verbreitungsgefahren retrospektiv erkennen und prospektiv </w:t>
            </w:r>
          </w:p>
          <w:p>
            <w:pPr>
              <w:rPr>
                <w:sz w:val="22"/>
                <w:szCs w:val="22"/>
              </w:rPr>
            </w:pPr>
            <w:r>
              <w:rPr>
                <w:sz w:val="22"/>
                <w:szCs w:val="22"/>
              </w:rPr>
              <w:t xml:space="preserve">    verhindern</w:t>
            </w:r>
          </w:p>
          <w:p>
            <w:pPr>
              <w:rPr>
                <w:sz w:val="22"/>
                <w:szCs w:val="22"/>
              </w:rPr>
            </w:pPr>
          </w:p>
          <w:p>
            <w:pPr>
              <w:rPr>
                <w:sz w:val="22"/>
                <w:szCs w:val="22"/>
              </w:rPr>
            </w:pPr>
            <w:r>
              <w:rPr>
                <w:sz w:val="22"/>
                <w:szCs w:val="22"/>
              </w:rPr>
              <w:t xml:space="preserve">Testkriterien Symptomatische Personen (ARE) wurden angepasst (siehe Kommentar im Text) </w:t>
            </w:r>
          </w:p>
          <w:p>
            <w:pPr>
              <w:rPr>
                <w:sz w:val="22"/>
                <w:szCs w:val="22"/>
              </w:rPr>
            </w:pPr>
          </w:p>
          <w:p>
            <w:pPr>
              <w:rPr>
                <w:sz w:val="22"/>
                <w:szCs w:val="22"/>
              </w:rPr>
            </w:pPr>
            <w:r>
              <w:rPr>
                <w:sz w:val="22"/>
                <w:szCs w:val="22"/>
              </w:rPr>
              <w:t xml:space="preserve">Hinweise: </w:t>
            </w:r>
          </w:p>
          <w:p>
            <w:pPr>
              <w:pStyle w:val="Listenabsatz"/>
              <w:numPr>
                <w:ilvl w:val="0"/>
                <w:numId w:val="18"/>
              </w:numPr>
              <w:rPr>
                <w:i/>
                <w:sz w:val="22"/>
                <w:szCs w:val="22"/>
              </w:rPr>
            </w:pPr>
            <w:r>
              <w:rPr>
                <w:i/>
                <w:sz w:val="22"/>
                <w:szCs w:val="22"/>
              </w:rPr>
              <w:t>Verwendung des Terminus „Testkriterien“, nicht „Teststrategie“ (</w:t>
            </w:r>
            <w:proofErr w:type="spellStart"/>
            <w:r>
              <w:rPr>
                <w:i/>
                <w:sz w:val="22"/>
                <w:szCs w:val="22"/>
              </w:rPr>
              <w:t>wording</w:t>
            </w:r>
            <w:proofErr w:type="spellEnd"/>
            <w:r>
              <w:rPr>
                <w:i/>
                <w:sz w:val="22"/>
                <w:szCs w:val="22"/>
              </w:rPr>
              <w:t xml:space="preserve"> des BMG) </w:t>
            </w:r>
          </w:p>
          <w:p>
            <w:pPr>
              <w:pStyle w:val="Listenabsatz"/>
              <w:numPr>
                <w:ilvl w:val="0"/>
                <w:numId w:val="18"/>
              </w:numPr>
              <w:rPr>
                <w:sz w:val="22"/>
                <w:szCs w:val="22"/>
              </w:rPr>
            </w:pPr>
            <w:r>
              <w:rPr>
                <w:sz w:val="22"/>
                <w:szCs w:val="22"/>
              </w:rPr>
              <w:t xml:space="preserve">Sinnhaftigkeit der Angabe einer zeitlichen Komponente bei Aufenthalt in geschlossenen Räumen diskutabel, da i.d.R. Zeitintervall von 30 min automatisch erfüllt (Schulstundenlänge) </w:t>
            </w:r>
          </w:p>
          <w:p>
            <w:pPr>
              <w:pStyle w:val="Listenabsatz"/>
              <w:numPr>
                <w:ilvl w:val="0"/>
                <w:numId w:val="18"/>
              </w:numPr>
              <w:rPr>
                <w:sz w:val="22"/>
                <w:szCs w:val="22"/>
              </w:rPr>
            </w:pPr>
            <w:r>
              <w:rPr>
                <w:sz w:val="22"/>
                <w:szCs w:val="22"/>
              </w:rPr>
              <w:t xml:space="preserve">Verwendung des Terminus „mind.“ anstelle von „ungefähr“ </w:t>
            </w:r>
          </w:p>
          <w:p>
            <w:pPr>
              <w:pStyle w:val="Listenabsatz"/>
              <w:numPr>
                <w:ilvl w:val="0"/>
                <w:numId w:val="19"/>
              </w:numPr>
              <w:rPr>
                <w:sz w:val="22"/>
                <w:szCs w:val="22"/>
              </w:rPr>
            </w:pPr>
            <w:r>
              <w:rPr>
                <w:i/>
                <w:sz w:val="22"/>
                <w:szCs w:val="22"/>
              </w:rPr>
              <w:t xml:space="preserve">Krisenstab bittet, die Zeit auf „5 d und 48 h Symptomfreiheit“ </w:t>
            </w:r>
            <w:r>
              <w:rPr>
                <w:i/>
                <w:sz w:val="22"/>
                <w:szCs w:val="22"/>
              </w:rPr>
              <w:lastRenderedPageBreak/>
              <w:t>festzulegen, auch in der mitgeltenden Veröffentlichung zu Schulen</w:t>
            </w:r>
            <w:r>
              <w:rPr>
                <w:sz w:val="22"/>
                <w:szCs w:val="22"/>
              </w:rPr>
              <w:t xml:space="preserve"> (Compliance ist ein relevanter Faktor)</w:t>
            </w:r>
          </w:p>
          <w:p>
            <w:pPr>
              <w:pStyle w:val="Listenabsatz"/>
              <w:numPr>
                <w:ilvl w:val="0"/>
                <w:numId w:val="19"/>
              </w:numPr>
              <w:rPr>
                <w:sz w:val="22"/>
                <w:szCs w:val="22"/>
              </w:rPr>
            </w:pPr>
            <w:r>
              <w:rPr>
                <w:sz w:val="22"/>
                <w:szCs w:val="22"/>
              </w:rPr>
              <w:t xml:space="preserve">Wechsel zu dieser neuen Teststrategie abhängig von Schwellenwert </w:t>
            </w:r>
          </w:p>
          <w:p>
            <w:pPr>
              <w:pStyle w:val="Listenabsatz"/>
              <w:numPr>
                <w:ilvl w:val="0"/>
                <w:numId w:val="19"/>
              </w:numPr>
              <w:rPr>
                <w:i/>
                <w:sz w:val="22"/>
                <w:szCs w:val="22"/>
              </w:rPr>
            </w:pPr>
            <w:r>
              <w:rPr>
                <w:i/>
                <w:sz w:val="22"/>
                <w:szCs w:val="22"/>
              </w:rPr>
              <w:t>vor Veröffentlichung Absprache mit relevanten Stakeholdern wie KBV, AG Diagnostik BMG, AGI</w:t>
            </w:r>
          </w:p>
          <w:p>
            <w:pPr>
              <w:pStyle w:val="Listenabsatz"/>
              <w:numPr>
                <w:ilvl w:val="0"/>
                <w:numId w:val="19"/>
              </w:numPr>
              <w:rPr>
                <w:i/>
                <w:sz w:val="22"/>
                <w:szCs w:val="22"/>
              </w:rPr>
            </w:pPr>
            <w:r>
              <w:rPr>
                <w:i/>
                <w:sz w:val="22"/>
                <w:szCs w:val="22"/>
              </w:rPr>
              <w:t xml:space="preserve">Anpassung Flussdiagramm </w:t>
            </w:r>
          </w:p>
          <w:p>
            <w:pPr>
              <w:pStyle w:val="Listenabsatz"/>
              <w:numPr>
                <w:ilvl w:val="0"/>
                <w:numId w:val="19"/>
              </w:numPr>
              <w:rPr>
                <w:i/>
                <w:sz w:val="22"/>
                <w:szCs w:val="22"/>
              </w:rPr>
            </w:pPr>
            <w:r>
              <w:rPr>
                <w:i/>
                <w:sz w:val="22"/>
                <w:szCs w:val="22"/>
              </w:rPr>
              <w:t xml:space="preserve">neue Teststrategie soll aufgrund steigender Fallzahlen möglichst zeitnah veröffentlicht werden </w:t>
            </w:r>
          </w:p>
          <w:p>
            <w:pPr>
              <w:pStyle w:val="Listenabsatz"/>
              <w:numPr>
                <w:ilvl w:val="0"/>
                <w:numId w:val="19"/>
              </w:numPr>
              <w:rPr>
                <w:sz w:val="22"/>
                <w:szCs w:val="22"/>
              </w:rPr>
            </w:pPr>
            <w:r>
              <w:rPr>
                <w:sz w:val="22"/>
                <w:szCs w:val="22"/>
              </w:rPr>
              <w:t xml:space="preserve">Priorisierung Teststrategie: wie bisher symptomatisch vor asymptomatisch; anlassbezogen vor nicht-anlassbezogen </w:t>
            </w:r>
          </w:p>
          <w:p>
            <w:pPr>
              <w:rPr>
                <w:sz w:val="22"/>
                <w:szCs w:val="22"/>
              </w:rPr>
            </w:pPr>
          </w:p>
          <w:p>
            <w:pPr>
              <w:rPr>
                <w:b/>
                <w:sz w:val="22"/>
                <w:szCs w:val="22"/>
              </w:rPr>
            </w:pPr>
            <w:r>
              <w:rPr>
                <w:b/>
                <w:sz w:val="22"/>
                <w:szCs w:val="22"/>
              </w:rPr>
              <w:t xml:space="preserve">Präventionsmaßnahmen in Schulen während der COVID-19 Pandemie </w:t>
            </w:r>
          </w:p>
          <w:p>
            <w:pPr>
              <w:rPr>
                <w:sz w:val="22"/>
                <w:szCs w:val="22"/>
              </w:rPr>
            </w:pPr>
            <w:r>
              <w:rPr>
                <w:sz w:val="22"/>
                <w:szCs w:val="22"/>
              </w:rPr>
              <w:t xml:space="preserve">(Präventionsmaßnahmen - Dokument </w:t>
            </w:r>
            <w:hyperlink r:id="rId13" w:history="1">
              <w:r>
                <w:rPr>
                  <w:rStyle w:val="Hyperlink"/>
                  <w:b/>
                  <w:sz w:val="22"/>
                  <w:szCs w:val="22"/>
                </w:rPr>
                <w:t>hier</w:t>
              </w:r>
            </w:hyperlink>
            <w:r>
              <w:rPr>
                <w:sz w:val="22"/>
                <w:szCs w:val="22"/>
              </w:rPr>
              <w:t xml:space="preserve">) </w:t>
            </w:r>
          </w:p>
          <w:p>
            <w:pPr>
              <w:rPr>
                <w:sz w:val="22"/>
                <w:szCs w:val="22"/>
                <w:highlight w:val="yellow"/>
              </w:rPr>
            </w:pPr>
            <w:r>
              <w:rPr>
                <w:sz w:val="22"/>
                <w:szCs w:val="22"/>
              </w:rPr>
              <w:t>(Orientierende Schwellenwerte/Indikatoren für infektionspräventive Maßnahmen in Schulen - Tabelle</w:t>
            </w:r>
            <w:r>
              <w:rPr>
                <w:b/>
                <w:sz w:val="22"/>
                <w:szCs w:val="22"/>
              </w:rPr>
              <w:t xml:space="preserve"> </w:t>
            </w:r>
            <w:hyperlink r:id="rId14" w:history="1">
              <w:r>
                <w:rPr>
                  <w:rStyle w:val="Hyperlink"/>
                  <w:b/>
                  <w:sz w:val="22"/>
                  <w:szCs w:val="22"/>
                </w:rPr>
                <w:t>hier</w:t>
              </w:r>
            </w:hyperlink>
            <w:r>
              <w:rPr>
                <w:sz w:val="22"/>
                <w:szCs w:val="22"/>
              </w:rPr>
              <w:t>)</w:t>
            </w:r>
          </w:p>
          <w:p>
            <w:pPr>
              <w:rPr>
                <w:b/>
                <w:sz w:val="22"/>
                <w:szCs w:val="22"/>
              </w:rPr>
            </w:pPr>
          </w:p>
          <w:p>
            <w:pPr>
              <w:rPr>
                <w:sz w:val="22"/>
                <w:szCs w:val="22"/>
              </w:rPr>
            </w:pPr>
            <w:r>
              <w:rPr>
                <w:sz w:val="22"/>
                <w:szCs w:val="22"/>
              </w:rPr>
              <w:t>Zielgruppe: hygieneverantwortliche Personen an Schulen</w:t>
            </w:r>
          </w:p>
          <w:p>
            <w:pPr>
              <w:rPr>
                <w:sz w:val="22"/>
                <w:szCs w:val="22"/>
              </w:rPr>
            </w:pPr>
            <w:r>
              <w:rPr>
                <w:sz w:val="22"/>
                <w:szCs w:val="22"/>
              </w:rPr>
              <w:t>Zur Diskussion:</w:t>
            </w:r>
          </w:p>
          <w:p>
            <w:pPr>
              <w:pStyle w:val="Listenabsatz"/>
              <w:numPr>
                <w:ilvl w:val="0"/>
                <w:numId w:val="20"/>
              </w:numPr>
              <w:rPr>
                <w:sz w:val="22"/>
                <w:szCs w:val="22"/>
              </w:rPr>
            </w:pPr>
            <w:r>
              <w:rPr>
                <w:sz w:val="22"/>
                <w:szCs w:val="22"/>
              </w:rPr>
              <w:t>Zu Präventionsmaßnahmen</w:t>
            </w:r>
          </w:p>
          <w:p>
            <w:pPr>
              <w:pStyle w:val="Listenabsatz"/>
              <w:numPr>
                <w:ilvl w:val="1"/>
                <w:numId w:val="20"/>
              </w:numPr>
              <w:rPr>
                <w:sz w:val="22"/>
                <w:szCs w:val="22"/>
              </w:rPr>
            </w:pPr>
            <w:r>
              <w:rPr>
                <w:sz w:val="22"/>
                <w:szCs w:val="22"/>
              </w:rPr>
              <w:t>Pädagogisches Personal sollte auch im Unterricht einen MNS oder MNB tragen, zumindest dann, wenn ein Mindestabstand von 1,5 m zur Schülerschaft nicht sichergestellt werden kann (Ergebnis s.u.)</w:t>
            </w:r>
          </w:p>
          <w:p>
            <w:pPr>
              <w:pStyle w:val="Listenabsatz"/>
              <w:numPr>
                <w:ilvl w:val="0"/>
                <w:numId w:val="20"/>
              </w:numPr>
              <w:rPr>
                <w:sz w:val="22"/>
                <w:szCs w:val="22"/>
              </w:rPr>
            </w:pPr>
            <w:r>
              <w:rPr>
                <w:sz w:val="22"/>
                <w:szCs w:val="22"/>
              </w:rPr>
              <w:t>Zu Vorgehen bei Auftreten eines Verdachtsfalls an der Schule</w:t>
            </w:r>
          </w:p>
          <w:p>
            <w:pPr>
              <w:pStyle w:val="Listenabsatz"/>
              <w:numPr>
                <w:ilvl w:val="1"/>
                <w:numId w:val="20"/>
              </w:numPr>
              <w:rPr>
                <w:sz w:val="22"/>
                <w:szCs w:val="22"/>
              </w:rPr>
            </w:pPr>
            <w:r>
              <w:rPr>
                <w:sz w:val="22"/>
                <w:szCs w:val="22"/>
              </w:rPr>
              <w:t xml:space="preserve"> [Es] sollten Personen (</w:t>
            </w:r>
            <w:proofErr w:type="spellStart"/>
            <w:r>
              <w:rPr>
                <w:sz w:val="22"/>
                <w:szCs w:val="22"/>
              </w:rPr>
              <w:t>SuS</w:t>
            </w:r>
            <w:proofErr w:type="spellEnd"/>
            <w:r>
              <w:rPr>
                <w:sz w:val="22"/>
                <w:szCs w:val="22"/>
              </w:rPr>
              <w:t xml:space="preserve"> oder pädagogisches Personal) bei Erkrankungen </w:t>
            </w:r>
            <w:proofErr w:type="gramStart"/>
            <w:r>
              <w:rPr>
                <w:sz w:val="22"/>
                <w:szCs w:val="22"/>
              </w:rPr>
              <w:t>mit jeglicher respiratorischer Symptomatik</w:t>
            </w:r>
            <w:proofErr w:type="gramEnd"/>
            <w:r>
              <w:rPr>
                <w:sz w:val="22"/>
                <w:szCs w:val="22"/>
              </w:rPr>
              <w:t xml:space="preserve"> orientierend für 5 Tage zu Hause bleiben und die Schule erst wieder besuchen wenn sie beschwerdefrei sind</w:t>
            </w:r>
          </w:p>
          <w:p>
            <w:pPr>
              <w:pStyle w:val="Listenabsatz"/>
              <w:numPr>
                <w:ilvl w:val="1"/>
                <w:numId w:val="20"/>
              </w:numPr>
              <w:rPr>
                <w:sz w:val="22"/>
                <w:szCs w:val="22"/>
              </w:rPr>
            </w:pPr>
            <w:r>
              <w:rPr>
                <w:sz w:val="22"/>
                <w:szCs w:val="22"/>
              </w:rPr>
              <w:t>Vorgehen bei Auftreten Verdachtsfall 5 d wird mit 48 h angepasst</w:t>
            </w:r>
          </w:p>
          <w:p>
            <w:pPr>
              <w:pStyle w:val="Listenabsatz"/>
              <w:numPr>
                <w:ilvl w:val="0"/>
                <w:numId w:val="21"/>
              </w:numPr>
              <w:rPr>
                <w:sz w:val="22"/>
                <w:szCs w:val="22"/>
              </w:rPr>
            </w:pPr>
            <w:r>
              <w:rPr>
                <w:sz w:val="22"/>
                <w:szCs w:val="22"/>
              </w:rPr>
              <w:t xml:space="preserve">Zur Verwendung von Risikoindikatoren und Grenzwerten zur Einschätzung des Eintrags und Transmissionsrisikos in Schulen bzw. zur Ableitung von abgestuften </w:t>
            </w:r>
            <w:proofErr w:type="gramStart"/>
            <w:r>
              <w:rPr>
                <w:sz w:val="22"/>
                <w:szCs w:val="22"/>
              </w:rPr>
              <w:t>Maßnahmen  (</w:t>
            </w:r>
            <w:proofErr w:type="gramEnd"/>
            <w:r>
              <w:rPr>
                <w:sz w:val="22"/>
                <w:szCs w:val="22"/>
              </w:rPr>
              <w:t xml:space="preserve">Risikoadaptiertes Vorgehen) </w:t>
            </w:r>
          </w:p>
          <w:p>
            <w:pPr>
              <w:pStyle w:val="Listenabsatz"/>
              <w:numPr>
                <w:ilvl w:val="1"/>
                <w:numId w:val="21"/>
              </w:numPr>
              <w:rPr>
                <w:sz w:val="22"/>
                <w:szCs w:val="22"/>
              </w:rPr>
            </w:pPr>
            <w:r>
              <w:rPr>
                <w:sz w:val="22"/>
                <w:szCs w:val="22"/>
              </w:rPr>
              <w:t xml:space="preserve"> „Schulbus“ (siehe Tabelle) entfernen, da im ÖPNV gesonderte Vorschriften gelten raus</w:t>
            </w:r>
          </w:p>
          <w:p>
            <w:pPr>
              <w:pStyle w:val="Listenabsatz"/>
              <w:numPr>
                <w:ilvl w:val="1"/>
                <w:numId w:val="21"/>
              </w:numPr>
              <w:rPr>
                <w:sz w:val="22"/>
                <w:szCs w:val="22"/>
              </w:rPr>
            </w:pPr>
            <w:r>
              <w:rPr>
                <w:sz w:val="22"/>
                <w:szCs w:val="22"/>
              </w:rPr>
              <w:t xml:space="preserve">Lehrer: Verwendung einer Maske auch bei niedrigem </w:t>
            </w:r>
            <w:proofErr w:type="gramStart"/>
            <w:r>
              <w:rPr>
                <w:sz w:val="22"/>
                <w:szCs w:val="22"/>
              </w:rPr>
              <w:t>Infektionsgeschehen</w:t>
            </w:r>
            <w:proofErr w:type="gramEnd"/>
            <w:r>
              <w:rPr>
                <w:sz w:val="22"/>
                <w:szCs w:val="22"/>
              </w:rPr>
              <w:t xml:space="preserve"> wenn Mindestabstand nicht eingehalten werden kann, bei mittlerem und hohem Infektionsgeschehen dauerhafte Verwendung einer Maske (MNB oder MNS; bei Schülern MNB ausreichend)</w:t>
            </w:r>
          </w:p>
          <w:p>
            <w:pPr>
              <w:pStyle w:val="Listenabsatz"/>
              <w:numPr>
                <w:ilvl w:val="1"/>
                <w:numId w:val="21"/>
              </w:numPr>
              <w:rPr>
                <w:sz w:val="22"/>
                <w:szCs w:val="22"/>
              </w:rPr>
            </w:pPr>
            <w:r>
              <w:rPr>
                <w:sz w:val="22"/>
                <w:szCs w:val="22"/>
              </w:rPr>
              <w:t xml:space="preserve">Bei älteren Schülern/höherer Inzidenz: MNB; </w:t>
            </w:r>
          </w:p>
          <w:p>
            <w:pPr>
              <w:pStyle w:val="Listenabsatz"/>
              <w:numPr>
                <w:ilvl w:val="1"/>
                <w:numId w:val="21"/>
              </w:numPr>
              <w:rPr>
                <w:sz w:val="22"/>
                <w:szCs w:val="22"/>
              </w:rPr>
            </w:pPr>
            <w:r>
              <w:rPr>
                <w:sz w:val="22"/>
                <w:szCs w:val="22"/>
              </w:rPr>
              <w:t xml:space="preserve">Bei positivem Fall in einer Klasse: MNS; Kohorte bleibt dennoch Kontaktperson 1.Grades (Gesundheitsamt-Entscheid) </w:t>
            </w:r>
          </w:p>
          <w:p>
            <w:pPr>
              <w:pStyle w:val="Listenabsatz"/>
              <w:numPr>
                <w:ilvl w:val="0"/>
                <w:numId w:val="21"/>
              </w:numPr>
              <w:rPr>
                <w:sz w:val="22"/>
                <w:szCs w:val="22"/>
              </w:rPr>
            </w:pPr>
            <w:r>
              <w:rPr>
                <w:sz w:val="22"/>
                <w:szCs w:val="22"/>
              </w:rPr>
              <w:t xml:space="preserve">Inzidenzen(schwellen): keine Änderung, Beibehalt von 25 </w:t>
            </w:r>
            <w:r>
              <w:rPr>
                <w:sz w:val="22"/>
                <w:szCs w:val="22"/>
              </w:rPr>
              <w:lastRenderedPageBreak/>
              <w:t>(keine Änderung auf 35)</w:t>
            </w:r>
          </w:p>
          <w:p>
            <w:pPr>
              <w:pStyle w:val="Listenabsatz"/>
              <w:numPr>
                <w:ilvl w:val="0"/>
                <w:numId w:val="21"/>
              </w:numPr>
              <w:rPr>
                <w:sz w:val="22"/>
                <w:szCs w:val="22"/>
              </w:rPr>
            </w:pPr>
            <w:r>
              <w:rPr>
                <w:sz w:val="22"/>
                <w:szCs w:val="22"/>
              </w:rPr>
              <w:t>R-Wert (4. Spalte) streichen, auf Landkreisebene nicht relevant</w:t>
            </w:r>
          </w:p>
          <w:p>
            <w:pPr>
              <w:rPr>
                <w:sz w:val="22"/>
                <w:szCs w:val="22"/>
              </w:rPr>
            </w:pPr>
          </w:p>
          <w:p>
            <w:pPr>
              <w:rPr>
                <w:b/>
                <w:sz w:val="22"/>
                <w:szCs w:val="22"/>
              </w:rPr>
            </w:pPr>
            <w:r>
              <w:rPr>
                <w:b/>
                <w:sz w:val="22"/>
                <w:szCs w:val="22"/>
              </w:rPr>
              <w:t>SARS-CoV-2 Teststrategie in Schulen während der COVID-19 Pandemie</w:t>
            </w:r>
            <w:r>
              <w:rPr>
                <w:sz w:val="22"/>
                <w:szCs w:val="22"/>
              </w:rPr>
              <w:t xml:space="preserve"> (Dokument </w:t>
            </w:r>
            <w:hyperlink r:id="rId15" w:history="1">
              <w:r>
                <w:rPr>
                  <w:rStyle w:val="Hyperlink"/>
                  <w:b/>
                  <w:sz w:val="22"/>
                  <w:szCs w:val="22"/>
                </w:rPr>
                <w:t>hier</w:t>
              </w:r>
            </w:hyperlink>
            <w:r>
              <w:t>)</w:t>
            </w:r>
          </w:p>
          <w:p>
            <w:pPr>
              <w:rPr>
                <w:sz w:val="22"/>
                <w:szCs w:val="22"/>
              </w:rPr>
            </w:pPr>
            <w:r>
              <w:rPr>
                <w:sz w:val="22"/>
                <w:szCs w:val="22"/>
              </w:rPr>
              <w:t>Entspricht besprochenen Kriterien, Kontext stärker erläutert, Präsenzbetrieb als Ziel stärker betont, Kriterien in Kongruenz zu anderem Papier</w:t>
            </w:r>
          </w:p>
          <w:p>
            <w:pPr>
              <w:rPr>
                <w:sz w:val="22"/>
                <w:szCs w:val="22"/>
              </w:rPr>
            </w:pPr>
            <w:r>
              <w:rPr>
                <w:sz w:val="22"/>
                <w:szCs w:val="22"/>
              </w:rPr>
              <w:t>Hinweis: Begriffskonstanz „Testkriterien“ statt „Teststrategie“, cave!</w:t>
            </w:r>
          </w:p>
          <w:p>
            <w:pPr>
              <w:spacing w:line="276" w:lineRule="auto"/>
              <w:rPr>
                <w:sz w:val="22"/>
                <w:szCs w:val="22"/>
              </w:rPr>
            </w:pPr>
          </w:p>
          <w:p>
            <w:pPr>
              <w:rPr>
                <w:sz w:val="22"/>
                <w:szCs w:val="22"/>
              </w:rPr>
            </w:pPr>
            <w:r>
              <w:rPr>
                <w:sz w:val="22"/>
                <w:szCs w:val="22"/>
              </w:rPr>
              <w:t xml:space="preserve">Aus den einzelnen Papieren gefasster Bericht wird noch heute an BMG geschickt mit dem Hinweis, dass die Schulpapiere am Dienstag im Kanzleramt benötigt und somit am Montag übermittelt werden müssen (Klärung ob das MBG oder das RKI die Übermittlung übernehmen soll) </w:t>
            </w:r>
          </w:p>
          <w:p>
            <w:pPr>
              <w:spacing w:line="276" w:lineRule="auto"/>
              <w:rPr>
                <w:sz w:val="22"/>
                <w:szCs w:val="22"/>
              </w:rPr>
            </w:pPr>
          </w:p>
          <w:p>
            <w:pPr>
              <w:spacing w:line="276" w:lineRule="auto"/>
              <w:rPr>
                <w:sz w:val="22"/>
                <w:szCs w:val="22"/>
              </w:rPr>
            </w:pPr>
          </w:p>
          <w:p>
            <w:pPr>
              <w:pStyle w:val="Listenabsatz"/>
              <w:numPr>
                <w:ilvl w:val="0"/>
                <w:numId w:val="6"/>
              </w:numPr>
              <w:spacing w:line="276" w:lineRule="auto"/>
              <w:rPr>
                <w:b/>
                <w:sz w:val="22"/>
                <w:szCs w:val="22"/>
              </w:rPr>
            </w:pPr>
            <w:r>
              <w:rPr>
                <w:b/>
                <w:sz w:val="22"/>
                <w:szCs w:val="22"/>
              </w:rPr>
              <w:t>RKI-intern</w:t>
            </w:r>
          </w:p>
          <w:p>
            <w:pPr>
              <w:pStyle w:val="Listenabsatz"/>
              <w:numPr>
                <w:ilvl w:val="0"/>
                <w:numId w:val="12"/>
              </w:numPr>
              <w:spacing w:line="276" w:lineRule="auto"/>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lang w:val="en-US"/>
              </w:rPr>
            </w:pPr>
          </w:p>
          <w:p>
            <w:pPr>
              <w:rPr>
                <w:sz w:val="22"/>
                <w:szCs w:val="22"/>
              </w:rPr>
            </w:pPr>
            <w:r>
              <w:rPr>
                <w:sz w:val="22"/>
                <w:szCs w:val="22"/>
              </w:rPr>
              <w:t xml:space="preserve">FG36 / Udo Buchholz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 Stefan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 / Barbara Hauer</w:t>
            </w: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rPr>
                <w:sz w:val="22"/>
                <w:szCs w:val="22"/>
              </w:rPr>
            </w:pPr>
            <w:r>
              <w:rPr>
                <w:b/>
                <w:sz w:val="22"/>
                <w:szCs w:val="22"/>
              </w:rPr>
              <w:t>Rapid Review der Wirksamkeit nicht-pharmazeutischer Inter-</w:t>
            </w:r>
            <w:proofErr w:type="spellStart"/>
            <w:r>
              <w:rPr>
                <w:b/>
                <w:sz w:val="22"/>
                <w:szCs w:val="22"/>
              </w:rPr>
              <w:t>ventionen</w:t>
            </w:r>
            <w:proofErr w:type="spellEnd"/>
            <w:r>
              <w:rPr>
                <w:b/>
                <w:sz w:val="22"/>
                <w:szCs w:val="22"/>
              </w:rPr>
              <w:t xml:space="preserve"> bei der Kontrolle der COVID-19-Pandemie</w:t>
            </w:r>
            <w:r>
              <w:rPr>
                <w:sz w:val="22"/>
                <w:szCs w:val="22"/>
              </w:rPr>
              <w:t xml:space="preserve"> (Dokument </w:t>
            </w:r>
            <w:hyperlink r:id="rId16" w:history="1">
              <w:r>
                <w:rPr>
                  <w:rStyle w:val="Hyperlink"/>
                  <w:b/>
                  <w:sz w:val="22"/>
                  <w:szCs w:val="22"/>
                </w:rPr>
                <w:t>hier</w:t>
              </w:r>
            </w:hyperlink>
            <w:r>
              <w:rPr>
                <w:sz w:val="22"/>
                <w:szCs w:val="22"/>
              </w:rPr>
              <w:t>) Rapid Review durch ZIG2</w:t>
            </w:r>
          </w:p>
          <w:p>
            <w:pPr>
              <w:rPr>
                <w:sz w:val="22"/>
                <w:szCs w:val="22"/>
              </w:rPr>
            </w:pPr>
          </w:p>
          <w:p>
            <w:pPr>
              <w:rPr>
                <w:sz w:val="22"/>
                <w:szCs w:val="22"/>
              </w:rPr>
            </w:pPr>
            <w:r>
              <w:rPr>
                <w:sz w:val="22"/>
                <w:szCs w:val="22"/>
              </w:rPr>
              <w:t>Übersicht über 37 OECD Länder und Maßnahmenauswirkungen und Rapid Review der Literatur zu nichtpharmazeutischen Interventionen</w:t>
            </w:r>
          </w:p>
          <w:p>
            <w:pPr>
              <w:rPr>
                <w:sz w:val="22"/>
                <w:szCs w:val="22"/>
              </w:rPr>
            </w:pPr>
            <w:r>
              <w:rPr>
                <w:sz w:val="22"/>
                <w:szCs w:val="22"/>
              </w:rPr>
              <w:t>Submission als Publikation in den kommenden zwei Wochen geplant</w:t>
            </w:r>
          </w:p>
          <w:p>
            <w:pPr>
              <w:rPr>
                <w:sz w:val="22"/>
                <w:szCs w:val="22"/>
              </w:rPr>
            </w:pPr>
          </w:p>
          <w:p>
            <w:pPr>
              <w:rPr>
                <w:sz w:val="22"/>
                <w:szCs w:val="22"/>
              </w:rPr>
            </w:pPr>
            <w:r>
              <w:rPr>
                <w:sz w:val="22"/>
                <w:szCs w:val="22"/>
              </w:rPr>
              <w:t xml:space="preserve">Systematische Literaturrecherche: 27 Studien in Review </w:t>
            </w:r>
            <w:proofErr w:type="spellStart"/>
            <w:r>
              <w:rPr>
                <w:sz w:val="22"/>
                <w:szCs w:val="22"/>
              </w:rPr>
              <w:t>eingeschlos-sen</w:t>
            </w:r>
            <w:proofErr w:type="spellEnd"/>
            <w:r>
              <w:rPr>
                <w:sz w:val="22"/>
                <w:szCs w:val="22"/>
              </w:rPr>
              <w:t>, davon</w:t>
            </w:r>
          </w:p>
          <w:p>
            <w:pPr>
              <w:rPr>
                <w:sz w:val="22"/>
                <w:szCs w:val="22"/>
              </w:rPr>
            </w:pPr>
          </w:p>
          <w:p>
            <w:pPr>
              <w:rPr>
                <w:sz w:val="22"/>
                <w:szCs w:val="22"/>
                <w:lang w:val="en-US"/>
              </w:rPr>
            </w:pPr>
            <w:r>
              <w:rPr>
                <w:sz w:val="22"/>
                <w:szCs w:val="22"/>
                <w:u w:val="single"/>
                <w:lang w:val="en-US"/>
              </w:rPr>
              <w:t xml:space="preserve">16 </w:t>
            </w:r>
            <w:proofErr w:type="spellStart"/>
            <w:r>
              <w:rPr>
                <w:sz w:val="22"/>
                <w:szCs w:val="22"/>
                <w:u w:val="single"/>
                <w:lang w:val="en-US"/>
              </w:rPr>
              <w:t>Studien</w:t>
            </w:r>
            <w:proofErr w:type="spellEnd"/>
            <w:r>
              <w:rPr>
                <w:sz w:val="22"/>
                <w:szCs w:val="22"/>
                <w:u w:val="single"/>
                <w:lang w:val="en-US"/>
              </w:rPr>
              <w:t xml:space="preserve">: Real World Data </w:t>
            </w:r>
            <w:proofErr w:type="spellStart"/>
            <w:r>
              <w:rPr>
                <w:sz w:val="22"/>
                <w:szCs w:val="22"/>
                <w:u w:val="single"/>
                <w:lang w:val="en-US"/>
              </w:rPr>
              <w:t>Analyse</w:t>
            </w:r>
            <w:proofErr w:type="spellEnd"/>
            <w:r>
              <w:rPr>
                <w:sz w:val="22"/>
                <w:szCs w:val="22"/>
                <w:u w:val="single"/>
                <w:lang w:val="en-US"/>
              </w:rPr>
              <w:t xml:space="preserve"> (</w:t>
            </w:r>
            <w:proofErr w:type="spellStart"/>
            <w:r>
              <w:rPr>
                <w:sz w:val="22"/>
                <w:szCs w:val="22"/>
                <w:u w:val="single"/>
                <w:lang w:val="en-US"/>
              </w:rPr>
              <w:t>nicht-modelliert</w:t>
            </w:r>
            <w:proofErr w:type="spellEnd"/>
            <w:r>
              <w:rPr>
                <w:sz w:val="22"/>
                <w:szCs w:val="22"/>
                <w:u w:val="single"/>
                <w:lang w:val="en-US"/>
              </w:rPr>
              <w:t>)</w:t>
            </w:r>
            <w:r>
              <w:rPr>
                <w:sz w:val="22"/>
                <w:szCs w:val="22"/>
                <w:lang w:val="en-US"/>
              </w:rPr>
              <w:t xml:space="preserve"> </w:t>
            </w:r>
            <w:proofErr w:type="spellStart"/>
            <w:r>
              <w:rPr>
                <w:sz w:val="22"/>
                <w:szCs w:val="22"/>
                <w:lang w:val="en-US"/>
              </w:rPr>
              <w:t>retrospektiver</w:t>
            </w:r>
            <w:proofErr w:type="spellEnd"/>
            <w:r>
              <w:rPr>
                <w:sz w:val="22"/>
                <w:szCs w:val="22"/>
                <w:lang w:val="en-US"/>
              </w:rPr>
              <w:t xml:space="preserve"> </w:t>
            </w:r>
            <w:proofErr w:type="spellStart"/>
            <w:r>
              <w:rPr>
                <w:sz w:val="22"/>
                <w:szCs w:val="22"/>
                <w:lang w:val="en-US"/>
              </w:rPr>
              <w:t>Erklärungsansatz</w:t>
            </w:r>
            <w:proofErr w:type="spellEnd"/>
            <w:r>
              <w:rPr>
                <w:sz w:val="22"/>
                <w:szCs w:val="22"/>
                <w:lang w:val="en-US"/>
              </w:rPr>
              <w:t xml:space="preserve"> und </w:t>
            </w:r>
            <w:proofErr w:type="spellStart"/>
            <w:r>
              <w:rPr>
                <w:sz w:val="22"/>
                <w:szCs w:val="22"/>
                <w:lang w:val="en-US"/>
              </w:rPr>
              <w:t>Aufarbeitung</w:t>
            </w:r>
            <w:proofErr w:type="spellEnd"/>
            <w:r>
              <w:rPr>
                <w:sz w:val="22"/>
                <w:szCs w:val="22"/>
                <w:lang w:val="en-US"/>
              </w:rPr>
              <w:t xml:space="preserve"> (Table 1: Evidence from statistical studies of the impact of policies on the COVID epidemic)</w:t>
            </w:r>
          </w:p>
          <w:p>
            <w:pPr>
              <w:rPr>
                <w:sz w:val="22"/>
                <w:szCs w:val="22"/>
              </w:rPr>
            </w:pPr>
            <w:r>
              <w:rPr>
                <w:sz w:val="22"/>
                <w:szCs w:val="22"/>
              </w:rPr>
              <w:t xml:space="preserve">Einschränkungen u.a.: </w:t>
            </w:r>
          </w:p>
          <w:p>
            <w:pPr>
              <w:pStyle w:val="Listenabsatz"/>
              <w:numPr>
                <w:ilvl w:val="0"/>
                <w:numId w:val="15"/>
              </w:numPr>
              <w:rPr>
                <w:sz w:val="22"/>
                <w:szCs w:val="22"/>
              </w:rPr>
            </w:pPr>
            <w:r>
              <w:rPr>
                <w:sz w:val="22"/>
                <w:szCs w:val="22"/>
              </w:rPr>
              <w:t>wenig Aufschluss über bspw. subnationale Variationen</w:t>
            </w:r>
          </w:p>
          <w:p>
            <w:pPr>
              <w:pStyle w:val="Listenabsatz"/>
              <w:numPr>
                <w:ilvl w:val="0"/>
                <w:numId w:val="15"/>
              </w:numPr>
              <w:rPr>
                <w:sz w:val="22"/>
                <w:szCs w:val="22"/>
              </w:rPr>
            </w:pPr>
            <w:r>
              <w:rPr>
                <w:sz w:val="22"/>
                <w:szCs w:val="22"/>
              </w:rPr>
              <w:t xml:space="preserve">Maßnahmen sehr unterschiedlich betrachtet: „Lockdown“ und „Tragen einer Maske“ unklar </w:t>
            </w:r>
          </w:p>
          <w:p>
            <w:pPr>
              <w:pStyle w:val="Listenabsatz"/>
              <w:numPr>
                <w:ilvl w:val="0"/>
                <w:numId w:val="15"/>
              </w:numPr>
              <w:rPr>
                <w:sz w:val="22"/>
                <w:szCs w:val="22"/>
              </w:rPr>
            </w:pPr>
            <w:r>
              <w:rPr>
                <w:sz w:val="22"/>
                <w:szCs w:val="22"/>
              </w:rPr>
              <w:t>Wirksamkeit der Maßnahme untersch. gemessen (R, Todes-rate, Neuinfektionen,…)</w:t>
            </w:r>
          </w:p>
          <w:p>
            <w:pPr>
              <w:pStyle w:val="Listenabsatz"/>
              <w:numPr>
                <w:ilvl w:val="0"/>
                <w:numId w:val="15"/>
              </w:numPr>
              <w:rPr>
                <w:sz w:val="22"/>
                <w:szCs w:val="22"/>
              </w:rPr>
            </w:pPr>
            <w:r>
              <w:rPr>
                <w:sz w:val="22"/>
                <w:szCs w:val="22"/>
              </w:rPr>
              <w:t xml:space="preserve">Am häufigsten (siehe Table 1): Reisekontrolle, Maske, </w:t>
            </w:r>
            <w:proofErr w:type="spellStart"/>
            <w:r>
              <w:rPr>
                <w:sz w:val="22"/>
                <w:szCs w:val="22"/>
              </w:rPr>
              <w:t>Quaran-täne</w:t>
            </w:r>
            <w:proofErr w:type="spellEnd"/>
            <w:r>
              <w:rPr>
                <w:sz w:val="22"/>
                <w:szCs w:val="22"/>
              </w:rPr>
              <w:t>, Schul-, Arbeitsplatzschließung, Nachverfolgung, Absage/ Beschränkung öffentlicher Veranstaltungen/ öffentlicher Verkehr</w:t>
            </w:r>
          </w:p>
          <w:p>
            <w:pPr>
              <w:pStyle w:val="Listenabsatz"/>
              <w:numPr>
                <w:ilvl w:val="0"/>
                <w:numId w:val="15"/>
              </w:numPr>
              <w:rPr>
                <w:sz w:val="22"/>
                <w:szCs w:val="22"/>
              </w:rPr>
            </w:pPr>
            <w:r>
              <w:rPr>
                <w:sz w:val="22"/>
                <w:szCs w:val="22"/>
              </w:rPr>
              <w:t xml:space="preserve">Dennoch: </w:t>
            </w:r>
            <w:proofErr w:type="spellStart"/>
            <w:r>
              <w:rPr>
                <w:sz w:val="22"/>
                <w:szCs w:val="22"/>
              </w:rPr>
              <w:t>Direction</w:t>
            </w:r>
            <w:proofErr w:type="spellEnd"/>
            <w:r>
              <w:rPr>
                <w:sz w:val="22"/>
                <w:szCs w:val="22"/>
              </w:rPr>
              <w:t xml:space="preserve"> </w:t>
            </w:r>
            <w:proofErr w:type="spellStart"/>
            <w:r>
              <w:rPr>
                <w:sz w:val="22"/>
                <w:szCs w:val="22"/>
              </w:rPr>
              <w:t>of</w:t>
            </w:r>
            <w:proofErr w:type="spellEnd"/>
            <w:r>
              <w:rPr>
                <w:sz w:val="22"/>
                <w:szCs w:val="22"/>
              </w:rPr>
              <w:t xml:space="preserve"> Travel von Evidenz: Beschränkung von Versammlungen &gt; 5 Personen, Homeoffice, </w:t>
            </w:r>
            <w:proofErr w:type="spellStart"/>
            <w:r>
              <w:rPr>
                <w:sz w:val="22"/>
                <w:szCs w:val="22"/>
              </w:rPr>
              <w:t>Schulunterbre-</w:t>
            </w:r>
            <w:r>
              <w:rPr>
                <w:sz w:val="22"/>
                <w:szCs w:val="22"/>
              </w:rPr>
              <w:lastRenderedPageBreak/>
              <w:t>chung</w:t>
            </w:r>
            <w:proofErr w:type="spellEnd"/>
            <w:r>
              <w:rPr>
                <w:sz w:val="22"/>
                <w:szCs w:val="22"/>
              </w:rPr>
              <w:t>, Tragen von Masken erscheinen besonders wirksam, Heterogenität jedoch vorhanden, aber recht eindeutig differenzierbar hinsichtlich untersch. Maßnahmen und deren Ausführungen</w:t>
            </w:r>
          </w:p>
          <w:p>
            <w:pPr>
              <w:rPr>
                <w:sz w:val="22"/>
                <w:szCs w:val="22"/>
              </w:rPr>
            </w:pPr>
          </w:p>
          <w:p>
            <w:pPr>
              <w:rPr>
                <w:sz w:val="22"/>
                <w:szCs w:val="22"/>
                <w:lang w:val="en-US"/>
              </w:rPr>
            </w:pPr>
            <w:r>
              <w:rPr>
                <w:sz w:val="22"/>
                <w:szCs w:val="22"/>
                <w:u w:val="single"/>
                <w:lang w:val="en-US"/>
              </w:rPr>
              <w:t xml:space="preserve">11 </w:t>
            </w:r>
            <w:proofErr w:type="spellStart"/>
            <w:r>
              <w:rPr>
                <w:sz w:val="22"/>
                <w:szCs w:val="22"/>
                <w:u w:val="single"/>
                <w:lang w:val="en-US"/>
              </w:rPr>
              <w:t>Studien</w:t>
            </w:r>
            <w:proofErr w:type="spellEnd"/>
            <w:r>
              <w:rPr>
                <w:sz w:val="22"/>
                <w:szCs w:val="22"/>
                <w:u w:val="single"/>
                <w:lang w:val="en-US"/>
              </w:rPr>
              <w:t xml:space="preserve"> </w:t>
            </w:r>
            <w:proofErr w:type="spellStart"/>
            <w:r>
              <w:rPr>
                <w:sz w:val="22"/>
                <w:szCs w:val="22"/>
                <w:u w:val="single"/>
                <w:lang w:val="en-US"/>
              </w:rPr>
              <w:t>hinsichtlich</w:t>
            </w:r>
            <w:proofErr w:type="spellEnd"/>
            <w:r>
              <w:rPr>
                <w:sz w:val="22"/>
                <w:szCs w:val="22"/>
                <w:u w:val="single"/>
                <w:lang w:val="en-US"/>
              </w:rPr>
              <w:t xml:space="preserve"> </w:t>
            </w:r>
            <w:proofErr w:type="spellStart"/>
            <w:r>
              <w:rPr>
                <w:sz w:val="22"/>
                <w:szCs w:val="22"/>
                <w:u w:val="single"/>
                <w:lang w:val="en-US"/>
              </w:rPr>
              <w:t>prädiktiver</w:t>
            </w:r>
            <w:proofErr w:type="spellEnd"/>
            <w:r>
              <w:rPr>
                <w:sz w:val="22"/>
                <w:szCs w:val="22"/>
                <w:u w:val="single"/>
                <w:lang w:val="en-US"/>
              </w:rPr>
              <w:t xml:space="preserve"> </w:t>
            </w:r>
            <w:proofErr w:type="spellStart"/>
            <w:r>
              <w:rPr>
                <w:sz w:val="22"/>
                <w:szCs w:val="22"/>
                <w:u w:val="single"/>
                <w:lang w:val="en-US"/>
              </w:rPr>
              <w:t>Simulationsmodellierung</w:t>
            </w:r>
            <w:proofErr w:type="spellEnd"/>
            <w:r>
              <w:rPr>
                <w:sz w:val="22"/>
                <w:szCs w:val="22"/>
                <w:lang w:val="en-US"/>
              </w:rPr>
              <w:t xml:space="preserve"> (Table 2: Evidence from simulation studies of the impact of policies on the COVID epidemic)</w:t>
            </w:r>
          </w:p>
          <w:p>
            <w:pPr>
              <w:pStyle w:val="Listenabsatz"/>
              <w:numPr>
                <w:ilvl w:val="0"/>
                <w:numId w:val="15"/>
              </w:numPr>
              <w:rPr>
                <w:sz w:val="22"/>
                <w:szCs w:val="22"/>
              </w:rPr>
            </w:pPr>
            <w:r>
              <w:rPr>
                <w:sz w:val="22"/>
                <w:szCs w:val="22"/>
              </w:rPr>
              <w:t xml:space="preserve">Große Limitation: die </w:t>
            </w:r>
            <w:proofErr w:type="spellStart"/>
            <w:r>
              <w:rPr>
                <w:sz w:val="22"/>
                <w:szCs w:val="22"/>
              </w:rPr>
              <w:t>strength</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impelementation</w:t>
            </w:r>
            <w:proofErr w:type="spellEnd"/>
            <w:r>
              <w:rPr>
                <w:sz w:val="22"/>
                <w:szCs w:val="22"/>
              </w:rPr>
              <w:t xml:space="preserve"> wird nicht gemessen</w:t>
            </w:r>
          </w:p>
          <w:p>
            <w:pPr>
              <w:pStyle w:val="Listenabsatz"/>
              <w:numPr>
                <w:ilvl w:val="0"/>
                <w:numId w:val="15"/>
              </w:numPr>
              <w:rPr>
                <w:i/>
                <w:sz w:val="22"/>
                <w:szCs w:val="22"/>
              </w:rPr>
            </w:pPr>
            <w:r>
              <w:rPr>
                <w:i/>
                <w:sz w:val="22"/>
                <w:szCs w:val="22"/>
              </w:rPr>
              <w:t xml:space="preserve">Bitte um generelles </w:t>
            </w:r>
            <w:proofErr w:type="spellStart"/>
            <w:r>
              <w:rPr>
                <w:i/>
                <w:sz w:val="22"/>
                <w:szCs w:val="22"/>
              </w:rPr>
              <w:t>feedback</w:t>
            </w:r>
            <w:proofErr w:type="spellEnd"/>
            <w:r>
              <w:rPr>
                <w:i/>
                <w:sz w:val="22"/>
                <w:szCs w:val="22"/>
              </w:rPr>
              <w:t xml:space="preserve">, nehmen gern noch weitere </w:t>
            </w:r>
            <w:proofErr w:type="spellStart"/>
            <w:r>
              <w:rPr>
                <w:i/>
                <w:sz w:val="22"/>
                <w:szCs w:val="22"/>
              </w:rPr>
              <w:t>paper</w:t>
            </w:r>
            <w:proofErr w:type="spellEnd"/>
            <w:r>
              <w:rPr>
                <w:i/>
                <w:sz w:val="22"/>
                <w:szCs w:val="22"/>
              </w:rPr>
              <w:t xml:space="preserve"> mit auf </w:t>
            </w:r>
          </w:p>
          <w:p>
            <w:pPr>
              <w:pStyle w:val="Listenabsatz"/>
              <w:numPr>
                <w:ilvl w:val="0"/>
                <w:numId w:val="15"/>
              </w:numPr>
              <w:rPr>
                <w:sz w:val="22"/>
                <w:szCs w:val="22"/>
              </w:rPr>
            </w:pPr>
            <w:r>
              <w:rPr>
                <w:sz w:val="22"/>
                <w:szCs w:val="22"/>
              </w:rPr>
              <w:t xml:space="preserve">Auffälligkeit: Methode „Kontaktverfolgung“ erscheint wenig wirksam: ABER </w:t>
            </w:r>
          </w:p>
          <w:p>
            <w:pPr>
              <w:pStyle w:val="Listenabsatz"/>
              <w:numPr>
                <w:ilvl w:val="1"/>
                <w:numId w:val="15"/>
              </w:numPr>
              <w:rPr>
                <w:sz w:val="22"/>
                <w:szCs w:val="22"/>
              </w:rPr>
            </w:pPr>
            <w:r>
              <w:rPr>
                <w:sz w:val="22"/>
                <w:szCs w:val="22"/>
              </w:rPr>
              <w:t xml:space="preserve">Wirksamkeit der Umsetzung in den jeweiligen Ländern wird nicht erfasst </w:t>
            </w:r>
          </w:p>
          <w:p>
            <w:pPr>
              <w:pStyle w:val="Listenabsatz"/>
              <w:numPr>
                <w:ilvl w:val="1"/>
                <w:numId w:val="15"/>
              </w:numPr>
              <w:rPr>
                <w:sz w:val="22"/>
                <w:szCs w:val="22"/>
              </w:rPr>
            </w:pPr>
            <w:r>
              <w:rPr>
                <w:sz w:val="22"/>
                <w:szCs w:val="22"/>
              </w:rPr>
              <w:t xml:space="preserve">Zeitpunkt der epidemiologischen Aktivität muss berücksichtigt werden (ab best. Fallzahl </w:t>
            </w:r>
            <w:proofErr w:type="spellStart"/>
            <w:r>
              <w:rPr>
                <w:sz w:val="22"/>
                <w:szCs w:val="22"/>
              </w:rPr>
              <w:t>Kontaktver-folgung</w:t>
            </w:r>
            <w:proofErr w:type="spellEnd"/>
            <w:r>
              <w:rPr>
                <w:sz w:val="22"/>
                <w:szCs w:val="22"/>
              </w:rPr>
              <w:t xml:space="preserve"> weniger wirksam, </w:t>
            </w:r>
            <w:proofErr w:type="spellStart"/>
            <w:r>
              <w:rPr>
                <w:sz w:val="22"/>
                <w:szCs w:val="22"/>
              </w:rPr>
              <w:t>zusätzl</w:t>
            </w:r>
            <w:proofErr w:type="spellEnd"/>
            <w:r>
              <w:rPr>
                <w:sz w:val="22"/>
                <w:szCs w:val="22"/>
              </w:rPr>
              <w:t>. Maßnahmen wie Lockdown greifen)</w:t>
            </w:r>
          </w:p>
          <w:p>
            <w:pPr>
              <w:pStyle w:val="Listenabsatz"/>
              <w:numPr>
                <w:ilvl w:val="1"/>
                <w:numId w:val="15"/>
              </w:numPr>
              <w:rPr>
                <w:sz w:val="22"/>
                <w:szCs w:val="22"/>
              </w:rPr>
            </w:pPr>
            <w:r>
              <w:rPr>
                <w:sz w:val="22"/>
                <w:szCs w:val="22"/>
              </w:rPr>
              <w:t>Dauer bis zur Testergebnismitteilung variiert im Ländervergleich</w:t>
            </w:r>
          </w:p>
          <w:p>
            <w:pPr>
              <w:pStyle w:val="Listenabsatz"/>
              <w:numPr>
                <w:ilvl w:val="1"/>
                <w:numId w:val="15"/>
              </w:numPr>
              <w:rPr>
                <w:i/>
                <w:sz w:val="22"/>
                <w:szCs w:val="22"/>
              </w:rPr>
            </w:pPr>
            <w:r>
              <w:rPr>
                <w:i/>
                <w:sz w:val="22"/>
                <w:szCs w:val="22"/>
              </w:rPr>
              <w:t xml:space="preserve">Kann so zeitnah auf </w:t>
            </w:r>
            <w:proofErr w:type="spellStart"/>
            <w:r>
              <w:rPr>
                <w:i/>
                <w:sz w:val="22"/>
                <w:szCs w:val="22"/>
              </w:rPr>
              <w:t>homepage</w:t>
            </w:r>
            <w:proofErr w:type="spellEnd"/>
            <w:r>
              <w:rPr>
                <w:i/>
                <w:sz w:val="22"/>
                <w:szCs w:val="22"/>
              </w:rPr>
              <w:t xml:space="preserve"> publiziert werden, Limitationen in Zusammenfassung mitaufnehmen</w:t>
            </w:r>
          </w:p>
          <w:p>
            <w:pPr>
              <w:pStyle w:val="Listenabsatz"/>
              <w:ind w:left="1440"/>
              <w:rPr>
                <w:i/>
                <w:sz w:val="22"/>
                <w:szCs w:val="22"/>
              </w:rPr>
            </w:pPr>
          </w:p>
          <w:p>
            <w:pPr>
              <w:rPr>
                <w:sz w:val="22"/>
                <w:szCs w:val="22"/>
              </w:rPr>
            </w:pPr>
            <w:r>
              <w:rPr>
                <w:sz w:val="22"/>
                <w:szCs w:val="22"/>
              </w:rPr>
              <w:t xml:space="preserve">Vorschlag:  Analyse der Wirksamkeit der Kontaktverfolgung in Beispielländern in Abhängigkeit des </w:t>
            </w:r>
            <w:proofErr w:type="spellStart"/>
            <w:r>
              <w:rPr>
                <w:sz w:val="22"/>
                <w:szCs w:val="22"/>
              </w:rPr>
              <w:t>Epidemiestadiums</w:t>
            </w:r>
            <w:proofErr w:type="spellEnd"/>
          </w:p>
          <w:p>
            <w:pPr>
              <w:pStyle w:val="Listenabsatz"/>
              <w:numPr>
                <w:ilvl w:val="0"/>
                <w:numId w:val="15"/>
              </w:numPr>
              <w:rPr>
                <w:sz w:val="22"/>
                <w:szCs w:val="22"/>
              </w:rPr>
            </w:pPr>
            <w:r>
              <w:rPr>
                <w:sz w:val="22"/>
                <w:szCs w:val="22"/>
              </w:rPr>
              <w:t xml:space="preserve">Wirksamkeit einer Maßnahme an unterschiedlichen Werten messen (bei Kontaktverfolgung) in unterschiedlichen Ländern und Darstellung des Vorgehens in Deutschland </w:t>
            </w:r>
          </w:p>
          <w:p>
            <w:pPr>
              <w:pStyle w:val="Listenabsatz"/>
              <w:numPr>
                <w:ilvl w:val="0"/>
                <w:numId w:val="15"/>
              </w:numPr>
              <w:rPr>
                <w:sz w:val="22"/>
                <w:szCs w:val="22"/>
              </w:rPr>
            </w:pPr>
            <w:r>
              <w:rPr>
                <w:sz w:val="22"/>
                <w:szCs w:val="22"/>
              </w:rPr>
              <w:t>Bei Ländern mit hoher Dunkelziffer nach dieser stratifizieren</w:t>
            </w:r>
          </w:p>
          <w:p>
            <w:pPr>
              <w:pStyle w:val="Listenabsatz"/>
              <w:numPr>
                <w:ilvl w:val="0"/>
                <w:numId w:val="15"/>
              </w:numPr>
              <w:rPr>
                <w:sz w:val="22"/>
                <w:szCs w:val="22"/>
              </w:rPr>
            </w:pPr>
            <w:r>
              <w:rPr>
                <w:sz w:val="22"/>
                <w:szCs w:val="22"/>
              </w:rPr>
              <w:t>Compliance innerhalb der Bevölkerung ist zu berücksichtigen</w:t>
            </w:r>
          </w:p>
          <w:p>
            <w:pPr>
              <w:pStyle w:val="Listenabsatz"/>
              <w:numPr>
                <w:ilvl w:val="0"/>
                <w:numId w:val="15"/>
              </w:numPr>
              <w:rPr>
                <w:sz w:val="22"/>
                <w:szCs w:val="22"/>
              </w:rPr>
            </w:pPr>
            <w:r>
              <w:rPr>
                <w:sz w:val="22"/>
                <w:szCs w:val="22"/>
              </w:rPr>
              <w:t>Ggf. als eigenständige Veröffentlichung über Kontaktverfolgung</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ZIG / Johanna Hanefeld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Informationen zu Arbeitsschutz </w:t>
            </w:r>
            <w:r>
              <w:rPr>
                <w:b/>
                <w:color w:val="FF0000"/>
              </w:rPr>
              <w:t>(nur freitags)</w:t>
            </w:r>
          </w:p>
          <w:p>
            <w:pPr>
              <w:rPr>
                <w:sz w:val="22"/>
                <w:szCs w:val="22"/>
              </w:rPr>
            </w:pPr>
            <w:r>
              <w:rPr>
                <w:sz w:val="22"/>
                <w:szCs w:val="22"/>
              </w:rPr>
              <w:t>•    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rPr>
                <w:sz w:val="22"/>
                <w:szCs w:val="22"/>
              </w:rPr>
            </w:pPr>
            <w:r>
              <w:rPr>
                <w:sz w:val="22"/>
                <w:szCs w:val="22"/>
              </w:rPr>
              <w:t>•    Nicht besprochen</w:t>
            </w:r>
          </w:p>
          <w:p>
            <w:pPr>
              <w:rPr>
                <w:sz w:val="22"/>
                <w:szCs w:val="22"/>
              </w:rPr>
            </w:pPr>
          </w:p>
        </w:tc>
        <w:tc>
          <w:tcPr>
            <w:tcW w:w="1492" w:type="dxa"/>
          </w:tcPr>
          <w:p>
            <w:pPr>
              <w:rPr>
                <w:sz w:val="22"/>
                <w:szCs w:val="22"/>
              </w:rPr>
            </w:pPr>
          </w:p>
          <w:p>
            <w:pPr>
              <w:rPr>
                <w:sz w:val="22"/>
                <w:szCs w:val="22"/>
              </w:rPr>
            </w:pPr>
            <w:r>
              <w:rPr>
                <w:sz w:val="22"/>
                <w:szCs w:val="22"/>
              </w:rPr>
              <w:t>FG17 / ZBS1</w:t>
            </w: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rPr>
                <w:sz w:val="22"/>
                <w:szCs w:val="22"/>
              </w:rPr>
            </w:pPr>
            <w:r>
              <w:rPr>
                <w:sz w:val="22"/>
                <w:szCs w:val="22"/>
              </w:rPr>
              <w:t>•    Nicht besprochen</w:t>
            </w:r>
          </w:p>
        </w:tc>
        <w:tc>
          <w:tcPr>
            <w:tcW w:w="1492" w:type="dxa"/>
          </w:tcPr>
          <w:p>
            <w:pPr>
              <w:rPr>
                <w:sz w:val="22"/>
                <w:szCs w:val="22"/>
              </w:rPr>
            </w:pPr>
          </w:p>
          <w:p>
            <w:pPr>
              <w:rPr>
                <w:sz w:val="22"/>
                <w:szCs w:val="22"/>
              </w:rPr>
            </w:pPr>
            <w:r>
              <w:rPr>
                <w:sz w:val="22"/>
                <w:szCs w:val="22"/>
              </w:rPr>
              <w:t>FG 36 / IBBS</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spacing w:line="276" w:lineRule="auto"/>
              <w:rPr>
                <w:b/>
                <w:sz w:val="28"/>
              </w:rPr>
            </w:pPr>
            <w:r>
              <w:rPr>
                <w:sz w:val="22"/>
                <w:szCs w:val="22"/>
              </w:rPr>
              <w:t>•    Nicht besprochen</w:t>
            </w: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rPr>
                <w:sz w:val="22"/>
              </w:rPr>
            </w:pPr>
            <w:r>
              <w:rPr>
                <w:sz w:val="22"/>
              </w:rPr>
              <w:t>•    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Transport und Grenzübergangsstellen </w:t>
            </w:r>
            <w:r>
              <w:rPr>
                <w:b/>
                <w:color w:val="FF0000"/>
              </w:rPr>
              <w:t>(nur freitags)</w:t>
            </w:r>
          </w:p>
          <w:p>
            <w:pPr>
              <w:spacing w:line="276" w:lineRule="auto"/>
              <w:rPr>
                <w:b/>
                <w:sz w:val="28"/>
              </w:rPr>
            </w:pPr>
            <w:r>
              <w:rPr>
                <w:sz w:val="22"/>
                <w:szCs w:val="22"/>
              </w:rPr>
              <w:t>•    Nicht besprochen</w:t>
            </w:r>
          </w:p>
        </w:tc>
        <w:tc>
          <w:tcPr>
            <w:tcW w:w="1492" w:type="dxa"/>
          </w:tcPr>
          <w:p>
            <w:pPr>
              <w:rPr>
                <w:sz w:val="22"/>
                <w:szCs w:val="22"/>
              </w:rPr>
            </w:pPr>
          </w:p>
          <w:p>
            <w:pPr>
              <w:rPr>
                <w:sz w:val="22"/>
                <w:szCs w:val="22"/>
              </w:rPr>
            </w:pPr>
            <w:r>
              <w:rPr>
                <w:sz w:val="22"/>
                <w:szCs w:val="22"/>
              </w:rPr>
              <w:t>FG 32</w:t>
            </w: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spacing w:line="276" w:lineRule="auto"/>
              <w:rPr>
                <w:b/>
                <w:sz w:val="28"/>
              </w:rPr>
            </w:pPr>
            <w:r>
              <w:rPr>
                <w:sz w:val="22"/>
                <w:szCs w:val="22"/>
              </w:rPr>
              <w:t>•    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spacing w:line="276" w:lineRule="auto"/>
              <w:rPr>
                <w:b/>
                <w:sz w:val="28"/>
              </w:rPr>
            </w:pPr>
            <w:r>
              <w:rPr>
                <w:sz w:val="22"/>
                <w:szCs w:val="22"/>
              </w:rPr>
              <w:t>•    Nicht besprochen</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spacing w:line="276" w:lineRule="auto"/>
              <w:rPr>
                <w:sz w:val="22"/>
                <w:szCs w:val="22"/>
              </w:rPr>
            </w:pPr>
            <w:r>
              <w:rPr>
                <w:sz w:val="22"/>
                <w:szCs w:val="22"/>
              </w:rPr>
              <w:t xml:space="preserve">•  Nächste Sitzung: Montag, 28.09.2020, 13:00-15:00, via </w:t>
            </w:r>
            <w:proofErr w:type="spellStart"/>
            <w:r>
              <w:rPr>
                <w:sz w:val="22"/>
                <w:szCs w:val="22"/>
              </w:rPr>
              <w:t>Vitero</w:t>
            </w:r>
            <w:proofErr w:type="spellEnd"/>
          </w:p>
          <w:p>
            <w:pPr>
              <w:pStyle w:val="Listenabsatz"/>
              <w:ind w:left="1080"/>
              <w:rPr>
                <w:sz w:val="22"/>
                <w:szCs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sectPr>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Bdr>
        <w:bottom w:val="single" w:sz="6" w:space="1" w:color="auto"/>
      </w:pBdr>
      <w:tabs>
        <w:tab w:val="center" w:pos="4153"/>
        <w:tab w:val="right" w:pos="8306"/>
      </w:tabs>
      <w:spacing w:after="0"/>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Bdr>
        <w:bottom w:val="single" w:sz="6" w:space="1" w:color="auto"/>
      </w:pBdr>
      <w:tabs>
        <w:tab w:val="center" w:pos="4153"/>
        <w:tab w:val="right" w:pos="8306"/>
      </w:tabs>
      <w:spacing w:after="0"/>
      <w:rPr>
        <w:color w:val="1F497D" w:themeColor="text2"/>
      </w:rPr>
    </w:pPr>
  </w:p>
  <w:p>
    <w:pPr>
      <w:pBdr>
        <w:bottom w:val="single" w:sz="6" w:space="1" w:color="auto"/>
      </w:pBdr>
      <w:tabs>
        <w:tab w:val="center" w:pos="4153"/>
        <w:tab w:val="right" w:pos="8306"/>
      </w:tabs>
      <w:spacing w:after="0"/>
      <w:rPr>
        <w:color w:val="1F497D" w:themeColor="text2"/>
      </w:rPr>
    </w:pPr>
    <w:r>
      <w:rPr>
        <w:color w:val="1F497D" w:themeColor="text2"/>
      </w:rPr>
      <w:t xml:space="preserve">Lagezentrum des RKI </w:t>
    </w:r>
    <w:r>
      <w:rPr>
        <w:color w:val="1F497D" w:themeColor="text2"/>
      </w:rPr>
      <w:tab/>
    </w:r>
    <w:r>
      <w:rPr>
        <w:color w:val="1F497D" w:themeColor="text2"/>
      </w:rPr>
      <w:tab/>
      <w:t>Agenda des COVID-19 Krisenstabs</w:t>
    </w:r>
  </w:p>
  <w:p>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D352A"/>
    <w:multiLevelType w:val="hybridMultilevel"/>
    <w:tmpl w:val="A82E6F4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F52C34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BF1B67"/>
    <w:multiLevelType w:val="hybridMultilevel"/>
    <w:tmpl w:val="E2CE73D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1377" w:hanging="360"/>
      </w:pPr>
      <w:rPr>
        <w:rFonts w:ascii="Courier New" w:hAnsi="Courier New" w:cs="Courier New" w:hint="default"/>
      </w:rPr>
    </w:lvl>
    <w:lvl w:ilvl="3" w:tplc="04070001">
      <w:start w:val="1"/>
      <w:numFmt w:val="bullet"/>
      <w:lvlText w:val=""/>
      <w:lvlJc w:val="left"/>
      <w:pPr>
        <w:ind w:left="4612"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1E450EC"/>
    <w:multiLevelType w:val="hybridMultilevel"/>
    <w:tmpl w:val="876807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272C007C"/>
    <w:multiLevelType w:val="hybridMultilevel"/>
    <w:tmpl w:val="D9948DD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397807"/>
    <w:multiLevelType w:val="hybridMultilevel"/>
    <w:tmpl w:val="1A92ADC2"/>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1377" w:hanging="360"/>
      </w:pPr>
      <w:rPr>
        <w:rFonts w:ascii="Courier New" w:hAnsi="Courier New" w:cs="Courier New" w:hint="default"/>
      </w:rPr>
    </w:lvl>
    <w:lvl w:ilvl="3" w:tplc="04070001">
      <w:start w:val="1"/>
      <w:numFmt w:val="bullet"/>
      <w:lvlText w:val=""/>
      <w:lvlJc w:val="left"/>
      <w:pPr>
        <w:ind w:left="4612"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C0E5E50"/>
    <w:multiLevelType w:val="hybridMultilevel"/>
    <w:tmpl w:val="0DC0D1D0"/>
    <w:lvl w:ilvl="0" w:tplc="04070003">
      <w:start w:val="1"/>
      <w:numFmt w:val="bullet"/>
      <w:lvlText w:val="o"/>
      <w:lvlJc w:val="left"/>
      <w:pPr>
        <w:ind w:left="720" w:hanging="360"/>
      </w:pPr>
      <w:rPr>
        <w:rFonts w:ascii="Courier New" w:hAnsi="Courier New" w:cs="Courier New"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64139E"/>
    <w:multiLevelType w:val="hybridMultilevel"/>
    <w:tmpl w:val="7FD8243A"/>
    <w:lvl w:ilvl="0" w:tplc="04070003">
      <w:start w:val="1"/>
      <w:numFmt w:val="bullet"/>
      <w:lvlText w:val="o"/>
      <w:lvlJc w:val="left"/>
      <w:pPr>
        <w:ind w:left="720" w:hanging="360"/>
      </w:pPr>
      <w:rPr>
        <w:rFonts w:ascii="Courier New" w:hAnsi="Courier New" w:cs="Courier New"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E67C28"/>
    <w:multiLevelType w:val="hybridMultilevel"/>
    <w:tmpl w:val="CC76518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780935"/>
    <w:multiLevelType w:val="hybridMultilevel"/>
    <w:tmpl w:val="92A8DCAC"/>
    <w:lvl w:ilvl="0" w:tplc="04070003">
      <w:start w:val="1"/>
      <w:numFmt w:val="bullet"/>
      <w:lvlText w:val="o"/>
      <w:lvlJc w:val="left"/>
      <w:pPr>
        <w:ind w:left="720" w:hanging="360"/>
      </w:pPr>
      <w:rPr>
        <w:rFonts w:ascii="Courier New" w:hAnsi="Courier New" w:cs="Courier New" w:hint="default"/>
      </w:rPr>
    </w:lvl>
    <w:lvl w:ilvl="1" w:tplc="4C1EAE1A">
      <w:numFmt w:val="bullet"/>
      <w:lvlText w:val=""/>
      <w:lvlJc w:val="left"/>
      <w:pPr>
        <w:ind w:left="1440" w:hanging="360"/>
      </w:pPr>
      <w:rPr>
        <w:rFonts w:ascii="Wingdings" w:eastAsiaTheme="minorHAnsi" w:hAnsi="Wingding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321642"/>
    <w:multiLevelType w:val="hybridMultilevel"/>
    <w:tmpl w:val="4192C98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095C62"/>
    <w:multiLevelType w:val="hybridMultilevel"/>
    <w:tmpl w:val="4A52B3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E60A7E"/>
    <w:multiLevelType w:val="hybridMultilevel"/>
    <w:tmpl w:val="D368B3A8"/>
    <w:lvl w:ilvl="0" w:tplc="04070003">
      <w:start w:val="1"/>
      <w:numFmt w:val="bullet"/>
      <w:lvlText w:val="o"/>
      <w:lvlJc w:val="left"/>
      <w:pPr>
        <w:ind w:left="720" w:hanging="360"/>
      </w:pPr>
      <w:rPr>
        <w:rFonts w:ascii="Courier New" w:hAnsi="Courier New" w:cs="Courier New"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763B0E88"/>
    <w:multiLevelType w:val="hybridMultilevel"/>
    <w:tmpl w:val="F34E92B8"/>
    <w:lvl w:ilvl="0" w:tplc="04070003">
      <w:start w:val="1"/>
      <w:numFmt w:val="bullet"/>
      <w:lvlText w:val="o"/>
      <w:lvlJc w:val="left"/>
      <w:pPr>
        <w:ind w:left="720" w:hanging="360"/>
      </w:pPr>
      <w:rPr>
        <w:rFonts w:ascii="Courier New" w:hAnsi="Courier New" w:cs="Courier New"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9D06685"/>
    <w:multiLevelType w:val="hybridMultilevel"/>
    <w:tmpl w:val="A4EEB14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7C260A3C"/>
    <w:multiLevelType w:val="hybridMultilevel"/>
    <w:tmpl w:val="AF5A800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F14794B"/>
    <w:multiLevelType w:val="hybridMultilevel"/>
    <w:tmpl w:val="20F81E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F8D0840"/>
    <w:multiLevelType w:val="hybridMultilevel"/>
    <w:tmpl w:val="45EE4A6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FD55AE2"/>
    <w:multiLevelType w:val="hybridMultilevel"/>
    <w:tmpl w:val="2264D39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13"/>
  </w:num>
  <w:num w:numId="5">
    <w:abstractNumId w:val="6"/>
  </w:num>
  <w:num w:numId="6">
    <w:abstractNumId w:val="15"/>
  </w:num>
  <w:num w:numId="7">
    <w:abstractNumId w:val="20"/>
  </w:num>
  <w:num w:numId="8">
    <w:abstractNumId w:val="12"/>
  </w:num>
  <w:num w:numId="9">
    <w:abstractNumId w:val="19"/>
  </w:num>
  <w:num w:numId="10">
    <w:abstractNumId w:val="17"/>
  </w:num>
  <w:num w:numId="11">
    <w:abstractNumId w:val="4"/>
  </w:num>
  <w:num w:numId="12">
    <w:abstractNumId w:val="21"/>
  </w:num>
  <w:num w:numId="13">
    <w:abstractNumId w:val="3"/>
  </w:num>
  <w:num w:numId="14">
    <w:abstractNumId w:val="5"/>
  </w:num>
  <w:num w:numId="15">
    <w:abstractNumId w:val="7"/>
  </w:num>
  <w:num w:numId="16">
    <w:abstractNumId w:val="14"/>
  </w:num>
  <w:num w:numId="17">
    <w:abstractNumId w:val="9"/>
  </w:num>
  <w:num w:numId="18">
    <w:abstractNumId w:val="10"/>
  </w:num>
  <w:num w:numId="19">
    <w:abstractNumId w:val="18"/>
  </w:num>
  <w:num w:numId="20">
    <w:abstractNumId w:val="8"/>
  </w:num>
  <w:num w:numId="21">
    <w:abstractNumId w:val="16"/>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docId w15:val="{7F74055E-A2E0-43A9-BB1D-BF07EB6E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09405258">
      <w:bodyDiv w:val="1"/>
      <w:marLeft w:val="0"/>
      <w:marRight w:val="0"/>
      <w:marTop w:val="0"/>
      <w:marBottom w:val="0"/>
      <w:divBdr>
        <w:top w:val="none" w:sz="0" w:space="0" w:color="auto"/>
        <w:left w:val="none" w:sz="0" w:space="0" w:color="auto"/>
        <w:bottom w:val="none" w:sz="0" w:space="0" w:color="auto"/>
        <w:right w:val="none" w:sz="0" w:space="0" w:color="auto"/>
      </w:divBdr>
    </w:div>
    <w:div w:id="433478652">
      <w:bodyDiv w:val="1"/>
      <w:marLeft w:val="0"/>
      <w:marRight w:val="0"/>
      <w:marTop w:val="0"/>
      <w:marBottom w:val="0"/>
      <w:divBdr>
        <w:top w:val="none" w:sz="0" w:space="0" w:color="auto"/>
        <w:left w:val="none" w:sz="0" w:space="0" w:color="auto"/>
        <w:bottom w:val="none" w:sz="0" w:space="0" w:color="auto"/>
        <w:right w:val="none" w:sz="0" w:space="0" w:color="auto"/>
      </w:divBdr>
    </w:div>
    <w:div w:id="488249188">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36126089">
      <w:bodyDiv w:val="1"/>
      <w:marLeft w:val="0"/>
      <w:marRight w:val="0"/>
      <w:marTop w:val="0"/>
      <w:marBottom w:val="0"/>
      <w:divBdr>
        <w:top w:val="none" w:sz="0" w:space="0" w:color="auto"/>
        <w:left w:val="none" w:sz="0" w:space="0" w:color="auto"/>
        <w:bottom w:val="none" w:sz="0" w:space="0" w:color="auto"/>
        <w:right w:val="none" w:sz="0" w:space="0" w:color="auto"/>
      </w:divBdr>
    </w:div>
    <w:div w:id="78014832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87449360">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73110838">
      <w:bodyDiv w:val="1"/>
      <w:marLeft w:val="0"/>
      <w:marRight w:val="0"/>
      <w:marTop w:val="0"/>
      <w:marBottom w:val="0"/>
      <w:divBdr>
        <w:top w:val="none" w:sz="0" w:space="0" w:color="auto"/>
        <w:left w:val="none" w:sz="0" w:space="0" w:color="auto"/>
        <w:bottom w:val="none" w:sz="0" w:space="0" w:color="auto"/>
        <w:right w:val="none" w:sz="0" w:space="0" w:color="auto"/>
      </w:divBdr>
    </w:div>
    <w:div w:id="1244605780">
      <w:bodyDiv w:val="1"/>
      <w:marLeft w:val="0"/>
      <w:marRight w:val="0"/>
      <w:marTop w:val="0"/>
      <w:marBottom w:val="0"/>
      <w:divBdr>
        <w:top w:val="none" w:sz="0" w:space="0" w:color="auto"/>
        <w:left w:val="none" w:sz="0" w:space="0" w:color="auto"/>
        <w:bottom w:val="none" w:sz="0" w:space="0" w:color="auto"/>
        <w:right w:val="none" w:sz="0" w:space="0" w:color="auto"/>
      </w:divBdr>
    </w:div>
    <w:div w:id="1523471612">
      <w:bodyDiv w:val="1"/>
      <w:marLeft w:val="0"/>
      <w:marRight w:val="0"/>
      <w:marTop w:val="0"/>
      <w:marBottom w:val="0"/>
      <w:divBdr>
        <w:top w:val="none" w:sz="0" w:space="0" w:color="auto"/>
        <w:left w:val="none" w:sz="0" w:space="0" w:color="auto"/>
        <w:bottom w:val="none" w:sz="0" w:space="0" w:color="auto"/>
        <w:right w:val="none" w:sz="0" w:space="0" w:color="auto"/>
      </w:divBdr>
      <w:divsChild>
        <w:div w:id="1388410987">
          <w:marLeft w:val="1166"/>
          <w:marRight w:val="0"/>
          <w:marTop w:val="86"/>
          <w:marBottom w:val="0"/>
          <w:divBdr>
            <w:top w:val="none" w:sz="0" w:space="0" w:color="auto"/>
            <w:left w:val="none" w:sz="0" w:space="0" w:color="auto"/>
            <w:bottom w:val="none" w:sz="0" w:space="0" w:color="auto"/>
            <w:right w:val="none" w:sz="0" w:space="0" w:color="auto"/>
          </w:divBdr>
        </w:div>
      </w:divsChild>
    </w:div>
    <w:div w:id="1546478141">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6915101">
      <w:bodyDiv w:val="1"/>
      <w:marLeft w:val="0"/>
      <w:marRight w:val="0"/>
      <w:marTop w:val="0"/>
      <w:marBottom w:val="0"/>
      <w:divBdr>
        <w:top w:val="none" w:sz="0" w:space="0" w:color="auto"/>
        <w:left w:val="none" w:sz="0" w:space="0" w:color="auto"/>
        <w:bottom w:val="none" w:sz="0" w:space="0" w:color="auto"/>
        <w:right w:val="none" w:sz="0" w:space="0" w:color="auto"/>
      </w:divBdr>
      <w:divsChild>
        <w:div w:id="1608200037">
          <w:marLeft w:val="446"/>
          <w:marRight w:val="0"/>
          <w:marTop w:val="0"/>
          <w:marBottom w:val="0"/>
          <w:divBdr>
            <w:top w:val="none" w:sz="0" w:space="0" w:color="auto"/>
            <w:left w:val="none" w:sz="0" w:space="0" w:color="auto"/>
            <w:bottom w:val="none" w:sz="0" w:space="0" w:color="auto"/>
            <w:right w:val="none" w:sz="0" w:space="0" w:color="auto"/>
          </w:divBdr>
        </w:div>
        <w:div w:id="1925648021">
          <w:marLeft w:val="4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09-25.pptx" TargetMode="External"/><Relationship Id="rId13" Type="http://schemas.openxmlformats.org/officeDocument/2006/relationships/hyperlink" Target="Gesamtdokument_Pr&#228;ventionsma&#223;nahmen-Schulen_2020-09-25.doc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Testkriterien_neue%20Teststrategie_v3.1.docx"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Rapid%20review_NPIs_092320_DE_wr.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nitiativbericht%20an%20BMG-Quarant&#228;ne%20f&#252;r%20Haushalte.docx"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Gesamtdokument_Testen-in-Schulen_2020-09-25_v3.docx" TargetMode="External"/><Relationship Id="rId23" Type="http://schemas.openxmlformats.org/officeDocument/2006/relationships/fontTable" Target="fontTable.xml"/><Relationship Id="rId10" Type="http://schemas.openxmlformats.org/officeDocument/2006/relationships/hyperlink" Target="200925_Bayern_COVID_Krisenstab.ppt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Lage-National_2020-09-25.pptx" TargetMode="External"/><Relationship Id="rId14" Type="http://schemas.openxmlformats.org/officeDocument/2006/relationships/hyperlink" Target="Tabelle%201_Schwellenwerte_IndikatorenD_25.09.2020.docx"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2137C"/>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 w:type="paragraph" w:customStyle="1" w:styleId="0C4B8A6122554119894C54EFC080D47D">
    <w:name w:val="0C4B8A6122554119894C54EFC080D47D"/>
    <w:rsid w:val="005213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E3BE9-493F-4345-A9FC-6CA06584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2238</Words>
  <Characters>14102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22</cp:revision>
  <cp:lastPrinted>2020-09-21T12:50:00Z</cp:lastPrinted>
  <dcterms:created xsi:type="dcterms:W3CDTF">2020-09-23T19:35:00Z</dcterms:created>
  <dcterms:modified xsi:type="dcterms:W3CDTF">2021-05-06T13:13:00Z</dcterms:modified>
</cp:coreProperties>
</file>