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30.09.2020,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Viterokonferenz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 (</w:t>
      </w:r>
      <w:proofErr w:type="spellStart"/>
      <w:r>
        <w:rPr>
          <w:b/>
          <w:sz w:val="22"/>
        </w:rPr>
        <w:t>VPräs</w:t>
      </w:r>
      <w:proofErr w:type="spellEnd"/>
      <w:r>
        <w:rPr>
          <w:b/>
          <w:sz w:val="22"/>
        </w:rPr>
        <w:t>)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proofErr w:type="spellStart"/>
      <w:r>
        <w:rPr>
          <w:sz w:val="22"/>
        </w:rPr>
        <w:t>Präs</w:t>
      </w:r>
      <w:proofErr w:type="spellEnd"/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 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 17</w:t>
      </w:r>
    </w:p>
    <w:p>
      <w:pPr>
        <w:pStyle w:val="Listenabsatz"/>
        <w:numPr>
          <w:ilvl w:val="1"/>
          <w:numId w:val="3"/>
        </w:numPr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24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rPr>
          <w:sz w:val="22"/>
        </w:rPr>
      </w:pPr>
      <w:r>
        <w:rPr>
          <w:sz w:val="22"/>
        </w:rPr>
        <w:t>Luisa Denkel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34</w:t>
      </w:r>
    </w:p>
    <w:p>
      <w:pPr>
        <w:pStyle w:val="Listenabsatz"/>
        <w:numPr>
          <w:ilvl w:val="1"/>
          <w:numId w:val="4"/>
        </w:numPr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Udo Buchholz</w:t>
      </w:r>
    </w:p>
    <w:p>
      <w:pPr>
        <w:pStyle w:val="Listenabsatz"/>
        <w:numPr>
          <w:ilvl w:val="1"/>
          <w:numId w:val="2"/>
        </w:numPr>
        <w:rPr>
          <w:sz w:val="22"/>
        </w:rPr>
      </w:pPr>
      <w:r>
        <w:rPr>
          <w:sz w:val="22"/>
        </w:rPr>
        <w:t>Anna Stoliaroff-Pépin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Mirjam Jenny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MF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Nancy Erickson (Protokoll)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33 Mio. Fälle und ca. 1 Mio. Verstorbene (3,0 %)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Unverändert im Vergleich zu Montag, Indien weiter führend, Trends insgesamt leicht abnehmend, während Entwicklung in Europa dynamischer zu werden scheint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Länder mit Inzidenz &gt;50; Ozeanien: Franz. Polynesien neu hinzugekommen; Amerika: United States Virgin Islands und Guyana nicht mehr gelistet; Länder Eurasiens: unverändert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 Europa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hinzugekommen: Rumänien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Telefonkonferenz zu Risikogebieten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Beratung zu Risikogebieten immer Mittwochs mit BMG, BMI und weiteren Beteiligten statt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Erläuterung der Hintergrundinformationen als Entscheidungsgrundlage anhand des Beispiels Belgien (s.u.)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Montags Hintergrundrecherche zu Ländern im Fokus anhand von WHO-Daten (bilden Daten täglich und regional ab), dazu wird die Situation jeweils im gesamten Land erfasst sowie weitere Parameter wie </w:t>
            </w:r>
            <w:proofErr w:type="spellStart"/>
            <w:r>
              <w:rPr>
                <w:sz w:val="22"/>
                <w:szCs w:val="22"/>
              </w:rPr>
              <w:t>Testrate</w:t>
            </w:r>
            <w:proofErr w:type="spellEnd"/>
            <w:r>
              <w:rPr>
                <w:sz w:val="22"/>
                <w:szCs w:val="22"/>
              </w:rPr>
              <w:t xml:space="preserve"> und Situation in Krankenhaus und ITS hinzugezogen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EURO Daten mit Farbkodierung (Folie 5): Rot = Schwellenwert (50, gestrichelte Linie in Grafik) überschritten und KEIN Risikogebiet (hier </w:t>
            </w:r>
            <w:proofErr w:type="spellStart"/>
            <w:r>
              <w:rPr>
                <w:sz w:val="22"/>
                <w:szCs w:val="22"/>
              </w:rPr>
              <w:t>Wallonia</w:t>
            </w:r>
            <w:proofErr w:type="spellEnd"/>
            <w:r>
              <w:rPr>
                <w:sz w:val="22"/>
                <w:szCs w:val="22"/>
              </w:rPr>
              <w:t>, Flandern); Orange = Schwellenwert überschritten UND Risikogebiet laut RKI (hier Brüssel); Brüssel zudem bei</w:t>
            </w:r>
            <w:r>
              <w:rPr>
                <w:rFonts w:eastAsiaTheme="minorEastAsia" w:hAnsi="Calibri"/>
                <w:bCs/>
                <w:color w:val="FFFFFF" w:themeColor="light1"/>
                <w:kern w:val="24"/>
                <w:lang w:eastAsia="de-DE"/>
              </w:rPr>
              <w:t xml:space="preserve"> </w:t>
            </w:r>
            <w:r>
              <w:rPr>
                <w:bCs/>
                <w:sz w:val="22"/>
                <w:szCs w:val="22"/>
              </w:rPr>
              <w:t>&gt; Schwellenwert (x / 10 T) von 10 = an 10 von 10 Tagen Schwellenwert-Überschreitung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Zusammenfassung: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Mehr als 1 Mio. Todesfälle, vor allem Amerika, Asien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 sehr aktives Infektionsgeschehen in Europa 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Anm.: Bei welcher Falldefinition getestet wird soll über INIG ggf. aufgearbeitet werden bzw. sind Falldefinition der Testung / Teststrategie ggf. interessant, jedoch sind Testempfehlungen bzw. Falldefinition für Testung in den Ländern unterschiedlich und dementsprechend ist die Teststrategie schwer zu monitoren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289.219 (+1.798), davon 9.488 (3,3%) Todesfälle (+17), Inzidenz  348/100.000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, ca. 256.000 Genesene, 4T R=0,96; 7T R=1,00,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7-Tage-Inzidenz: 14,5 Fälle 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 (steigt langsam an), z.T. auch höhere Anzahl an Verstorbenen, Ältere wieder stärker betroffen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 ca. 14,5 %, v.a. Bremen, Berlin und Hamburg betroffen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Bremen aktuell höchste Inzidenz, presseseitig </w:t>
            </w:r>
            <w:proofErr w:type="spellStart"/>
            <w:r>
              <w:rPr>
                <w:sz w:val="22"/>
                <w:szCs w:val="22"/>
              </w:rPr>
              <w:t>mut</w:t>
            </w:r>
            <w:proofErr w:type="spellEnd"/>
            <w:r>
              <w:rPr>
                <w:sz w:val="22"/>
                <w:szCs w:val="22"/>
              </w:rPr>
              <w:t xml:space="preserve">-maßliche Ursache: kein bestimmtes Ausbruchs-geschehen, sondern bedingt u.a. durch private Feiern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hier wird bei der zuständigen Behörde nachgehakt, ob deren Daten im Einklang mit diesen presseseitigen Informationen sind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Mecklenburg-Vorpommern, Saarland, Thüringen: sehr niedrige Inzidenz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Saarland als Nachbarregion zu Frankreich besonders niedrige und Sachsen als Nachbarregion zu Tschechien niedrige Inzidenz 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LK &gt; 50; meist zurückzuführen auf bestimmte Ausbruchsgeschehen (Hamm: Hochzeit(en), Remscheid: Kitas, Schulen &amp; Reiserückkehrer)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 &gt; 25 (Mitte, Friedrichshain-Kreuzberg, Tempelhof-Schöneberg, Neukölln), Berechnungs-grundlage muss mit zust. Behörde geklärt werden, Verzögerung der Übermittlung trägt auch zu Anstieg bei, in welchem Umfang ist unklar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Dienstag in den Lagebericht aufgenommen: zwei Spalten in Tabelle 3 („Die dem RKI übermittelten COVID-19-Fälle nach Geschlecht sowie Anteil Hospitalisierung und Verstorbene): „Anzahl mit klinischen Informationen“ und „Anteil keine bzw. keine für COVID-19 bedeutsame Symptome“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30 % asymptomatischer Anteil ist im Vergleich zu Daten serologischer Studien in </w:t>
            </w:r>
            <w:proofErr w:type="spellStart"/>
            <w:r>
              <w:rPr>
                <w:sz w:val="22"/>
                <w:szCs w:val="22"/>
              </w:rPr>
              <w:t>hotspots</w:t>
            </w:r>
            <w:proofErr w:type="spellEnd"/>
            <w:r>
              <w:rPr>
                <w:sz w:val="22"/>
                <w:szCs w:val="22"/>
              </w:rPr>
              <w:t xml:space="preserve">  (ca. 16 %) viel höher, ggf. abhängig von zugrundliegender Analysetiefe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</w:rPr>
              <w:t>Laborbasierte Surveillance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Testhäufigkeit (dargestellt: ca. 1/3 der Labore; Folie 2): ggf. </w:t>
            </w:r>
            <w:r>
              <w:rPr>
                <w:sz w:val="22"/>
                <w:szCs w:val="22"/>
                <w:lang w:val="en-US"/>
              </w:rPr>
              <w:t xml:space="preserve">Zenit </w:t>
            </w:r>
            <w:proofErr w:type="spellStart"/>
            <w:r>
              <w:rPr>
                <w:sz w:val="22"/>
                <w:szCs w:val="22"/>
                <w:lang w:val="en-US"/>
              </w:rPr>
              <w:t>erreicht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Anzahl Testungen pro 100.000 </w:t>
            </w:r>
            <w:proofErr w:type="spellStart"/>
            <w:r>
              <w:rPr>
                <w:bCs/>
                <w:sz w:val="22"/>
                <w:szCs w:val="22"/>
              </w:rPr>
              <w:t>Ew</w:t>
            </w:r>
            <w:proofErr w:type="spellEnd"/>
            <w:r>
              <w:rPr>
                <w:bCs/>
                <w:sz w:val="22"/>
                <w:szCs w:val="22"/>
              </w:rPr>
              <w:t xml:space="preserve"> nach Altersgruppe und Kalenderwoche (Folie 3)</w:t>
            </w:r>
            <w:r>
              <w:rPr>
                <w:sz w:val="22"/>
                <w:szCs w:val="22"/>
              </w:rPr>
              <w:t>: nach wie vor Ältere sowie 15- bis 59-Jährige vermehrt getestet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Positivenanteile</w:t>
            </w:r>
            <w:proofErr w:type="spellEnd"/>
            <w:r>
              <w:rPr>
                <w:bCs/>
                <w:sz w:val="22"/>
                <w:szCs w:val="22"/>
              </w:rPr>
              <w:t xml:space="preserve"> nach Altersgruppe und Kalenderwoche (Folie 4)</w:t>
            </w:r>
            <w:r>
              <w:rPr>
                <w:sz w:val="22"/>
                <w:szCs w:val="22"/>
              </w:rPr>
              <w:t xml:space="preserve">: zu Beginn des Jahres große Unterschiede zwischen den </w:t>
            </w:r>
            <w:proofErr w:type="spellStart"/>
            <w:r>
              <w:rPr>
                <w:sz w:val="22"/>
                <w:szCs w:val="22"/>
              </w:rPr>
              <w:t>Altergruppen</w:t>
            </w:r>
            <w:proofErr w:type="spellEnd"/>
            <w:r>
              <w:rPr>
                <w:sz w:val="22"/>
                <w:szCs w:val="22"/>
              </w:rPr>
              <w:t xml:space="preserve"> bei Positivraten von bis zu 15 %, jetzt Clusterung weit unterhalb 2,5 %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Berlin (Folie 6): Altersgruppen der </w:t>
            </w:r>
            <w:r>
              <w:rPr>
                <w:bCs/>
                <w:sz w:val="22"/>
                <w:szCs w:val="22"/>
              </w:rPr>
              <w:t xml:space="preserve">Anzahl Testungen pro 100.000 </w:t>
            </w:r>
            <w:proofErr w:type="spellStart"/>
            <w:r>
              <w:rPr>
                <w:bCs/>
                <w:sz w:val="22"/>
                <w:szCs w:val="22"/>
              </w:rPr>
              <w:t>Ew</w:t>
            </w:r>
            <w:proofErr w:type="spellEnd"/>
            <w:r>
              <w:rPr>
                <w:bCs/>
                <w:sz w:val="22"/>
                <w:szCs w:val="22"/>
              </w:rPr>
              <w:t xml:space="preserve"> nach Altersgruppe und Kalenderwoche zeigen eine andere Verteilung im Vergleich zu Deutschland (Folie 3), hier </w:t>
            </w:r>
            <w:r>
              <w:rPr>
                <w:bCs/>
                <w:sz w:val="22"/>
                <w:szCs w:val="22"/>
              </w:rPr>
              <w:lastRenderedPageBreak/>
              <w:t>deutlicher Anstieg bei den 15- bis 34-Jährigen, mögliche Erklärung: in Berlin derzeit nur ein Teil der Labore abgebildet</w:t>
            </w:r>
            <w:r>
              <w:rPr>
                <w:sz w:val="22"/>
                <w:szCs w:val="22"/>
              </w:rPr>
              <w:t xml:space="preserve">, bspw. Labor28: derzeit keine Datenübermittlung möglich (= ca. 90 % Daten aus dem </w:t>
            </w:r>
            <w:proofErr w:type="spellStart"/>
            <w:r>
              <w:rPr>
                <w:sz w:val="22"/>
                <w:szCs w:val="22"/>
              </w:rPr>
              <w:t>ambulaten</w:t>
            </w:r>
            <w:proofErr w:type="spellEnd"/>
            <w:r>
              <w:rPr>
                <w:sz w:val="22"/>
                <w:szCs w:val="22"/>
              </w:rPr>
              <w:t xml:space="preserve"> Bereich, derzeit dementsprechend vermehrt Daten aus Hospitalbereich)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Berlin (Folie 7):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im Vergleich zu Deutschland hier in der Altersgruppe der 15- bis 34-Jährigen sowie 35- bis 59-Jährigen Anstieg zu verzeichnen (Grafik unten rechts), aber auch bei älteren Altersgruppen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Bayern (Folien 8 &amp; 9): Verlauf hier ähnlicher zu Daten von Deutschland insgesamt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Tage zwischen Probenentnahme und Tag der Durchführung des Tests (Folien 10 jeweilige Anzahl der Tests &amp; Folie 11 Anteil der Tests nach Tagen): bspw. 0 = Test am Tag der Probenahme; 2 = 2 Tage zwischen Probenentnahme und Test; Vergleich München </w:t>
            </w:r>
            <w:r>
              <w:rPr>
                <w:i/>
                <w:sz w:val="22"/>
                <w:szCs w:val="22"/>
              </w:rPr>
              <w:t>versus</w:t>
            </w:r>
            <w:r>
              <w:rPr>
                <w:sz w:val="22"/>
                <w:szCs w:val="22"/>
              </w:rPr>
              <w:t xml:space="preserve"> Berlin: in Berlin geringfügig häufigere Verzögerungen, jedoch insgesamt Großteil der Tests am Tag der Probenahme durchgeführt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Auffälligkeiten o.g. Daten  im Vergleich werden weiter eruiert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</w:t>
            </w:r>
            <w:r>
              <w:rPr>
                <w:sz w:val="22"/>
                <w:szCs w:val="22"/>
              </w:rPr>
              <w:t xml:space="preserve"> (Dokument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Grippeweb: Gesamt-ARE-Raten bis 39 KW liegen unterhalb derer der letzten drei Vorsaisons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ARE-Rate bis 39. KW: Kinder: Anstieg eine Woche früher im Vergleich zu Vorsaison; Erwachsene: derzeit Anstieg, aber unter Werten der </w:t>
            </w:r>
            <w:proofErr w:type="spellStart"/>
            <w:r>
              <w:rPr>
                <w:sz w:val="22"/>
                <w:szCs w:val="22"/>
              </w:rPr>
              <w:t>letzen</w:t>
            </w:r>
            <w:proofErr w:type="spellEnd"/>
            <w:r>
              <w:rPr>
                <w:sz w:val="22"/>
                <w:szCs w:val="22"/>
              </w:rPr>
              <w:t xml:space="preserve"> zwei Vorsaisons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 Influenza </w:t>
            </w:r>
            <w:proofErr w:type="spellStart"/>
            <w:r>
              <w:rPr>
                <w:sz w:val="22"/>
                <w:szCs w:val="22"/>
              </w:rPr>
              <w:t>Praxisindez</w:t>
            </w:r>
            <w:proofErr w:type="spellEnd"/>
            <w:r>
              <w:rPr>
                <w:sz w:val="22"/>
                <w:szCs w:val="22"/>
              </w:rPr>
              <w:t>: relative Anzahl der ARE-Besuche in Arztpraxen im Vergleich zu letzten drei Vorsaisons insgesamt niedriger, kein derzeitig zu verzeichnender Anstieg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ARE-Konsultationsinzidenz: zwei Peaks bei Kindern (0 bis 4 und 5 bis 14 Jahre) nach Lockdown bei partieller Schulöffnung sowie nach Ferienende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Regionale ARE-Konsultationsinzidenz, Ferienende eingezeichnet (senkrechter Balken): höchste Rate insgesamt bei 0- bis 4-Jährigen, gefolgt von 5- bis 14-Jährigen;  Anstieg in 38. KW bei &gt; 60-Jährigen in Berlin/BB hat sich wieder relativiert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Neues Folienformat (Folie 8, COVID-19-Inzidenz je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): rechte y-Achse Skalierung auf 10.000, linke y-Achse auf 100; derzeit etwas höheres Herbstniveau zu verzeichnen, nach Ferien üblicher Anstieg bei Kindern bzw. Schulkindern; nach Grippewelle entgegengesetzt, hier Erwachsene am stärksten betroffen; derzeit (um 39. KW) nehmen COVID-19-Fälle in der Altersgruppe der 15- bis 34-Jährigen  zu, spiegeln sich z.T. in ARE-Aktivität wieder (COVID-19  nur kleiner Anteil der ARE)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 – SARI-Fälle: normales saisonales Niveau, transient höherer Anteil hospitalisierter Kinder wieder zurückgegangen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SARI-Fälle mit COVID-Diagnose: in 38. KW auf 5 % gestiegen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Eruierung möglicher Erklärungsansätze des in allen abgebildeten </w:t>
            </w:r>
            <w:proofErr w:type="spellStart"/>
            <w:r>
              <w:rPr>
                <w:i/>
                <w:sz w:val="22"/>
                <w:szCs w:val="22"/>
              </w:rPr>
              <w:t>BuLä</w:t>
            </w:r>
            <w:proofErr w:type="spellEnd"/>
            <w:r>
              <w:rPr>
                <w:i/>
                <w:sz w:val="22"/>
                <w:szCs w:val="22"/>
              </w:rPr>
              <w:t xml:space="preserve"> zu verzeichnende Anstieg vor Ferienende (um KW 27 </w:t>
            </w:r>
            <w:r>
              <w:rPr>
                <w:i/>
                <w:sz w:val="22"/>
                <w:szCs w:val="22"/>
              </w:rPr>
              <w:lastRenderedPageBreak/>
              <w:t xml:space="preserve">in Berlin/BB, um KW 30 in Bayern und BaWü) mit Ausnahme von NRW (siehe Folie 7)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 (Luisa Denkel)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32 </w:t>
            </w:r>
            <w:r>
              <w:rPr>
                <w:sz w:val="22"/>
                <w:szCs w:val="22"/>
              </w:rPr>
              <w:lastRenderedPageBreak/>
              <w:t xml:space="preserve">(Michaela Diercke)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37 (Tim 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 (Silke Buda)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Kein bedarf</w:t>
            </w:r>
          </w:p>
          <w:p>
            <w:pPr>
              <w:ind w:left="25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anwesend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Derzeit Engpässe hinsichtlich Internetauftritt bis voraussichtlich kommende Woche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Ergänzung der AHA-Regel um „L“ für Lüften und „C“ für Corona-Warn-App muss noch geklärt werden, ggf. mit BMG bzw. BZgA (derzeit dort soweit nicht vorhanden)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Bundeswehr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anwesend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(Ronja Wenchel / Susanne Glasmacher)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453"/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Strategiepapier liegt im BMG zur Freigabe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Rückmeldung zum weiteren Umgang mit Empfehlungen  (bspw. hinsichtlich häuslicher Quarantäne) steht seitens BMG aus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Überlastungsanzeigen aktuell seitens SH Pinneberg und Berlin; laut EPILAG 29.09. viele weitere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jedoch sehr dicht an Überlastungsanzeige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Kontaktpersonennachverfolgung essentiell, soll aufrechterhalten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Containment Scouts überaus gutes Erfolgsmodell in der Unterstützung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In Rücksprache mit Gesundheitsämtern klären, wie Arbeitslast reduzierbar ist (bspw. hinsichtlich täglicher Anrufe der von in Quarantäne befindlicher Personen durch die Gesundheitsämter) </w:t>
            </w:r>
          </w:p>
          <w:p>
            <w:pPr>
              <w:ind w:left="113"/>
              <w:rPr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Proaktives Herantreten an BMG: Nach unserem Eindruck und </w:t>
            </w:r>
            <w:r>
              <w:rPr>
                <w:i/>
                <w:sz w:val="22"/>
                <w:szCs w:val="22"/>
              </w:rPr>
              <w:lastRenderedPageBreak/>
              <w:t xml:space="preserve">positiver Rückmeldung der Länder schlagen wir den Einsatz weiterer 500 Containment Scouts vor. Darüber hinaus erinnern wir an das  </w:t>
            </w:r>
            <w:proofErr w:type="spellStart"/>
            <w:r>
              <w:rPr>
                <w:i/>
                <w:sz w:val="22"/>
                <w:szCs w:val="22"/>
              </w:rPr>
              <w:t>Commitment</w:t>
            </w:r>
            <w:proofErr w:type="spellEnd"/>
            <w:r>
              <w:rPr>
                <w:i/>
                <w:sz w:val="22"/>
                <w:szCs w:val="22"/>
              </w:rPr>
              <w:t xml:space="preserve">  der Länder (siehe Beschluss: je 20.000 </w:t>
            </w:r>
            <w:proofErr w:type="spellStart"/>
            <w:r>
              <w:rPr>
                <w:i/>
                <w:sz w:val="22"/>
                <w:szCs w:val="22"/>
              </w:rPr>
              <w:t>Ew</w:t>
            </w:r>
            <w:proofErr w:type="spellEnd"/>
            <w:r>
              <w:rPr>
                <w:i/>
                <w:sz w:val="22"/>
                <w:szCs w:val="22"/>
              </w:rPr>
              <w:t xml:space="preserve"> sollten 20 Teams a 5 Personen von jeweiligen LK gestellt werden)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spacing w:after="12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 (Lars Schaade)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Änderungen im Kontaktpersonenmanagementpapier (Dokument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Kontaktpersonen Kategorie I, zwei Falldefinitionen unterschieden </w:t>
            </w:r>
            <w:r>
              <w:rPr>
                <w:bCs/>
                <w:sz w:val="22"/>
                <w:szCs w:val="22"/>
              </w:rPr>
              <w:t>(siehe S. 3)</w:t>
            </w:r>
            <w:r>
              <w:rPr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bCs/>
                <w:sz w:val="22"/>
                <w:szCs w:val="22"/>
              </w:rPr>
              <w:t xml:space="preserve">Infektiöses Virus wird vom Quellfall  über Aerosole/Kleinpartikel (im Folgenden als „Aerosol(e)“ bezeichnet) bzw. (in viel kleinerer Anzahl*) über Tröpfchen ausgestoßen (emittiert). […]  </w:t>
            </w:r>
            <w:r>
              <w:rPr>
                <w:bCs/>
                <w:sz w:val="22"/>
                <w:szCs w:val="22"/>
                <w:u w:val="single"/>
              </w:rPr>
              <w:t>Nahfeld &gt; 1,5 m</w:t>
            </w:r>
            <w:r>
              <w:rPr>
                <w:bCs/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B.</w:t>
            </w:r>
            <w:r>
              <w:rPr>
                <w:rFonts w:ascii="Times New Roman" w:eastAsia="Times New Roman" w:hAnsi="Times New Roman" w:cs="Times New Roman"/>
                <w:bCs/>
                <w:szCs w:val="36"/>
                <w:lang w:eastAsia="de-DE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Aerosole  können in einem nicht oder schlecht belüfteten Raum über Stunden schweben, wobei das vermehrungsfähige Virus eine Halbwertszeit von etwa 1 Stunde hat. […] </w:t>
            </w:r>
            <w:r>
              <w:rPr>
                <w:bCs/>
                <w:sz w:val="22"/>
                <w:szCs w:val="22"/>
                <w:u w:val="single"/>
              </w:rPr>
              <w:t>Abstand zu Quelle irrelevant</w:t>
            </w:r>
            <w:r>
              <w:rPr>
                <w:bCs/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*Zusatz soll gestrichen werden (dazu weiter siehe unten)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Diese Falldefinitionen sind nun detaillierter beschrieben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 entsprechend in Tabelle: KP1 unterschieden zwischen Nahfeld und Aerosol, deutlichere Überschriften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Gestrichen werden soll (S.  6): </w:t>
            </w:r>
            <w:r>
              <w:rPr>
                <w:bCs/>
                <w:i/>
                <w:sz w:val="22"/>
                <w:szCs w:val="22"/>
              </w:rPr>
              <w:t xml:space="preserve">Eine Testung asymptomatischer Kontaktpersonen der Kategorie 1 zur frühzeitigen Erkennung von prä- oder asymptomatischen Infektionen sollte durchgeführt wer-den. Die Testung sollte so früh wie möglich an Tag 1 der </w:t>
            </w:r>
            <w:proofErr w:type="spellStart"/>
            <w:r>
              <w:rPr>
                <w:bCs/>
                <w:i/>
                <w:sz w:val="22"/>
                <w:szCs w:val="22"/>
              </w:rPr>
              <w:t>Ermitt-lung</w:t>
            </w:r>
            <w:proofErr w:type="spellEnd"/>
            <w:r>
              <w:rPr>
                <w:bCs/>
                <w:i/>
                <w:sz w:val="22"/>
                <w:szCs w:val="22"/>
              </w:rPr>
              <w:t xml:space="preserve"> erfolgen, um mögliche Kontakte der positiven </w:t>
            </w:r>
            <w:proofErr w:type="spellStart"/>
            <w:r>
              <w:rPr>
                <w:bCs/>
                <w:i/>
                <w:sz w:val="22"/>
                <w:szCs w:val="22"/>
              </w:rPr>
              <w:t>asymptoma</w:t>
            </w:r>
            <w:proofErr w:type="spellEnd"/>
            <w:r>
              <w:rPr>
                <w:bCs/>
                <w:i/>
                <w:sz w:val="22"/>
                <w:szCs w:val="22"/>
              </w:rPr>
              <w:t>-tischen Kontaktpersonen rechtzeitig in die Quarantäne zu schicken. Zusätzlich sollte 5-7 Tage nach der Erstexposition ein zweiter Test erfolgen, da zu diesem Zeitpunkt die höchste Wahr-</w:t>
            </w:r>
            <w:proofErr w:type="spellStart"/>
            <w:r>
              <w:rPr>
                <w:bCs/>
                <w:i/>
                <w:sz w:val="22"/>
                <w:szCs w:val="22"/>
              </w:rPr>
              <w:t>scheinlichkeit</w:t>
            </w:r>
            <w:proofErr w:type="spellEnd"/>
            <w:r>
              <w:rPr>
                <w:bCs/>
                <w:i/>
                <w:sz w:val="22"/>
                <w:szCs w:val="22"/>
              </w:rPr>
              <w:t xml:space="preserve"> für einen Erregernachweis besteht. Es ist zu betonen, dass ein negatives Testergebnis das </w:t>
            </w:r>
            <w:proofErr w:type="spellStart"/>
            <w:r>
              <w:rPr>
                <w:bCs/>
                <w:i/>
                <w:sz w:val="22"/>
                <w:szCs w:val="22"/>
              </w:rPr>
              <w:t>Gesundheitsmonitoring</w:t>
            </w:r>
            <w:proofErr w:type="spellEnd"/>
            <w:r>
              <w:rPr>
                <w:bCs/>
                <w:i/>
                <w:sz w:val="22"/>
                <w:szCs w:val="22"/>
              </w:rPr>
              <w:t xml:space="preserve"> nicht aufhebt und die Quarantänezeit nicht verkürzt! 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Synopse Kontaktpersonenmanagement (S. 12): Kontakt-reduktion bei Kategorie III: „Nein“ An dieser Stelle wird eine präzisere Aussage zu den privaten Kontakten gewünscht (das gilt auch für KPs, die bei Personalmangel nach einer Woche wieder arbeiten dürfen, obwohl sie KP 1 sind)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Diskussion: FG14 weist auf Diskrepanz </w:t>
            </w:r>
            <w:proofErr w:type="spellStart"/>
            <w:r>
              <w:rPr>
                <w:sz w:val="22"/>
                <w:szCs w:val="22"/>
              </w:rPr>
              <w:t>bzgl</w:t>
            </w:r>
            <w:proofErr w:type="spellEnd"/>
            <w:r>
              <w:rPr>
                <w:sz w:val="22"/>
                <w:szCs w:val="22"/>
              </w:rPr>
              <w:t xml:space="preserve"> der Zulässigkeit von MNB bei Patienten  zu Schutzmaskenempfehlungen der </w:t>
            </w:r>
            <w:proofErr w:type="spellStart"/>
            <w:r>
              <w:rPr>
                <w:sz w:val="22"/>
                <w:szCs w:val="22"/>
              </w:rPr>
              <w:t>BAuA</w:t>
            </w:r>
            <w:proofErr w:type="spellEnd"/>
            <w:r>
              <w:rPr>
                <w:sz w:val="22"/>
                <w:szCs w:val="22"/>
              </w:rPr>
              <w:t xml:space="preserve"> hin und bittet um </w:t>
            </w:r>
            <w:r>
              <w:rPr>
                <w:sz w:val="22"/>
                <w:szCs w:val="22"/>
              </w:rPr>
              <w:lastRenderedPageBreak/>
              <w:t>Entscheidung des Krisenstabs. Der KS entscheidet, dass dieser Passus bestehen bleibt.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„bzw. (in viel kleinerer Anzahl) über Tröpfchen“ : statt „bzw.“ bitte „UND“ verwenden sowie „(in viel kleinerer Anzahl)“ streichen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Unterteilung Nahfeld – </w:t>
            </w:r>
            <w:proofErr w:type="spellStart"/>
            <w:r>
              <w:rPr>
                <w:i/>
                <w:sz w:val="22"/>
                <w:szCs w:val="22"/>
              </w:rPr>
              <w:t>Fernfeld</w:t>
            </w:r>
            <w:proofErr w:type="spellEnd"/>
            <w:r>
              <w:rPr>
                <w:i/>
                <w:sz w:val="22"/>
                <w:szCs w:val="22"/>
              </w:rPr>
              <w:t xml:space="preserve"> sollten breit verteilt erläutert werden, nicht nur hier oder im Steckbrief sondern auch in Erklärvideos, bitte an Frau Rexroth, das BZgA darauf anzusprechen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in kleinerem Verteiler/den jeweiligen AGs nochmal zirkulieren unter Federführung FG 36 und Beteiligung FG37 und FG14. Konsolidierte Fassung: Deadline Montag oder Mittwoch im Krisenstab neu beraten! 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Hierbei ggf. zu berücksichtigende Diskussionspunkte: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ggf. Diskrepanz zur generellen Empfehlung des MNS der </w:t>
            </w:r>
            <w:proofErr w:type="spellStart"/>
            <w:r>
              <w:rPr>
                <w:sz w:val="22"/>
                <w:szCs w:val="22"/>
              </w:rPr>
              <w:t>BAuA</w:t>
            </w:r>
            <w:proofErr w:type="spellEnd"/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Empfehlung in diesem Schriftstück gilt für generelle, ambulante Versorgung, nicht ausschließlich Krankenhaus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BAuA</w:t>
            </w:r>
            <w:proofErr w:type="spellEnd"/>
            <w:r>
              <w:rPr>
                <w:sz w:val="22"/>
                <w:szCs w:val="22"/>
              </w:rPr>
              <w:t xml:space="preserve">-Kompetenz gegenüber Beschäftigten </w:t>
            </w:r>
            <w:r>
              <w:rPr>
                <w:i/>
                <w:sz w:val="22"/>
                <w:szCs w:val="22"/>
              </w:rPr>
              <w:t>versus</w:t>
            </w:r>
            <w:r>
              <w:rPr>
                <w:sz w:val="22"/>
                <w:szCs w:val="22"/>
              </w:rPr>
              <w:t xml:space="preserve"> Patienten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Bezug zu anderen Hygieneempfehlungen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 zu beachten: Detailgrad der Definitionen (Dauer, Raumgröße, hinsichtlich Partikelhalbwertszeiten, Quantifizierbarkeit Viruslast einer Person), Möglichkeit des Auftretens neuerlicher Nachfragen und </w:t>
            </w:r>
            <w:proofErr w:type="spellStart"/>
            <w:r>
              <w:rPr>
                <w:sz w:val="22"/>
                <w:szCs w:val="22"/>
              </w:rPr>
              <w:t>Missverständlichkeiten</w:t>
            </w:r>
            <w:proofErr w:type="spellEnd"/>
            <w:r>
              <w:rPr>
                <w:sz w:val="22"/>
                <w:szCs w:val="22"/>
              </w:rPr>
              <w:t xml:space="preserve"> o.ä.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Wahl der Testzeitpunkte bzw. Möglichkeit der </w:t>
            </w:r>
            <w:proofErr w:type="spellStart"/>
            <w:r>
              <w:rPr>
                <w:sz w:val="22"/>
                <w:szCs w:val="22"/>
              </w:rPr>
              <w:t>Testeinsparnis</w:t>
            </w:r>
            <w:proofErr w:type="spellEnd"/>
            <w:r>
              <w:rPr>
                <w:sz w:val="22"/>
                <w:szCs w:val="22"/>
              </w:rPr>
              <w:t xml:space="preserve">: so früh wie möglich ab Tag 1 der Ermittlung sowie an Tag 5 – 7: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ggf. Tag 1 nach Ermittlung weglassen, da das ohnehin eher der Tag 3 oder 4 wäre oder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ersten Testzeitpunkt beibehalten, da betreffende Person danach sowieso </w:t>
            </w:r>
            <w:proofErr w:type="spellStart"/>
            <w:r>
              <w:rPr>
                <w:sz w:val="22"/>
                <w:szCs w:val="22"/>
              </w:rPr>
              <w:t>quarantänisiert</w:t>
            </w:r>
            <w:proofErr w:type="spellEnd"/>
            <w:r>
              <w:rPr>
                <w:sz w:val="22"/>
                <w:szCs w:val="22"/>
              </w:rPr>
              <w:t xml:space="preserve">, dient dann der KP-Information </w:t>
            </w:r>
          </w:p>
          <w:p>
            <w:pPr>
              <w:pStyle w:val="Listenabsatz"/>
              <w:ind w:left="1800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(Anna Stoliaroff-Pépin)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Informationen zu Arbeitsschutz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Virologische Surveillance: stabiles Niveau, 50 % </w:t>
            </w:r>
            <w:proofErr w:type="spellStart"/>
            <w:r>
              <w:rPr>
                <w:sz w:val="22"/>
              </w:rPr>
              <w:t>Rhinovirus</w:t>
            </w:r>
            <w:proofErr w:type="spellEnd"/>
            <w:r>
              <w:rPr>
                <w:sz w:val="22"/>
              </w:rPr>
              <w:t xml:space="preserve">, keine weiteren Influenza/SARS-COV2-Nachweise 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Zunahme von Patientenverfügungen auf Verzicht auf Beatmung zu beobachten 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„Klinisches Management“ bitte für Freitag in Agenda  mitaufnehmen 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FG36/IBBS (Christian Herzog)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 xml:space="preserve"> 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979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CMO-Treffen EU-Ratspräsidentschaft: u.a. Kontaktpersonen-</w:t>
            </w:r>
            <w:proofErr w:type="spellStart"/>
            <w:r>
              <w:rPr>
                <w:sz w:val="22"/>
                <w:szCs w:val="22"/>
              </w:rPr>
              <w:t>nachverfolgung</w:t>
            </w:r>
            <w:proofErr w:type="spellEnd"/>
            <w:r>
              <w:rPr>
                <w:sz w:val="22"/>
                <w:szCs w:val="22"/>
              </w:rPr>
              <w:t xml:space="preserve"> angesprochen, grundsätzlich positives </w:t>
            </w:r>
            <w:proofErr w:type="spellStart"/>
            <w:r>
              <w:rPr>
                <w:sz w:val="22"/>
                <w:szCs w:val="22"/>
              </w:rPr>
              <w:t>outcome</w:t>
            </w:r>
            <w:proofErr w:type="spellEnd"/>
            <w:r>
              <w:rPr>
                <w:sz w:val="22"/>
                <w:szCs w:val="22"/>
              </w:rPr>
              <w:t xml:space="preserve">, arbeiten derzeit am Summary 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 FG38 (Maria an der Heiden)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02.10.2020, 11:00 Uhr, via </w:t>
            </w:r>
            <w:proofErr w:type="spellStart"/>
            <w:r>
              <w:rPr>
                <w:sz w:val="22"/>
                <w:szCs w:val="22"/>
              </w:rPr>
              <w:t>Vitero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color w:val="1F497D" w:themeColor="text2"/>
        <w:sz w:val="16"/>
      </w:rPr>
      <w:t xml:space="preserve"> VS -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7807"/>
    <w:multiLevelType w:val="hybridMultilevel"/>
    <w:tmpl w:val="E9E0CF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240B22"/>
    <w:multiLevelType w:val="hybridMultilevel"/>
    <w:tmpl w:val="1B227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7"/>
  </w:num>
  <w:num w:numId="6">
    <w:abstractNumId w:val="18"/>
  </w:num>
  <w:num w:numId="7">
    <w:abstractNumId w:val="23"/>
  </w:num>
  <w:num w:numId="8">
    <w:abstractNumId w:val="13"/>
  </w:num>
  <w:num w:numId="9">
    <w:abstractNumId w:val="5"/>
  </w:num>
  <w:num w:numId="10">
    <w:abstractNumId w:val="27"/>
  </w:num>
  <w:num w:numId="11">
    <w:abstractNumId w:val="22"/>
  </w:num>
  <w:num w:numId="12">
    <w:abstractNumId w:val="15"/>
  </w:num>
  <w:num w:numId="13">
    <w:abstractNumId w:val="12"/>
  </w:num>
  <w:num w:numId="14">
    <w:abstractNumId w:val="19"/>
  </w:num>
  <w:num w:numId="15">
    <w:abstractNumId w:val="16"/>
  </w:num>
  <w:num w:numId="16">
    <w:abstractNumId w:val="0"/>
  </w:num>
  <w:num w:numId="17">
    <w:abstractNumId w:val="11"/>
  </w:num>
  <w:num w:numId="18">
    <w:abstractNumId w:val="25"/>
  </w:num>
  <w:num w:numId="19">
    <w:abstractNumId w:val="9"/>
  </w:num>
  <w:num w:numId="20">
    <w:abstractNumId w:val="24"/>
  </w:num>
  <w:num w:numId="21">
    <w:abstractNumId w:val="6"/>
  </w:num>
  <w:num w:numId="22">
    <w:abstractNumId w:val="8"/>
  </w:num>
  <w:num w:numId="23">
    <w:abstractNumId w:val="2"/>
  </w:num>
  <w:num w:numId="24">
    <w:abstractNumId w:val="20"/>
  </w:num>
  <w:num w:numId="25">
    <w:abstractNumId w:val="14"/>
  </w:num>
  <w:num w:numId="26">
    <w:abstractNumId w:val="1"/>
  </w:num>
  <w:num w:numId="27">
    <w:abstractNumId w:val="21"/>
  </w:num>
  <w:num w:numId="28">
    <w:abstractNumId w:val="26"/>
  </w:num>
  <w:num w:numId="2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D19E3842-B049-4EED-AE84-0C88AB64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e_Lage_2020-09-30.ppt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KontaktpersonenManagement_28.9.20_ASP_final2%20(3)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yndrom-ARE-SARI-COVID_bis_KW39_2020_f&#252;r-Krisenstab.ppt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200930_SARS-CoV-2%20in%20ARS_Krisenstabssitzung.ppt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Lage-National_2020-09-30.ppt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643B-A8BA-4CD7-846B-9F55E963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1969</Words>
  <Characters>12409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15</cp:revision>
  <cp:lastPrinted>2020-05-06T16:43:00Z</cp:lastPrinted>
  <dcterms:created xsi:type="dcterms:W3CDTF">2020-09-30T07:42:00Z</dcterms:created>
  <dcterms:modified xsi:type="dcterms:W3CDTF">2021-05-06T13:14:00Z</dcterms:modified>
</cp:coreProperties>
</file>