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739DE5F07FE94C9798A0A417AC526AE7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1C7B089887BF4CDCBBA244316EC0EF55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739DE5F07FE94C9798A0A417AC526AE7"/>
          </w:placeholder>
        </w:sdtPr>
        <w:sdtContent>
          <w:r>
            <w:rPr>
              <w:i/>
              <w:sz w:val="22"/>
            </w:rPr>
            <w:t>14.10.2020,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82461B2C60C6456F9A8F3645C63A8389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numPr>
          <w:ilvl w:val="0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AL1</w:t>
      </w:r>
    </w:p>
    <w:p>
      <w:pPr>
        <w:numPr>
          <w:ilvl w:val="1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Martin Mielke</w:t>
      </w:r>
    </w:p>
    <w:p>
      <w:pPr>
        <w:numPr>
          <w:ilvl w:val="0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AL3</w:t>
      </w:r>
    </w:p>
    <w:p>
      <w:pPr>
        <w:numPr>
          <w:ilvl w:val="1"/>
          <w:numId w:val="17"/>
        </w:numPr>
        <w:spacing w:after="0" w:line="233" w:lineRule="auto"/>
        <w:rPr>
          <w:sz w:val="20"/>
          <w:szCs w:val="20"/>
        </w:rPr>
      </w:pPr>
      <w:r>
        <w:rPr>
          <w:sz w:val="20"/>
          <w:szCs w:val="20"/>
        </w:rPr>
        <w:t>Osamah Hamouda</w:t>
      </w:r>
    </w:p>
    <w:p>
      <w:pPr>
        <w:numPr>
          <w:ilvl w:val="0"/>
          <w:numId w:val="21"/>
        </w:numPr>
        <w:spacing w:after="0" w:line="233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FG 14</w:t>
      </w:r>
    </w:p>
    <w:p>
      <w:pPr>
        <w:numPr>
          <w:ilvl w:val="0"/>
          <w:numId w:val="22"/>
        </w:numPr>
        <w:spacing w:after="0" w:line="233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Melanie Brunke</w:t>
      </w:r>
    </w:p>
    <w:p>
      <w:pPr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16</w:t>
      </w:r>
    </w:p>
    <w:p>
      <w:pPr>
        <w:numPr>
          <w:ilvl w:val="1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Anton Aebischer</w:t>
      </w:r>
    </w:p>
    <w:p>
      <w:pPr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17</w:t>
      </w:r>
    </w:p>
    <w:p>
      <w:pPr>
        <w:numPr>
          <w:ilvl w:val="0"/>
          <w:numId w:val="2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Ralf Dürrwald</w:t>
      </w:r>
    </w:p>
    <w:p>
      <w:pPr>
        <w:numPr>
          <w:ilvl w:val="0"/>
          <w:numId w:val="17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FG 24</w:t>
      </w:r>
    </w:p>
    <w:p>
      <w:pPr>
        <w:numPr>
          <w:ilvl w:val="0"/>
          <w:numId w:val="25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Thomas Ziese</w:t>
      </w:r>
    </w:p>
    <w:p>
      <w:pPr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32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Michaela Diercke</w:t>
      </w:r>
    </w:p>
    <w:p>
      <w:pPr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FG34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Viviane Bremer</w:t>
      </w:r>
    </w:p>
    <w:p>
      <w:pPr>
        <w:numPr>
          <w:ilvl w:val="1"/>
          <w:numId w:val="17"/>
        </w:num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?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36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Walter Haas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Silke Buda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37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Tim Eckmanns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FG 38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Maria an der Heiden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IBBS</w:t>
      </w:r>
    </w:p>
    <w:p>
      <w:pPr>
        <w:numPr>
          <w:ilvl w:val="1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Christian Herzog</w:t>
      </w:r>
    </w:p>
    <w:p>
      <w:pPr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P1</w:t>
      </w:r>
    </w:p>
    <w:p>
      <w:pPr>
        <w:numPr>
          <w:ilvl w:val="1"/>
          <w:numId w:val="17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Mirjam Jenny</w:t>
      </w:r>
    </w:p>
    <w:p>
      <w:pPr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Presse</w:t>
      </w:r>
    </w:p>
    <w:p>
      <w:pPr>
        <w:numPr>
          <w:ilvl w:val="1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Maud Hennequin</w:t>
      </w:r>
    </w:p>
    <w:p>
      <w:pPr>
        <w:numPr>
          <w:ilvl w:val="0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ZIG 1</w:t>
      </w:r>
    </w:p>
    <w:p>
      <w:pPr>
        <w:numPr>
          <w:ilvl w:val="0"/>
          <w:numId w:val="24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Johanna Hanefeld</w:t>
      </w:r>
    </w:p>
    <w:p>
      <w:pPr>
        <w:numPr>
          <w:ilvl w:val="0"/>
          <w:numId w:val="24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Sarah McFarland</w:t>
      </w:r>
    </w:p>
    <w:p>
      <w:pPr>
        <w:numPr>
          <w:ilvl w:val="0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IBBS</w:t>
      </w:r>
    </w:p>
    <w:p>
      <w:pPr>
        <w:numPr>
          <w:ilvl w:val="1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Bettina Rühe</w:t>
      </w:r>
    </w:p>
    <w:p>
      <w:pPr>
        <w:numPr>
          <w:ilvl w:val="0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BZgA</w:t>
      </w:r>
    </w:p>
    <w:p>
      <w:pPr>
        <w:numPr>
          <w:ilvl w:val="0"/>
          <w:numId w:val="24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Heidrun </w:t>
      </w:r>
      <w:proofErr w:type="spellStart"/>
      <w:r>
        <w:rPr>
          <w:sz w:val="20"/>
          <w:szCs w:val="20"/>
        </w:rPr>
        <w:t>Thaiss</w:t>
      </w:r>
      <w:proofErr w:type="spellEnd"/>
    </w:p>
    <w:p>
      <w:pPr>
        <w:numPr>
          <w:ilvl w:val="0"/>
          <w:numId w:val="23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MF3</w:t>
      </w:r>
    </w:p>
    <w:p>
      <w:pPr>
        <w:numPr>
          <w:ilvl w:val="0"/>
          <w:numId w:val="24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Nancy Erickson (Protokoll)</w:t>
      </w:r>
    </w:p>
    <w:p>
      <w:pPr>
        <w:rPr>
          <w:sz w:val="22"/>
        </w:rPr>
      </w:pPr>
    </w:p>
    <w:tbl>
      <w:tblPr>
        <w:tblStyle w:val="Tabellenraster"/>
        <w:tblW w:w="8901" w:type="dxa"/>
        <w:tblLook w:val="00A0" w:firstRow="1" w:lastRow="0" w:firstColumn="1" w:lastColumn="0" w:noHBand="0" w:noVBand="0"/>
      </w:tblPr>
      <w:tblGrid>
        <w:gridCol w:w="684"/>
        <w:gridCol w:w="6408"/>
        <w:gridCol w:w="1809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TOP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809" w:type="dxa"/>
          </w:tcPr>
          <w:p>
            <w:pPr>
              <w:rPr>
                <w:b/>
              </w:rPr>
            </w:pPr>
            <w:r>
              <w:rPr>
                <w:b/>
              </w:rPr>
              <w:t>eingebracht von</w:t>
            </w:r>
          </w:p>
        </w:tc>
      </w:tr>
      <w:tr>
        <w:tc>
          <w:tcPr>
            <w:tcW w:w="684" w:type="dxa"/>
          </w:tcPr>
          <w:p>
            <w:r>
              <w:t>1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Aktuelle Lage</w:t>
            </w:r>
          </w:p>
          <w:p>
            <w:pPr>
              <w:rPr>
                <w:b/>
              </w:rPr>
            </w:pP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7" w:history="1">
              <w:r>
                <w:rPr>
                  <w:rStyle w:val="Hyperlink"/>
                  <w:b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Style1"/>
              <w:numPr>
                <w:ilvl w:val="0"/>
                <w:numId w:val="2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Weltweit 37.875.422 Fälle, 1.081.632 Verstorbene (2,9 %)</w:t>
            </w:r>
          </w:p>
          <w:p>
            <w:pPr>
              <w:pStyle w:val="Style1"/>
              <w:numPr>
                <w:ilvl w:val="0"/>
                <w:numId w:val="2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Kolumbien und Mexiko Platz 9 und 10 getauscht, ansonsten seit Montag unverändert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 Länder mit einer 7-T.-Inz. &gt;50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.; nimmt weiter zu, seit Montag sind Marokko und Holy See neu hinzugekommen, Guyana nicht mehr gelistet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Erste berichtete Re-Infektion: 25-Jähriger Mann, Mitte April und Juni positive Tests mit nachweisbar genomischem Unterschied des Virus, zwei negative Tests dazwischen, zweiter Infektionsverlauf schwerer mit </w:t>
            </w:r>
            <w:proofErr w:type="spellStart"/>
            <w:r>
              <w:rPr>
                <w:sz w:val="22"/>
                <w:szCs w:val="22"/>
              </w:rPr>
              <w:t>Hospitalisation</w:t>
            </w:r>
            <w:proofErr w:type="spellEnd"/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J&amp;J Phase III Impfstoffstudie </w:t>
            </w:r>
            <w:proofErr w:type="spellStart"/>
            <w:r>
              <w:rPr>
                <w:sz w:val="22"/>
                <w:szCs w:val="22"/>
              </w:rPr>
              <w:t>adenoviraler</w:t>
            </w:r>
            <w:proofErr w:type="spellEnd"/>
            <w:r>
              <w:rPr>
                <w:sz w:val="22"/>
                <w:szCs w:val="22"/>
              </w:rPr>
              <w:t xml:space="preserve"> Vektorvakzine wegen ungeklärter Erkrankung bei Probanden pausiert (unklar ob in Kontroll- oder Studiengruppe)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 Lilly unterbricht ebenfalls monoklonale Antikörperstudie 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 Europa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EU-Länder über 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 (neu: Italien und Liechtenstein)</w:t>
            </w:r>
          </w:p>
          <w:p>
            <w:pPr>
              <w:pStyle w:val="Style1"/>
              <w:numPr>
                <w:ilvl w:val="0"/>
                <w:numId w:val="43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 Kommission Empfehlungen zur Koordinierung von Maßnahmen mit Auswirkungen auf Freizügigkeit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EU Rat hat am 13.10. die Empfehlung einer koordinierten Vorgehensweise bei der Beschränkung der Freizügigkeit angenommen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Mitgliedstaaten sollten ECDC folgende Kriterien zur Verfügung stellen: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Zahl der neu gemeldeten Fälle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 in den letzten 14 Tagen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Zahl der Tests, die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 in der letzten Woche durchgeführt wurden</w:t>
            </w:r>
          </w:p>
          <w:p>
            <w:pPr>
              <w:pStyle w:val="Style1"/>
              <w:numPr>
                <w:ilvl w:val="1"/>
                <w:numId w:val="43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positiven Tests (von den in der letzten Woche durchgeführten Tests)</w:t>
            </w:r>
          </w:p>
          <w:p>
            <w:pPr>
              <w:pStyle w:val="Style1"/>
              <w:numPr>
                <w:ilvl w:val="0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Kriterien: 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ECDC soll wöchentlich auf Grundlage der Daten der Mitgliedsstaaten nach Regionen aufgeschlüsselte Karte der EU-Mitgliedstaaten veröffentlichen 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Gebiete sollen farblich gekennzeichnet werden</w:t>
            </w:r>
          </w:p>
          <w:p>
            <w:pPr>
              <w:pStyle w:val="Style1"/>
              <w:numPr>
                <w:ilvl w:val="0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Beschränkung der Freizügigkeit: 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Mitgliedstaaten sollten Reisenden aus anderen Mitgliedstaaten die Einreise grundsätzlich nicht verweigern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Unterschiede zwischen orangen und roten Gebieten sollten beachtet und verhältnismäßig vorgegangen werden</w:t>
            </w:r>
          </w:p>
          <w:p>
            <w:pPr>
              <w:pStyle w:val="Style1"/>
              <w:numPr>
                <w:ilvl w:val="1"/>
                <w:numId w:val="4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Epidemiologische Lage in eigenen Hoheitsgebieten sollte berücksichtigt werden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720"/>
              <w:rPr>
                <w:sz w:val="22"/>
                <w:szCs w:val="22"/>
                <w:highlight w:val="yellow"/>
              </w:rPr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Do: Bitte an Frau Diercke um Klärung mit der ECDC, welche Daten für eine adäquate Zuordnung geliefert werden müssen (aktuell farbliche Kennzeichnung uneinheitlich) 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360"/>
              <w:rPr>
                <w:b/>
                <w:sz w:val="22"/>
                <w:szCs w:val="22"/>
              </w:rPr>
            </w:pPr>
          </w:p>
          <w:p>
            <w:pPr>
              <w:pStyle w:val="Style1"/>
              <w:numPr>
                <w:ilvl w:val="0"/>
                <w:numId w:val="0"/>
              </w:numPr>
            </w:pPr>
            <w:r>
              <w:rPr>
                <w:b/>
                <w:sz w:val="22"/>
                <w:szCs w:val="22"/>
              </w:rPr>
              <w:t>National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8" w:history="1">
              <w:r>
                <w:rPr>
                  <w:rStyle w:val="Hyperlink"/>
                  <w:b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</w:t>
            </w:r>
          </w:p>
          <w:p>
            <w:pPr>
              <w:pStyle w:val="Style1"/>
            </w:pPr>
            <w:r>
              <w:rPr>
                <w:sz w:val="22"/>
                <w:szCs w:val="22"/>
              </w:rPr>
              <w:t xml:space="preserve">334.585 </w:t>
            </w:r>
            <w:r>
              <w:t xml:space="preserve">(+ 5.132), davon 9.677 (2,9%) Todesfälle (+43), </w:t>
            </w:r>
            <w:proofErr w:type="gramStart"/>
            <w:r>
              <w:t>Inzidenz  402</w:t>
            </w:r>
            <w:proofErr w:type="gramEnd"/>
            <w:r>
              <w:t xml:space="preserve">/100.000 </w:t>
            </w:r>
            <w:proofErr w:type="spellStart"/>
            <w:r>
              <w:t>Ew</w:t>
            </w:r>
            <w:proofErr w:type="spellEnd"/>
            <w:r>
              <w:t xml:space="preserve">, ca. 281.900 Genesene, Reff=1,04; 7T Reff=1,16 </w:t>
            </w:r>
          </w:p>
          <w:p>
            <w:pPr>
              <w:pStyle w:val="Style1"/>
            </w:pPr>
            <w:r>
              <w:rPr>
                <w:sz w:val="22"/>
                <w:szCs w:val="22"/>
              </w:rPr>
              <w:t xml:space="preserve">43 neue Todesfälle sind nicht Nachmeldungs-bedingt, Anstieg der Fallzahlen schlägt sich auch hier nieder, detaillierte Auswertung folgt </w:t>
            </w:r>
          </w:p>
          <w:p>
            <w:pPr>
              <w:pStyle w:val="Style1"/>
            </w:pPr>
            <w:r>
              <w:rPr>
                <w:sz w:val="22"/>
                <w:szCs w:val="22"/>
              </w:rPr>
              <w:t xml:space="preserve">Zahlen für Inzidenz, ITS und „Invasiv beatmet“ steigen </w:t>
            </w:r>
          </w:p>
          <w:p>
            <w:pPr>
              <w:pStyle w:val="Style1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(Folie 2): Berlin und Bremen deutlich über 50, Anstiege auch in andere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>, z.T. recht steiler Anstieg</w:t>
            </w:r>
          </w:p>
          <w:p>
            <w:pPr>
              <w:pStyle w:val="Style1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(Folie 3) 123 LK </w:t>
            </w:r>
            <w:r>
              <w:rPr>
                <w:bCs/>
                <w:sz w:val="22"/>
                <w:szCs w:val="22"/>
              </w:rPr>
              <w:t xml:space="preserve">&gt;25-50, </w:t>
            </w:r>
            <w:r>
              <w:rPr>
                <w:sz w:val="22"/>
                <w:szCs w:val="22"/>
              </w:rPr>
              <w:t xml:space="preserve">44 LK </w:t>
            </w:r>
            <w:r>
              <w:rPr>
                <w:bCs/>
                <w:sz w:val="22"/>
                <w:szCs w:val="22"/>
              </w:rPr>
              <w:t xml:space="preserve">&gt;50-100, </w:t>
            </w:r>
            <w:r>
              <w:rPr>
                <w:sz w:val="22"/>
                <w:szCs w:val="22"/>
              </w:rPr>
              <w:t>3 LK &gt;</w:t>
            </w:r>
            <w:r>
              <w:rPr>
                <w:bCs/>
                <w:sz w:val="22"/>
                <w:szCs w:val="22"/>
              </w:rPr>
              <w:t>100-500</w:t>
            </w:r>
            <w:r>
              <w:rPr>
                <w:sz w:val="22"/>
                <w:szCs w:val="22"/>
              </w:rPr>
              <w:t xml:space="preserve">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Style1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v.a. städtische Regionen betroffen, kein LK ohne Fälle</w:t>
            </w:r>
          </w:p>
          <w:p>
            <w:pPr>
              <w:pStyle w:val="Style1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 LK hat nicht zeitgerecht übermittelt, um scheinbar so die Inzidenzschwelle von 50 nicht zu erreichen und entsprechende Maßnahmen nicht ergreifen zu müssen</w:t>
            </w:r>
          </w:p>
          <w:p>
            <w:pPr>
              <w:pStyle w:val="Style1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COVID-19-Fälle nach Expositionsort im In- und Ausland: Anteile aus Ausland (blau) nehmen derzeit ab, Anteile aus anderen </w:t>
            </w:r>
            <w:proofErr w:type="spellStart"/>
            <w:r>
              <w:rPr>
                <w:sz w:val="22"/>
                <w:szCs w:val="22"/>
              </w:rPr>
              <w:t>BuLä</w:t>
            </w:r>
            <w:proofErr w:type="spellEnd"/>
            <w:r>
              <w:rPr>
                <w:sz w:val="22"/>
                <w:szCs w:val="22"/>
              </w:rPr>
              <w:t xml:space="preserve"> sehr gering (rot), steigende Zahl unvollst. Angaben (grau), somit scheinbar untergeordnete Rolle des Reisens </w:t>
            </w:r>
          </w:p>
          <w:p>
            <w:pPr>
              <w:pStyle w:val="Style1"/>
              <w:numPr>
                <w:ilvl w:val="0"/>
                <w:numId w:val="28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COVID-19-Fälle nach wahrscheinlichem Infektionsort in Deutschland (Folie 5): </w:t>
            </w:r>
          </w:p>
          <w:p>
            <w:pPr>
              <w:pStyle w:val="Style1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v.a. privater Ursprung sowie am Arbeitsplatz (siehe Schlachtbetriebe) relevant</w:t>
            </w:r>
          </w:p>
          <w:p>
            <w:pPr>
              <w:pStyle w:val="Style1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genauer Infektionsort oft schwer ermittelbar, somit beschränkte Aussagekraft</w:t>
            </w:r>
          </w:p>
          <w:p>
            <w:pPr>
              <w:pStyle w:val="Style1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aber: längerer und engerer Kontakt </w:t>
            </w:r>
            <w:proofErr w:type="spellStart"/>
            <w:r>
              <w:rPr>
                <w:sz w:val="22"/>
                <w:szCs w:val="22"/>
              </w:rPr>
              <w:t>übertragungsrele-vant</w:t>
            </w:r>
            <w:proofErr w:type="spellEnd"/>
            <w:r>
              <w:rPr>
                <w:sz w:val="22"/>
                <w:szCs w:val="22"/>
              </w:rPr>
              <w:t>, dieser jedoch auch leichter ermittelbar, mindert somit nicht die Evidenz des Hauptübertragungsweges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Abb. Folie 5 ggf. in Wochenbericht mitaufnehmen, aber explizit nennen, dass hier Ausbruchsgeschehen betrachtet werden (vorsichtige Interpretation, s.o.)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</w:t>
            </w:r>
            <w:r>
              <w:rPr>
                <w:sz w:val="22"/>
                <w:szCs w:val="22"/>
              </w:rPr>
              <w:t xml:space="preserve"> (Folien </w:t>
            </w:r>
            <w:hyperlink r:id="rId9" w:history="1">
              <w:r>
                <w:rPr>
                  <w:rStyle w:val="Hyperlink"/>
                  <w:b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i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GrippeWeb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bis 41. KW: ARE-Rate ab ca. 36. </w:t>
            </w:r>
            <w:r>
              <w:rPr>
                <w:sz w:val="22"/>
                <w:szCs w:val="22"/>
              </w:rPr>
              <w:t>KW derzeit unterhalb der ARE-Raten der letzten drei Saisons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Konsultationsinzidenz (Folie 5) 0-4-Jähriger: stabil; 5-14-Jähriger: gesunken; älterer Altersgruppen: ansteigend - jeweils im Vergleich zur vorigen KW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Konsultationsinzidenz regional (Folie 7): teils heterogen, Berlin/Brandenburg: derzeit Anstieg in allen Altersgruppen; Schulkinder: v.a.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 ursächlich 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Elektronisches SEED</w:t>
            </w:r>
            <w:r>
              <w:rPr>
                <w:sz w:val="22"/>
                <w:szCs w:val="22"/>
                <w:vertAlign w:val="superscript"/>
              </w:rPr>
              <w:t xml:space="preserve">ARE </w:t>
            </w:r>
            <w:r>
              <w:rPr>
                <w:sz w:val="22"/>
                <w:szCs w:val="22"/>
              </w:rPr>
              <w:t xml:space="preserve">-Modul (Folie 8): ARE Raten in 7 statt üblicherweise 5 </w:t>
            </w:r>
            <w:proofErr w:type="spellStart"/>
            <w:r>
              <w:rPr>
                <w:sz w:val="22"/>
                <w:szCs w:val="22"/>
              </w:rPr>
              <w:t>Altergruppen</w:t>
            </w:r>
            <w:proofErr w:type="spellEnd"/>
            <w:r>
              <w:rPr>
                <w:sz w:val="22"/>
                <w:szCs w:val="22"/>
              </w:rPr>
              <w:t xml:space="preserve"> aufgetragen, in letzten Wochen Anstieg v.a. bei Kindern, weniger bei älteren Altersgruppen zu verzeichnen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ILI-Raten (Folie 8): ausschließlich fieberhafte Erkrankungen dargestellt, spezielles Filtern bspw. nach </w:t>
            </w:r>
            <w:proofErr w:type="spellStart"/>
            <w:r>
              <w:rPr>
                <w:sz w:val="22"/>
                <w:szCs w:val="22"/>
              </w:rPr>
              <w:t>Pneumoniediagnosen</w:t>
            </w:r>
            <w:proofErr w:type="spellEnd"/>
            <w:r>
              <w:rPr>
                <w:sz w:val="22"/>
                <w:szCs w:val="22"/>
              </w:rPr>
              <w:t xml:space="preserve"> ebenfalls möglich, sehr leistungsfähiges Tool 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ICOSARI-KH-Surveillance – SARI-Fälle bis 40. KW (Folie 9): Anzahl insgesamt nicht gestiegen, weiterhin saisonal üblicher Stand 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 – SARI-Fälle sowie Anteil SARI-Fälle mit COVID-Diagnose bis zur 40. KW (Folie 10): Gesamtzahl SARI-Fälle leicht rückläufig in KW 40, Anteil COVID-19 an SARI-Fällen entsprechend gleichbleibend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SARI-Fälle mit Verweildauer bis zu einer Woche im saisonalen Vergleich (Folie 11): zeitlicher Trend beurteilbar, Grippeverlauf 2017 sehr prominent im Vergleich zur aktuellen Situation 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Testkapazitäten und Testungen</w:t>
            </w:r>
            <w:r>
              <w:rPr>
                <w:sz w:val="22"/>
                <w:szCs w:val="22"/>
              </w:rPr>
              <w:t xml:space="preserve">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positiven und negativen Testungen </w:t>
            </w:r>
            <w:r>
              <w:rPr>
                <w:sz w:val="22"/>
                <w:szCs w:val="22"/>
              </w:rPr>
              <w:br/>
              <w:t xml:space="preserve">pro Woche – bundesweit (Folie 2) KW 30 bis 41 nahezu konstant 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. nach </w:t>
            </w:r>
            <w:proofErr w:type="spellStart"/>
            <w:r>
              <w:rPr>
                <w:sz w:val="22"/>
                <w:szCs w:val="22"/>
              </w:rPr>
              <w:t>Altergruppen</w:t>
            </w:r>
            <w:proofErr w:type="spellEnd"/>
            <w:r>
              <w:rPr>
                <w:sz w:val="22"/>
                <w:szCs w:val="22"/>
              </w:rPr>
              <w:t xml:space="preserve"> und KW (Folie 3): keine spezifischen </w:t>
            </w:r>
            <w:proofErr w:type="spellStart"/>
            <w:r>
              <w:rPr>
                <w:sz w:val="22"/>
                <w:szCs w:val="22"/>
              </w:rPr>
              <w:t>Altergruppen</w:t>
            </w:r>
            <w:proofErr w:type="spellEnd"/>
            <w:r>
              <w:rPr>
                <w:sz w:val="22"/>
                <w:szCs w:val="22"/>
              </w:rPr>
              <w:t xml:space="preserve"> mit starkem Anstieg, in letzten zwei Wochen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(Folie 4) in allen </w:t>
            </w:r>
            <w:proofErr w:type="spellStart"/>
            <w:r>
              <w:rPr>
                <w:sz w:val="22"/>
                <w:szCs w:val="22"/>
              </w:rPr>
              <w:t>Altergruppen</w:t>
            </w:r>
            <w:proofErr w:type="spellEnd"/>
            <w:r>
              <w:rPr>
                <w:sz w:val="22"/>
                <w:szCs w:val="22"/>
              </w:rPr>
              <w:t xml:space="preserve"> steigend, vor allem zwischen KW 40 bis 41, Testverzug (Folie 5) steigt ebenfalls an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ind w:left="1371"/>
            </w:pPr>
          </w:p>
        </w:tc>
        <w:tc>
          <w:tcPr>
            <w:tcW w:w="1809" w:type="dxa"/>
          </w:tcPr>
          <w:p/>
          <w:p/>
          <w:p/>
          <w:p>
            <w:r>
              <w:t>ZIG1 McFarland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FG 32</w:t>
            </w:r>
          </w:p>
          <w:p>
            <w:r>
              <w:t>Diercke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 xml:space="preserve">FG 36 </w:t>
            </w:r>
          </w:p>
          <w:p>
            <w:r>
              <w:t>Buda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FG 37</w:t>
            </w:r>
          </w:p>
          <w:p>
            <w:r>
              <w:t>Eckmanns</w:t>
            </w:r>
          </w:p>
        </w:tc>
      </w:tr>
      <w:tr>
        <w:tc>
          <w:tcPr>
            <w:tcW w:w="684" w:type="dxa"/>
          </w:tcPr>
          <w:p>
            <w:r>
              <w:lastRenderedPageBreak/>
              <w:t>2</w:t>
            </w:r>
          </w:p>
        </w:tc>
        <w:tc>
          <w:tcPr>
            <w:tcW w:w="6408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Internationales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Nicht besprochen</w:t>
            </w:r>
          </w:p>
        </w:tc>
        <w:tc>
          <w:tcPr>
            <w:tcW w:w="1809" w:type="dxa"/>
          </w:tcPr>
          <w:p>
            <w:r>
              <w:t>ZIG</w:t>
            </w:r>
          </w:p>
        </w:tc>
      </w:tr>
      <w:tr>
        <w:tc>
          <w:tcPr>
            <w:tcW w:w="684" w:type="dxa"/>
          </w:tcPr>
          <w:p>
            <w:r>
              <w:t>3</w:t>
            </w:r>
          </w:p>
        </w:tc>
        <w:tc>
          <w:tcPr>
            <w:tcW w:w="6408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Nicht besprochen</w:t>
            </w:r>
          </w:p>
          <w:p/>
        </w:tc>
        <w:tc>
          <w:tcPr>
            <w:tcW w:w="1809" w:type="dxa"/>
          </w:tcPr>
          <w:p/>
        </w:tc>
      </w:tr>
      <w:tr>
        <w:trPr>
          <w:trHeight w:val="319"/>
        </w:trPr>
        <w:tc>
          <w:tcPr>
            <w:tcW w:w="684" w:type="dxa"/>
          </w:tcPr>
          <w:p>
            <w:r>
              <w:t>4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Wurde auf Freitag verschoben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5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Kommunikation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Motivkampagne für Jugendliche: Pretest gut ausgefallen, nun Streuung an Schulen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Infomaterial zum Lüften eingestellt, sowie virtuelles Schulpaket und Verlinkungen zu neuen RKI Papieren</w:t>
            </w: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Do: Klärung mit dem BMG hinsichtlich Kompatibilität der vier Botschaften mit den drei AHA-Regeln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Telefonberatung: vor allem Anfragen seitens Gastronomie, Reisewilliger, aber auch zunehmend psychischer Natur sowie seitens Gesundheitsämter </w:t>
            </w:r>
            <w:r>
              <w:lastRenderedPageBreak/>
              <w:t xml:space="preserve">hinsichtlich Überlastung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Aufgrund der Überlastung der </w:t>
            </w:r>
            <w:proofErr w:type="gramStart"/>
            <w:r>
              <w:t>Gesundheitsämter  weitere</w:t>
            </w:r>
            <w:proofErr w:type="gramEnd"/>
            <w:r>
              <w:t xml:space="preserve"> Anforderungen hinsichtlich </w:t>
            </w:r>
            <w:proofErr w:type="spellStart"/>
            <w:r>
              <w:t>Studienbetei-ligung</w:t>
            </w:r>
            <w:proofErr w:type="spellEnd"/>
            <w:r>
              <w:t xml:space="preserve"> und Zuarbeit schwierig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Jedoch scheinbar große Hemmschwelle hinsichtl. Des Stellens von Überlastungsanzeigen (diese gehen allerdings nicht von Arbeitsebene aus)</w:t>
            </w:r>
          </w:p>
          <w:p>
            <w:pPr>
              <w:pStyle w:val="Listenabsatz"/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Derzeit Bundes PK zur Grippeimpfung </w:t>
            </w:r>
          </w:p>
          <w:p>
            <w:pPr>
              <w:pStyle w:val="Listenabsatz"/>
            </w:pPr>
          </w:p>
        </w:tc>
        <w:tc>
          <w:tcPr>
            <w:tcW w:w="1809" w:type="dxa"/>
          </w:tcPr>
          <w:p/>
          <w:p>
            <w:r>
              <w:t xml:space="preserve">BZgA </w:t>
            </w:r>
            <w:proofErr w:type="spellStart"/>
            <w:r>
              <w:t>Thaiss</w:t>
            </w:r>
            <w:proofErr w:type="spellEnd"/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Presse Hennequin</w:t>
            </w:r>
          </w:p>
        </w:tc>
      </w:tr>
      <w:tr>
        <w:tc>
          <w:tcPr>
            <w:tcW w:w="684" w:type="dxa"/>
          </w:tcPr>
          <w:p>
            <w:r>
              <w:lastRenderedPageBreak/>
              <w:t>6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b/>
              </w:rPr>
            </w:pPr>
            <w:r>
              <w:t>Nicht anwesend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7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Strategie Fragen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rPr>
                <w:b/>
              </w:rPr>
            </w:pPr>
            <w:r>
              <w:t xml:space="preserve">Wann sehen wir in Ballungszentren diese Anstiege, sind alle Punkte adressiert (Übertragung in größeren </w:t>
            </w:r>
            <w:proofErr w:type="spellStart"/>
            <w:r>
              <w:t>Menschenan</w:t>
            </w:r>
            <w:proofErr w:type="spellEnd"/>
            <w:r>
              <w:t>-sammlungen in öffentlichen Verkehrsmitteln)?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Ballungsgebiete spielen besondere Rolle, die des öffentlichen Transports derzeit unklar, Ausbrüche in </w:t>
            </w:r>
            <w:proofErr w:type="spellStart"/>
            <w:r>
              <w:t>Vermehrsmitteln</w:t>
            </w:r>
            <w:proofErr w:type="spellEnd"/>
            <w:r>
              <w:t xml:space="preserve"> sehr selten </w:t>
            </w:r>
          </w:p>
          <w:p>
            <w:r>
              <w:t xml:space="preserve">Gibt es Punkte, an denen die Strategie ohne zusätzliche Belastungen gut </w:t>
            </w:r>
            <w:proofErr w:type="spellStart"/>
            <w:r>
              <w:t>ergänzbar</w:t>
            </w:r>
            <w:proofErr w:type="spellEnd"/>
            <w:r>
              <w:t xml:space="preserve"> ist?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Bspw. ausreichende </w:t>
            </w:r>
            <w:proofErr w:type="spellStart"/>
            <w:r>
              <w:t>Verkehrmittelverfügbarkeit</w:t>
            </w:r>
            <w:proofErr w:type="spellEnd"/>
            <w:r>
              <w:t xml:space="preserve"> oder Verbesserung der Belüftung, damit Übertragungswahrscheinlichkeit gesenkt wird (MNS nur für Nahübertragung relevant, </w:t>
            </w:r>
            <w:proofErr w:type="spellStart"/>
            <w:r>
              <w:t>Aersole</w:t>
            </w:r>
            <w:proofErr w:type="spellEnd"/>
            <w:r>
              <w:t xml:space="preserve"> nur geringfügig durch Alltagsmaske reduziert, für Fernübertragung Frischluftzufuhr entscheidend), Möglichkeiten hinsichtlich Belegungsgrenzen (v.a. bei Fahrzeit &gt; 15 min): limitierte Taktung, präventive Belüftungsregime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Teils bereits Bestandteil des Gesamtkonzeptes (öffentliche Verkehrsmittel wie </w:t>
            </w:r>
            <w:proofErr w:type="spellStart"/>
            <w:r>
              <w:t>geschlossenener</w:t>
            </w:r>
            <w:proofErr w:type="spellEnd"/>
            <w:r>
              <w:t xml:space="preserve"> Raum zu betrachten)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Fokus soll nicht von größeren Risikoherden genommen werden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Es sollten weiterhin allgemeingültige Empfehlungen ausgesprochen werden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Do: Neue Strategieaufgabe an gesamten Krisenstab: Frist bis Freitag 12 Uhr, koordiniert durch Frau Diercke</w:t>
            </w:r>
          </w:p>
          <w:p/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Tests auf Sars-Cov2 darf jetzt auch von Nicht-Ärzten (Zahnärzte und Veterinärmediziner) </w:t>
            </w:r>
            <w:r>
              <w:rPr>
                <w:i/>
              </w:rPr>
              <w:t>in vitro</w:t>
            </w:r>
            <w:r>
              <w:t xml:space="preserve"> durchgeführt werden  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Do: Bitte an FG 36 um Prüfung ob § 13-Punkte korrekt </w:t>
            </w:r>
            <w:proofErr w:type="spellStart"/>
            <w:r>
              <w:rPr>
                <w:i/>
              </w:rPr>
              <w:t>übenommen</w:t>
            </w:r>
            <w:proofErr w:type="spellEnd"/>
            <w:r>
              <w:rPr>
                <w:i/>
              </w:rPr>
              <w:t xml:space="preserve"> wurden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b/>
              </w:rPr>
            </w:pPr>
            <w:r>
              <w:t xml:space="preserve">Bericht zum Kontaktpersonenmanagement derzeit weiterhin beim BMG, neuerliche Diskussion möglich bspw. hinsichtlich Quarantänezeitverkürzungen, Deadline 15.10. wurde auf November verschoben, Musterquarantäneverordnung soll am 08.11. veröffentlicht werden </w:t>
            </w:r>
          </w:p>
          <w:p>
            <w:pPr>
              <w:pStyle w:val="Listenabsatz"/>
              <w:rPr>
                <w:b/>
              </w:rPr>
            </w:pPr>
          </w:p>
          <w:p>
            <w:pPr>
              <w:pStyle w:val="Listenabsatz"/>
            </w:pPr>
          </w:p>
        </w:tc>
        <w:tc>
          <w:tcPr>
            <w:tcW w:w="1809" w:type="dxa"/>
          </w:tcPr>
          <w:p>
            <w:pPr>
              <w:spacing w:after="100" w:afterAutospacing="1"/>
            </w:pPr>
          </w:p>
          <w:p>
            <w:pPr>
              <w:spacing w:after="100" w:afterAutospacing="1"/>
            </w:pPr>
            <w:r>
              <w:t>AL3</w:t>
            </w:r>
          </w:p>
        </w:tc>
      </w:tr>
      <w:tr>
        <w:tc>
          <w:tcPr>
            <w:tcW w:w="684" w:type="dxa"/>
          </w:tcPr>
          <w:p>
            <w:r>
              <w:t>8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  <w:p>
            <w:r>
              <w:t>FG36</w:t>
            </w:r>
          </w:p>
        </w:tc>
      </w:tr>
      <w:tr>
        <w:tc>
          <w:tcPr>
            <w:tcW w:w="684" w:type="dxa"/>
          </w:tcPr>
          <w:p>
            <w:r>
              <w:t>9</w:t>
            </w:r>
          </w:p>
        </w:tc>
        <w:tc>
          <w:tcPr>
            <w:tcW w:w="6408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10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Informationen zu Arbeitsschutz 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>
            <w:r>
              <w:t>IBBS</w:t>
            </w:r>
          </w:p>
        </w:tc>
      </w:tr>
      <w:tr>
        <w:tc>
          <w:tcPr>
            <w:tcW w:w="684" w:type="dxa"/>
          </w:tcPr>
          <w:p>
            <w:r>
              <w:t>11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3 Sars-Cov2 Nachweise (1 aus Darmstadt, 2 aus Berlin, versch. Altersgruppen): höchster Nachweis bislang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Influenza: keine weiteren Nachweise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Vorbereitung neuer Influenzasaison gestartet</w:t>
            </w:r>
          </w:p>
          <w:p>
            <w:pPr>
              <w:pStyle w:val="Listenabsatz"/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Heute Austausch der nationalen Teststrategie im Netz, Begleittext dazu seitens BMG, viele Rückfragen erwartet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Do: im Lagebericht soll ausdrücklich an prominenter Stelle auf neue Teststrategie hingewiesen werden, hierbei </w:t>
            </w:r>
            <w:proofErr w:type="spellStart"/>
            <w:r>
              <w:rPr>
                <w:i/>
              </w:rPr>
              <w:t>wording</w:t>
            </w:r>
            <w:proofErr w:type="spellEnd"/>
            <w:r>
              <w:rPr>
                <w:i/>
              </w:rPr>
              <w:t xml:space="preserve"> von großer Bedeutung, Rückmeldung dazu seitens BMG an das Lagezentrum nötig (ggf. zu beachten bzw. zu berücksichtigen: Testkapazität am oberen Limit, </w:t>
            </w:r>
            <w:proofErr w:type="spellStart"/>
            <w:r>
              <w:rPr>
                <w:i/>
              </w:rPr>
              <w:t>Reganzien</w:t>
            </w:r>
            <w:proofErr w:type="spellEnd"/>
            <w:r>
              <w:rPr>
                <w:i/>
              </w:rPr>
              <w:t xml:space="preserve"> werden knapp, Teststrategie soll im Lagebericht positiver eingeführt werden, hierzu bitte auch Abstimmung per E-Mail) </w:t>
            </w:r>
          </w:p>
          <w:p>
            <w:pPr>
              <w:rPr>
                <w:i/>
              </w:rPr>
            </w:pPr>
          </w:p>
        </w:tc>
        <w:tc>
          <w:tcPr>
            <w:tcW w:w="1809" w:type="dxa"/>
          </w:tcPr>
          <w:p/>
          <w:p>
            <w:r>
              <w:t>FG 17</w:t>
            </w:r>
          </w:p>
          <w:p>
            <w:r>
              <w:t>Dürrwald</w:t>
            </w:r>
          </w:p>
          <w:p/>
          <w:p/>
          <w:p/>
          <w:p/>
          <w:p>
            <w:r>
              <w:t>AL1</w:t>
            </w:r>
          </w:p>
          <w:p>
            <w:r>
              <w:t>Mielke</w:t>
            </w:r>
          </w:p>
        </w:tc>
      </w:tr>
      <w:tr>
        <w:tc>
          <w:tcPr>
            <w:tcW w:w="684" w:type="dxa"/>
          </w:tcPr>
          <w:p>
            <w:r>
              <w:t>12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Wird auf Mittwoch verschoben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Aktualisierte Aufstellung zur Therapiestrategie: im Dt. Ärzteblatt und auf RKI-Seite: tabellarische Übersicht dazu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Telemedizin: Zielgröße erreicht, </w:t>
            </w:r>
            <w:proofErr w:type="spellStart"/>
            <w:r>
              <w:t>Untersützung</w:t>
            </w:r>
            <w:proofErr w:type="spellEnd"/>
            <w:r>
              <w:t xml:space="preserve"> von Einrichtungen mit wenig Erfahrung im Umgang mit ITS-Fällen durch die Charité, parallel dazu ähnliches Konzept international (Rücksprache mit ZIG)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Infektiologie und Beratung: </w:t>
            </w:r>
            <w:proofErr w:type="spellStart"/>
            <w:r>
              <w:t>Konsiliarangebot</w:t>
            </w:r>
            <w:proofErr w:type="spellEnd"/>
            <w:r>
              <w:t xml:space="preserve"> - neue Website mit Webseminarreihe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Kleeblattkonzept: wird für internationale Anfragen aus dem Ausland überarbeitet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Do: Besprechung der Überlastung der Gesundheitsämter; </w:t>
            </w:r>
          </w:p>
          <w:p>
            <w:pPr>
              <w:rPr>
                <w:i/>
              </w:rPr>
            </w:pPr>
            <w:r>
              <w:rPr>
                <w:i/>
              </w:rPr>
              <w:t xml:space="preserve">Rücksprache Maria </w:t>
            </w:r>
            <w:proofErr w:type="gramStart"/>
            <w:r>
              <w:rPr>
                <w:i/>
              </w:rPr>
              <w:t>an der Heiden</w:t>
            </w:r>
            <w:proofErr w:type="gramEnd"/>
            <w:r>
              <w:rPr>
                <w:i/>
              </w:rPr>
              <w:t xml:space="preserve"> mit Osamah Hamouda (u.a. zu möglicher </w:t>
            </w:r>
            <w:proofErr w:type="spellStart"/>
            <w:r>
              <w:rPr>
                <w:i/>
              </w:rPr>
              <w:t>Pausierung</w:t>
            </w:r>
            <w:proofErr w:type="spellEnd"/>
            <w:r>
              <w:rPr>
                <w:i/>
              </w:rPr>
              <w:t xml:space="preserve"> der </w:t>
            </w:r>
            <w:proofErr w:type="spellStart"/>
            <w:r>
              <w:rPr>
                <w:i/>
              </w:rPr>
              <w:t>Kontakterpersonennach</w:t>
            </w:r>
            <w:proofErr w:type="spellEnd"/>
            <w:r>
              <w:rPr>
                <w:i/>
              </w:rPr>
              <w:t>-verfolgung im Flugzeug wie im März, Involvierung des BMG)</w:t>
            </w:r>
          </w:p>
          <w:p/>
        </w:tc>
        <w:tc>
          <w:tcPr>
            <w:tcW w:w="1809" w:type="dxa"/>
          </w:tcPr>
          <w:p/>
          <w:p>
            <w:r>
              <w:t>FG36/IBBS</w:t>
            </w:r>
          </w:p>
          <w:p>
            <w:r>
              <w:t>Rühe</w:t>
            </w:r>
          </w:p>
        </w:tc>
      </w:tr>
      <w:tr>
        <w:tc>
          <w:tcPr>
            <w:tcW w:w="684" w:type="dxa"/>
          </w:tcPr>
          <w:p>
            <w:r>
              <w:t>13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  <w:p/>
        </w:tc>
      </w:tr>
      <w:tr>
        <w:tc>
          <w:tcPr>
            <w:tcW w:w="684" w:type="dxa"/>
          </w:tcPr>
          <w:p>
            <w:r>
              <w:t>14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Surveillance</w:t>
            </w:r>
          </w:p>
          <w:p>
            <w:r>
              <w:t xml:space="preserve">Diskussion der Kennzahlen aus Lagebericht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Kennzahlen aktueller Entwicklung: kumulative Zahlen in Klammern, neue Zahlen dickgedruckt vorangestellt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nicht nur Infektionszahlen zeigen, sondern auch andere Kennzahlen unterschiedlicher Datenquellen, bspw. </w:t>
            </w:r>
            <w:proofErr w:type="spellStart"/>
            <w:r>
              <w:t>intensivmed</w:t>
            </w:r>
            <w:proofErr w:type="spellEnd"/>
            <w:r>
              <w:t xml:space="preserve">. behandelte Fallzahlen, DIVI: </w:t>
            </w:r>
            <w:proofErr w:type="spellStart"/>
            <w:r>
              <w:t>ggr</w:t>
            </w:r>
            <w:proofErr w:type="spellEnd"/>
            <w:r>
              <w:t xml:space="preserve">. anderer Zeitraum abgebildet oder (wenngleich unvollständige) Surveillance-Daten zur klin. Schwere </w:t>
            </w:r>
          </w:p>
          <w:p>
            <w:r>
              <w:t xml:space="preserve">Vorschlag wird begrüßt, sinnvolles Vorgehen soll diskutiert werden, weitere Vorschläge und Eingaben: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Für ITS ggf. DIVI Daten als verlässlichste Datenquelle </w:t>
            </w:r>
            <w:proofErr w:type="gramStart"/>
            <w:r>
              <w:t>nutzen,  bei</w:t>
            </w:r>
            <w:proofErr w:type="gramEnd"/>
            <w:r>
              <w:t xml:space="preserve"> der 7d-Inzidenz die absolute, bestätigte Fallzahl sowie die Veränderung in absoluten Zahlen </w:t>
            </w:r>
            <w:proofErr w:type="spellStart"/>
            <w:r>
              <w:t>ggü</w:t>
            </w:r>
            <w:proofErr w:type="spellEnd"/>
            <w:r>
              <w:t>. dem Vortrag nennen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Eingangstabelle ist automatisiert, DIVI müsste zunächst händisch eingefügt werden, </w:t>
            </w:r>
            <w:proofErr w:type="spellStart"/>
            <w:r>
              <w:t>Automati-sierung</w:t>
            </w:r>
            <w:proofErr w:type="spellEnd"/>
            <w:r>
              <w:t xml:space="preserve"> auch hier wünschenswert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Prozent belegter ITS-Betten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Bei aktiven Fällen wäre eine 14d-Inzidenz-Angabe am aussagekräftigsten für das </w:t>
            </w:r>
            <w:proofErr w:type="spellStart"/>
            <w:r>
              <w:t>aktue</w:t>
            </w:r>
            <w:proofErr w:type="spellEnd"/>
            <w:r>
              <w:t xml:space="preserve"> Geschehen (ohne Notwendigkeit einer Schätzung)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„Genesene“ kein trefflicher Begriff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Ggf. „aktive“ anstelle von „</w:t>
            </w:r>
            <w:proofErr w:type="spellStart"/>
            <w:r>
              <w:t>aktuer</w:t>
            </w:r>
            <w:proofErr w:type="spellEnd"/>
            <w:r>
              <w:t xml:space="preserve">“ Fälle, diese von „Genesenen“ zu differenzieren (letztere Fallzahlen waren vor allem in Anfangsphase öffentlichkeits-relevant)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Am Ende des Lageberichts Aufzählung der Randbemerkungen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Änderungen im Berechnungsalgorithmus nötig 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Algorithmus: bislang nicht veröffentlicht, Berechnungen und ihre Limitierungen sollten transparent nachvollziehbar sein und kommuniziert werden (bspw. hinsichtlich nicht mehr aktiver Fälle – bei Hospitalisierung längerer Sicherheits-Zeitraum)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Die durch stark ausgelastete Testkapazitäten (bspw. </w:t>
            </w:r>
            <w:proofErr w:type="spellStart"/>
            <w:r>
              <w:t>hinsichtlichtlich</w:t>
            </w:r>
            <w:proofErr w:type="spellEnd"/>
            <w:r>
              <w:t xml:space="preserve"> erhöhtem Aufkommen durch Reisewillige) eintretenden Überlastungen sollten ggf. Eingang in die Berichterstattung halten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Do: Textvorschlag per Mail zur Abstimmung bzw. </w:t>
            </w:r>
          </w:p>
          <w:p>
            <w:r>
              <w:rPr>
                <w:i/>
              </w:rPr>
              <w:lastRenderedPageBreak/>
              <w:t>zunächst Abstimmung mit Leitung, zudem Zustimmung seitens BMG erforderlich (v.a. auch hinsichtlich einer Streichung der Genesenen-Zahl)</w:t>
            </w:r>
            <w:r>
              <w:t xml:space="preserve">  </w:t>
            </w:r>
          </w:p>
          <w:p/>
        </w:tc>
        <w:tc>
          <w:tcPr>
            <w:tcW w:w="1809" w:type="dxa"/>
          </w:tcPr>
          <w:p>
            <w:r>
              <w:lastRenderedPageBreak/>
              <w:t>FG34/FG32 (V. Bremer erst ab 12:00 dabei)</w:t>
            </w:r>
          </w:p>
        </w:tc>
      </w:tr>
      <w:tr>
        <w:tc>
          <w:tcPr>
            <w:tcW w:w="684" w:type="dxa"/>
          </w:tcPr>
          <w:p>
            <w:r>
              <w:t>15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Transport und Grenzübergangsstellen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  <w:p/>
        </w:tc>
      </w:tr>
      <w:tr>
        <w:tc>
          <w:tcPr>
            <w:tcW w:w="684" w:type="dxa"/>
          </w:tcPr>
          <w:p>
            <w:r>
              <w:t>16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Information aus dem Lagezentrum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17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t>Nicht besprochen</w:t>
            </w:r>
          </w:p>
        </w:tc>
        <w:tc>
          <w:tcPr>
            <w:tcW w:w="1809" w:type="dxa"/>
          </w:tcPr>
          <w:p/>
        </w:tc>
      </w:tr>
      <w:tr>
        <w:tc>
          <w:tcPr>
            <w:tcW w:w="684" w:type="dxa"/>
          </w:tcPr>
          <w:p>
            <w:r>
              <w:t>18</w:t>
            </w:r>
          </w:p>
        </w:tc>
        <w:tc>
          <w:tcPr>
            <w:tcW w:w="6408" w:type="dxa"/>
          </w:tcPr>
          <w:p>
            <w:pPr>
              <w:rPr>
                <w:b/>
              </w:rPr>
            </w:pPr>
            <w:r>
              <w:rPr>
                <w:b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t>Nächste Sitzung: Freitag 16.10.2020, 11:00-13:00</w:t>
            </w:r>
          </w:p>
        </w:tc>
        <w:tc>
          <w:tcPr>
            <w:tcW w:w="1809" w:type="dxa"/>
          </w:tcPr>
          <w:p/>
        </w:tc>
      </w:tr>
    </w:tbl>
    <w:p>
      <w:pPr>
        <w:spacing w:after="240" w:line="360" w:lineRule="auto"/>
      </w:pPr>
    </w:p>
    <w:sectPr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851" w:right="1797" w:bottom="96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color w:val="1F497D" w:themeColor="text2"/>
        <w:sz w:val="16"/>
      </w:rPr>
      <w:t xml:space="preserve"> VS -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  <w:p>
    <w:pPr>
      <w:pStyle w:val="Kopfzeile"/>
      <w:rPr>
        <w:color w:val="1F497D" w:themeColor="text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DF6"/>
    <w:multiLevelType w:val="hybridMultilevel"/>
    <w:tmpl w:val="F65E0FBC"/>
    <w:lvl w:ilvl="0" w:tplc="BAE678C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E35C3"/>
    <w:multiLevelType w:val="hybridMultilevel"/>
    <w:tmpl w:val="75247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BA363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57066"/>
    <w:multiLevelType w:val="hybridMultilevel"/>
    <w:tmpl w:val="A49440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849"/>
    <w:multiLevelType w:val="hybridMultilevel"/>
    <w:tmpl w:val="7CC056B2"/>
    <w:lvl w:ilvl="0" w:tplc="BB18F93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91F0A"/>
    <w:multiLevelType w:val="hybridMultilevel"/>
    <w:tmpl w:val="DE8E88B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D6240A"/>
    <w:multiLevelType w:val="hybridMultilevel"/>
    <w:tmpl w:val="6EECC16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75F65"/>
    <w:multiLevelType w:val="hybridMultilevel"/>
    <w:tmpl w:val="780A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941A7"/>
    <w:multiLevelType w:val="hybridMultilevel"/>
    <w:tmpl w:val="AEE64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97807"/>
    <w:multiLevelType w:val="hybridMultilevel"/>
    <w:tmpl w:val="88A2407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366E"/>
    <w:multiLevelType w:val="hybridMultilevel"/>
    <w:tmpl w:val="0DF4A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6135A"/>
    <w:multiLevelType w:val="hybridMultilevel"/>
    <w:tmpl w:val="13227DFA"/>
    <w:lvl w:ilvl="0" w:tplc="0407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5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21567"/>
    <w:multiLevelType w:val="hybridMultilevel"/>
    <w:tmpl w:val="F2624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8305E"/>
    <w:multiLevelType w:val="hybridMultilevel"/>
    <w:tmpl w:val="A4A84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C201E"/>
    <w:multiLevelType w:val="hybridMultilevel"/>
    <w:tmpl w:val="C2D26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5162"/>
    <w:multiLevelType w:val="hybridMultilevel"/>
    <w:tmpl w:val="E0FEE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86143"/>
    <w:multiLevelType w:val="hybridMultilevel"/>
    <w:tmpl w:val="1292B41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891EE1"/>
    <w:multiLevelType w:val="hybridMultilevel"/>
    <w:tmpl w:val="365E1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5088B"/>
    <w:multiLevelType w:val="hybridMultilevel"/>
    <w:tmpl w:val="E2709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F13A1"/>
    <w:multiLevelType w:val="hybridMultilevel"/>
    <w:tmpl w:val="5D6EA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D59C2"/>
    <w:multiLevelType w:val="hybridMultilevel"/>
    <w:tmpl w:val="6DC0B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0180D"/>
    <w:multiLevelType w:val="hybridMultilevel"/>
    <w:tmpl w:val="B3A65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16F96"/>
    <w:multiLevelType w:val="hybridMultilevel"/>
    <w:tmpl w:val="3956077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AC0447"/>
    <w:multiLevelType w:val="hybridMultilevel"/>
    <w:tmpl w:val="988E2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C68C2"/>
    <w:multiLevelType w:val="hybridMultilevel"/>
    <w:tmpl w:val="5700F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265E5"/>
    <w:multiLevelType w:val="hybridMultilevel"/>
    <w:tmpl w:val="AEB60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F4F44"/>
    <w:multiLevelType w:val="hybridMultilevel"/>
    <w:tmpl w:val="62D86AE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511E96"/>
    <w:multiLevelType w:val="hybridMultilevel"/>
    <w:tmpl w:val="545253A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F83BE2"/>
    <w:multiLevelType w:val="hybridMultilevel"/>
    <w:tmpl w:val="3106412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0502A"/>
    <w:multiLevelType w:val="hybridMultilevel"/>
    <w:tmpl w:val="5350926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8A7A43"/>
    <w:multiLevelType w:val="hybridMultilevel"/>
    <w:tmpl w:val="47CA81E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E3109"/>
    <w:multiLevelType w:val="hybridMultilevel"/>
    <w:tmpl w:val="AD4CEF7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EF2449"/>
    <w:multiLevelType w:val="hybridMultilevel"/>
    <w:tmpl w:val="7584DE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F93ED6"/>
    <w:multiLevelType w:val="hybridMultilevel"/>
    <w:tmpl w:val="93940E6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5"/>
  </w:num>
  <w:num w:numId="4">
    <w:abstractNumId w:val="16"/>
  </w:num>
  <w:num w:numId="5">
    <w:abstractNumId w:val="17"/>
  </w:num>
  <w:num w:numId="6">
    <w:abstractNumId w:val="9"/>
  </w:num>
  <w:num w:numId="7">
    <w:abstractNumId w:val="25"/>
  </w:num>
  <w:num w:numId="8">
    <w:abstractNumId w:val="15"/>
  </w:num>
  <w:num w:numId="9">
    <w:abstractNumId w:val="24"/>
  </w:num>
  <w:num w:numId="10">
    <w:abstractNumId w:val="26"/>
  </w:num>
  <w:num w:numId="11">
    <w:abstractNumId w:val="39"/>
  </w:num>
  <w:num w:numId="12">
    <w:abstractNumId w:val="29"/>
  </w:num>
  <w:num w:numId="13">
    <w:abstractNumId w:val="10"/>
  </w:num>
  <w:num w:numId="14">
    <w:abstractNumId w:val="27"/>
  </w:num>
  <w:num w:numId="15">
    <w:abstractNumId w:val="12"/>
  </w:num>
  <w:num w:numId="16">
    <w:abstractNumId w:val="18"/>
  </w:num>
  <w:num w:numId="17">
    <w:abstractNumId w:val="3"/>
  </w:num>
  <w:num w:numId="18">
    <w:abstractNumId w:val="2"/>
  </w:num>
  <w:num w:numId="19">
    <w:abstractNumId w:val="23"/>
  </w:num>
  <w:num w:numId="20">
    <w:abstractNumId w:val="21"/>
  </w:num>
  <w:num w:numId="21">
    <w:abstractNumId w:val="31"/>
  </w:num>
  <w:num w:numId="22">
    <w:abstractNumId w:val="7"/>
  </w:num>
  <w:num w:numId="23">
    <w:abstractNumId w:val="22"/>
  </w:num>
  <w:num w:numId="24">
    <w:abstractNumId w:val="8"/>
  </w:num>
  <w:num w:numId="25">
    <w:abstractNumId w:val="32"/>
  </w:num>
  <w:num w:numId="26">
    <w:abstractNumId w:val="30"/>
  </w:num>
  <w:num w:numId="27">
    <w:abstractNumId w:val="37"/>
  </w:num>
  <w:num w:numId="28">
    <w:abstractNumId w:val="11"/>
  </w:num>
  <w:num w:numId="29">
    <w:abstractNumId w:val="42"/>
  </w:num>
  <w:num w:numId="30">
    <w:abstractNumId w:val="5"/>
  </w:num>
  <w:num w:numId="31">
    <w:abstractNumId w:val="0"/>
  </w:num>
  <w:num w:numId="32">
    <w:abstractNumId w:val="19"/>
  </w:num>
  <w:num w:numId="33">
    <w:abstractNumId w:val="13"/>
  </w:num>
  <w:num w:numId="34">
    <w:abstractNumId w:val="38"/>
  </w:num>
  <w:num w:numId="35">
    <w:abstractNumId w:val="33"/>
  </w:num>
  <w:num w:numId="36">
    <w:abstractNumId w:val="28"/>
  </w:num>
  <w:num w:numId="37">
    <w:abstractNumId w:val="4"/>
  </w:num>
  <w:num w:numId="38">
    <w:abstractNumId w:val="14"/>
  </w:num>
  <w:num w:numId="39">
    <w:abstractNumId w:val="1"/>
  </w:num>
  <w:num w:numId="40">
    <w:abstractNumId w:val="20"/>
  </w:num>
  <w:num w:numId="41">
    <w:abstractNumId w:val="40"/>
  </w:num>
  <w:num w:numId="42">
    <w:abstractNumId w:val="34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56727-6846-47BB-B229-AA6B6ACB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st">
    <w:name w:val="st"/>
    <w:basedOn w:val="Absatz-Standardschriftart"/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ge-National_2020-10-14.pptx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COVID-19_Internationale_Lage_2020-10-14.ppt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SARS-CoV-2%20in%20ARS_20201014_Krisenstabssitzung.ppt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syndrom-ARE-SARI-COVID_bis_KW41_2020_f&#252;r-Krisenstab.ppt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9DE5F07FE94C9798A0A417AC526A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2D8C3E-D297-437B-8EE4-0E5ABA5F5EA6}"/>
      </w:docPartPr>
      <w:docPartBody>
        <w:p>
          <w:pPr>
            <w:pStyle w:val="739DE5F07FE94C9798A0A417AC526AE7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C7B089887BF4CDCBBA244316EC0E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4CA1D-56C1-4042-88AA-CE87EFCA90EC}"/>
      </w:docPartPr>
      <w:docPartBody>
        <w:p>
          <w:pPr>
            <w:pStyle w:val="1C7B089887BF4CDCBBA244316EC0EF55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2461B2C60C6456F9A8F3645C63A83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33BC9E-8C35-40C8-865A-CEFA454AB5D0}"/>
      </w:docPartPr>
      <w:docPartBody>
        <w:p>
          <w:pPr>
            <w:pStyle w:val="82461B2C60C6456F9A8F3645C63A838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A35BD"/>
    <w:rPr>
      <w:color w:val="808080"/>
    </w:rPr>
  </w:style>
  <w:style w:type="paragraph" w:customStyle="1" w:styleId="739DE5F07FE94C9798A0A417AC526AE7">
    <w:name w:val="739DE5F07FE94C9798A0A417AC526AE7"/>
    <w:rsid w:val="006A35BD"/>
  </w:style>
  <w:style w:type="paragraph" w:customStyle="1" w:styleId="1C7B089887BF4CDCBBA244316EC0EF55">
    <w:name w:val="1C7B089887BF4CDCBBA244316EC0EF55"/>
    <w:rsid w:val="006A35BD"/>
  </w:style>
  <w:style w:type="paragraph" w:customStyle="1" w:styleId="82461B2C60C6456F9A8F3645C63A8389">
    <w:name w:val="82461B2C60C6456F9A8F3645C63A8389"/>
    <w:rsid w:val="006A3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1825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40</cp:revision>
  <cp:lastPrinted>2020-10-12T10:38:00Z</cp:lastPrinted>
  <dcterms:created xsi:type="dcterms:W3CDTF">2020-10-12T18:41:00Z</dcterms:created>
  <dcterms:modified xsi:type="dcterms:W3CDTF">2021-05-06T13:19:00Z</dcterms:modified>
</cp:coreProperties>
</file>