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spacing w:before="120"/>
      </w:pPr>
      <w:r>
        <w:t>Krisenstab-Sitzung „</w:t>
      </w:r>
      <w:r>
        <w:rPr>
          <w:highlight w:val="lightGray"/>
        </w:rPr>
        <w:t>Neuartiges Coronavirus (COVID-19)</w:t>
      </w:r>
      <w:r>
        <w:t>“</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i/>
          <w:sz w:val="22"/>
        </w:rPr>
      </w:pPr>
      <w:r>
        <w:rPr>
          <w:b/>
          <w:i/>
          <w:sz w:val="22"/>
        </w:rPr>
        <w:t>Lage:</w:t>
      </w:r>
      <w:r>
        <w:rPr>
          <w:b/>
          <w:i/>
          <w:sz w:val="22"/>
        </w:rPr>
        <w:tab/>
      </w:r>
      <w:r>
        <w:rPr>
          <w:b/>
          <w:i/>
          <w:sz w:val="22"/>
        </w:rPr>
        <w:tab/>
      </w:r>
      <w:r>
        <w:rPr>
          <w:i/>
          <w:sz w:val="22"/>
        </w:rPr>
        <w:t xml:space="preserve"> </w:t>
      </w:r>
      <w:r>
        <w:rPr>
          <w:i/>
          <w:sz w:val="22"/>
        </w:rPr>
        <w:tab/>
      </w:r>
      <w:sdt>
        <w:sdtPr>
          <w:rPr>
            <w:i/>
            <w:sz w:val="22"/>
          </w:rPr>
          <w:id w:val="334350100"/>
          <w:placeholder>
            <w:docPart w:val="DefaultPlaceholder_1082065158"/>
          </w:placeholder>
        </w:sdtPr>
        <w:sdtContent>
          <w:r>
            <w:rPr>
              <w:sz w:val="22"/>
            </w:rPr>
            <w:t>Neuartiges Coronavirus (COVID-19)</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b/>
          <w:i/>
          <w:sz w:val="22"/>
        </w:rPr>
      </w:pP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i/>
          <w:sz w:val="22"/>
        </w:rPr>
      </w:pPr>
      <w:r>
        <w:rPr>
          <w:b/>
          <w:i/>
          <w:sz w:val="22"/>
        </w:rPr>
        <w:t>Datum, Uhrzeit:</w:t>
      </w:r>
      <w:r>
        <w:rPr>
          <w:i/>
          <w:sz w:val="22"/>
        </w:rPr>
        <w:t xml:space="preserve"> </w:t>
      </w:r>
      <w:r>
        <w:rPr>
          <w:i/>
          <w:sz w:val="22"/>
        </w:rPr>
        <w:tab/>
      </w:r>
      <w:sdt>
        <w:sdtPr>
          <w:rPr>
            <w:i/>
            <w:sz w:val="22"/>
          </w:rPr>
          <w:id w:val="2096439265"/>
          <w:placeholder>
            <w:docPart w:val="DefaultPlaceholder_1082065158"/>
          </w:placeholder>
        </w:sdtPr>
        <w:sdtContent>
          <w:r>
            <w:rPr>
              <w:i/>
              <w:sz w:val="22"/>
            </w:rPr>
            <w:t>23.10.2020, 11:00Uhr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b/>
          <w:i/>
          <w:sz w:val="22"/>
        </w:rPr>
      </w:pP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i/>
          <w:sz w:val="22"/>
        </w:rPr>
      </w:pPr>
      <w:r>
        <w:rPr>
          <w:b/>
          <w:i/>
          <w:sz w:val="22"/>
        </w:rPr>
        <w:t>Sitzungsort:</w:t>
      </w:r>
      <w:r>
        <w:rPr>
          <w:b/>
          <w:i/>
          <w:sz w:val="22"/>
        </w:rPr>
        <w:tab/>
        <w:t xml:space="preserve"> </w:t>
      </w:r>
      <w:r>
        <w:rPr>
          <w:b/>
          <w:i/>
          <w:sz w:val="22"/>
        </w:rPr>
        <w:tab/>
      </w:r>
      <w:sdt>
        <w:sdtPr>
          <w:rPr>
            <w:sz w:val="22"/>
          </w:rPr>
          <w:id w:val="1811592494"/>
          <w:placeholder>
            <w:docPart w:val="DefaultPlaceholder_1082065158"/>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18"/>
        </w:numPr>
        <w:spacing w:after="0"/>
        <w:contextualSpacing w:val="0"/>
        <w:rPr>
          <w:sz w:val="22"/>
          <w:szCs w:val="22"/>
        </w:rPr>
      </w:pPr>
      <w:r>
        <w:rPr>
          <w:sz w:val="22"/>
          <w:szCs w:val="22"/>
        </w:rPr>
        <w:t>Institutsleitung</w:t>
      </w:r>
    </w:p>
    <w:p>
      <w:pPr>
        <w:pStyle w:val="Listenabsatz"/>
        <w:numPr>
          <w:ilvl w:val="1"/>
          <w:numId w:val="17"/>
        </w:numPr>
        <w:spacing w:after="0"/>
        <w:contextualSpacing w:val="0"/>
        <w:rPr>
          <w:sz w:val="22"/>
          <w:szCs w:val="22"/>
        </w:rPr>
      </w:pPr>
      <w:r>
        <w:rPr>
          <w:sz w:val="22"/>
          <w:szCs w:val="22"/>
        </w:rPr>
        <w:t>Lars Schaade</w:t>
      </w:r>
    </w:p>
    <w:p>
      <w:pPr>
        <w:pStyle w:val="Listenabsatz"/>
        <w:numPr>
          <w:ilvl w:val="1"/>
          <w:numId w:val="17"/>
        </w:numPr>
        <w:spacing w:after="0"/>
        <w:contextualSpacing w:val="0"/>
        <w:rPr>
          <w:sz w:val="22"/>
          <w:szCs w:val="22"/>
        </w:rPr>
      </w:pPr>
      <w:r>
        <w:rPr>
          <w:sz w:val="22"/>
          <w:szCs w:val="22"/>
        </w:rPr>
        <w:t>Lothar Wieler</w:t>
      </w:r>
    </w:p>
    <w:p>
      <w:pPr>
        <w:pStyle w:val="Listenabsatz"/>
        <w:numPr>
          <w:ilvl w:val="0"/>
          <w:numId w:val="17"/>
        </w:numPr>
        <w:spacing w:after="0" w:line="233" w:lineRule="auto"/>
        <w:ind w:hanging="357"/>
        <w:contextualSpacing w:val="0"/>
        <w:rPr>
          <w:sz w:val="22"/>
          <w:szCs w:val="22"/>
        </w:rPr>
      </w:pPr>
      <w:r>
        <w:rPr>
          <w:sz w:val="22"/>
          <w:szCs w:val="22"/>
        </w:rPr>
        <w:t>Abt. 1</w:t>
      </w:r>
    </w:p>
    <w:p>
      <w:pPr>
        <w:pStyle w:val="Listenabsatz"/>
        <w:numPr>
          <w:ilvl w:val="1"/>
          <w:numId w:val="17"/>
        </w:numPr>
        <w:spacing w:after="0" w:line="233" w:lineRule="auto"/>
        <w:contextualSpacing w:val="0"/>
        <w:rPr>
          <w:sz w:val="22"/>
          <w:szCs w:val="22"/>
        </w:rPr>
      </w:pPr>
      <w:r>
        <w:rPr>
          <w:sz w:val="22"/>
          <w:szCs w:val="22"/>
        </w:rPr>
        <w:t>Martin Mielke</w:t>
      </w:r>
    </w:p>
    <w:p>
      <w:pPr>
        <w:pStyle w:val="Listenabsatz"/>
        <w:numPr>
          <w:ilvl w:val="0"/>
          <w:numId w:val="17"/>
        </w:numPr>
        <w:spacing w:after="0" w:line="233" w:lineRule="auto"/>
        <w:ind w:hanging="357"/>
        <w:contextualSpacing w:val="0"/>
        <w:rPr>
          <w:sz w:val="22"/>
          <w:szCs w:val="22"/>
        </w:rPr>
      </w:pPr>
      <w:r>
        <w:rPr>
          <w:sz w:val="22"/>
          <w:szCs w:val="22"/>
        </w:rPr>
        <w:t>Abt. 3</w:t>
      </w:r>
    </w:p>
    <w:p>
      <w:pPr>
        <w:pStyle w:val="Listenabsatz"/>
        <w:numPr>
          <w:ilvl w:val="1"/>
          <w:numId w:val="17"/>
        </w:numPr>
        <w:spacing w:after="0" w:line="233" w:lineRule="auto"/>
        <w:contextualSpacing w:val="0"/>
        <w:rPr>
          <w:sz w:val="22"/>
          <w:szCs w:val="22"/>
        </w:rPr>
      </w:pPr>
      <w:r>
        <w:rPr>
          <w:sz w:val="22"/>
          <w:szCs w:val="22"/>
        </w:rPr>
        <w:t>Osamah Hamouda</w:t>
      </w:r>
    </w:p>
    <w:p>
      <w:pPr>
        <w:pStyle w:val="Listenabsatz"/>
        <w:numPr>
          <w:ilvl w:val="0"/>
          <w:numId w:val="17"/>
        </w:numPr>
        <w:spacing w:after="0" w:line="233" w:lineRule="auto"/>
        <w:ind w:hanging="357"/>
        <w:contextualSpacing w:val="0"/>
        <w:rPr>
          <w:sz w:val="22"/>
          <w:szCs w:val="22"/>
        </w:rPr>
      </w:pPr>
      <w:r>
        <w:rPr>
          <w:sz w:val="22"/>
          <w:szCs w:val="22"/>
        </w:rPr>
        <w:t>ZIG</w:t>
      </w:r>
    </w:p>
    <w:p>
      <w:pPr>
        <w:pStyle w:val="Listenabsatz"/>
        <w:numPr>
          <w:ilvl w:val="1"/>
          <w:numId w:val="17"/>
        </w:numPr>
        <w:spacing w:after="0" w:line="233" w:lineRule="auto"/>
        <w:contextualSpacing w:val="0"/>
        <w:rPr>
          <w:sz w:val="22"/>
          <w:szCs w:val="22"/>
        </w:rPr>
      </w:pPr>
      <w:r>
        <w:rPr>
          <w:sz w:val="22"/>
          <w:szCs w:val="22"/>
        </w:rPr>
        <w:t>Johanna Hanefeld</w:t>
      </w:r>
    </w:p>
    <w:p>
      <w:pPr>
        <w:pStyle w:val="Listenabsatz"/>
        <w:numPr>
          <w:ilvl w:val="0"/>
          <w:numId w:val="17"/>
        </w:numPr>
        <w:spacing w:after="0" w:line="233" w:lineRule="auto"/>
        <w:contextualSpacing w:val="0"/>
        <w:rPr>
          <w:sz w:val="22"/>
          <w:szCs w:val="22"/>
        </w:rPr>
      </w:pPr>
      <w:r>
        <w:rPr>
          <w:sz w:val="22"/>
          <w:szCs w:val="22"/>
        </w:rPr>
        <w:t>FG12</w:t>
      </w:r>
    </w:p>
    <w:p>
      <w:pPr>
        <w:pStyle w:val="Listenabsatz"/>
        <w:numPr>
          <w:ilvl w:val="1"/>
          <w:numId w:val="17"/>
        </w:numPr>
        <w:spacing w:after="0" w:line="233" w:lineRule="auto"/>
        <w:contextualSpacing w:val="0"/>
        <w:rPr>
          <w:sz w:val="22"/>
          <w:szCs w:val="22"/>
        </w:rPr>
      </w:pPr>
      <w:r>
        <w:rPr>
          <w:sz w:val="22"/>
          <w:szCs w:val="22"/>
        </w:rPr>
        <w:t>Annette Mankertz</w:t>
      </w:r>
    </w:p>
    <w:p>
      <w:pPr>
        <w:pStyle w:val="Listenabsatz"/>
        <w:numPr>
          <w:ilvl w:val="0"/>
          <w:numId w:val="18"/>
        </w:numPr>
        <w:spacing w:after="0"/>
        <w:contextualSpacing w:val="0"/>
        <w:rPr>
          <w:sz w:val="22"/>
          <w:szCs w:val="22"/>
        </w:rPr>
      </w:pPr>
      <w:r>
        <w:rPr>
          <w:sz w:val="22"/>
          <w:szCs w:val="22"/>
        </w:rPr>
        <w:t>FG14</w:t>
      </w:r>
    </w:p>
    <w:p>
      <w:pPr>
        <w:pStyle w:val="Listenabsatz"/>
        <w:numPr>
          <w:ilvl w:val="1"/>
          <w:numId w:val="17"/>
        </w:numPr>
        <w:spacing w:after="0"/>
        <w:contextualSpacing w:val="0"/>
        <w:rPr>
          <w:sz w:val="22"/>
          <w:szCs w:val="22"/>
        </w:rPr>
      </w:pPr>
      <w:r>
        <w:rPr>
          <w:sz w:val="22"/>
          <w:szCs w:val="22"/>
        </w:rPr>
        <w:t>Melanie Brunke</w:t>
      </w:r>
    </w:p>
    <w:p>
      <w:pPr>
        <w:pStyle w:val="Listenabsatz"/>
        <w:numPr>
          <w:ilvl w:val="0"/>
          <w:numId w:val="18"/>
        </w:numPr>
        <w:spacing w:after="0"/>
        <w:contextualSpacing w:val="0"/>
        <w:rPr>
          <w:sz w:val="22"/>
          <w:szCs w:val="22"/>
        </w:rPr>
      </w:pPr>
      <w:r>
        <w:rPr>
          <w:sz w:val="22"/>
          <w:szCs w:val="22"/>
        </w:rPr>
        <w:t>FG17</w:t>
      </w:r>
    </w:p>
    <w:p>
      <w:pPr>
        <w:pStyle w:val="Listenabsatz"/>
        <w:numPr>
          <w:ilvl w:val="1"/>
          <w:numId w:val="17"/>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17"/>
        </w:numPr>
        <w:spacing w:after="0"/>
        <w:contextualSpacing w:val="0"/>
        <w:rPr>
          <w:sz w:val="22"/>
          <w:szCs w:val="22"/>
        </w:rPr>
      </w:pPr>
      <w:r>
        <w:rPr>
          <w:sz w:val="22"/>
          <w:szCs w:val="22"/>
        </w:rPr>
        <w:t>FG24</w:t>
      </w:r>
    </w:p>
    <w:p>
      <w:pPr>
        <w:pStyle w:val="Listenabsatz"/>
        <w:numPr>
          <w:ilvl w:val="1"/>
          <w:numId w:val="17"/>
        </w:numPr>
        <w:spacing w:after="0"/>
        <w:contextualSpacing w:val="0"/>
        <w:rPr>
          <w:sz w:val="22"/>
          <w:szCs w:val="22"/>
        </w:rPr>
      </w:pPr>
      <w:r>
        <w:rPr>
          <w:sz w:val="22"/>
          <w:szCs w:val="22"/>
        </w:rPr>
        <w:t>Thomas Ziese</w:t>
      </w:r>
    </w:p>
    <w:p>
      <w:pPr>
        <w:pStyle w:val="Listenabsatz"/>
        <w:numPr>
          <w:ilvl w:val="0"/>
          <w:numId w:val="19"/>
        </w:numPr>
        <w:spacing w:after="0"/>
        <w:contextualSpacing w:val="0"/>
        <w:rPr>
          <w:sz w:val="22"/>
          <w:szCs w:val="22"/>
        </w:rPr>
      </w:pPr>
      <w:r>
        <w:rPr>
          <w:sz w:val="22"/>
          <w:szCs w:val="22"/>
        </w:rPr>
        <w:t>FG 32</w:t>
      </w:r>
    </w:p>
    <w:p>
      <w:pPr>
        <w:pStyle w:val="Listenabsatz"/>
        <w:numPr>
          <w:ilvl w:val="1"/>
          <w:numId w:val="17"/>
        </w:numPr>
        <w:spacing w:after="0"/>
        <w:contextualSpacing w:val="0"/>
        <w:rPr>
          <w:sz w:val="22"/>
          <w:szCs w:val="22"/>
        </w:rPr>
      </w:pPr>
      <w:r>
        <w:rPr>
          <w:sz w:val="22"/>
          <w:szCs w:val="22"/>
        </w:rPr>
        <w:t>Michaela Diercke</w:t>
      </w:r>
    </w:p>
    <w:p>
      <w:pPr>
        <w:pStyle w:val="Listenabsatz"/>
        <w:numPr>
          <w:ilvl w:val="0"/>
          <w:numId w:val="19"/>
        </w:numPr>
        <w:spacing w:after="0"/>
        <w:contextualSpacing w:val="0"/>
        <w:rPr>
          <w:sz w:val="22"/>
          <w:szCs w:val="22"/>
        </w:rPr>
      </w:pPr>
      <w:r>
        <w:rPr>
          <w:sz w:val="22"/>
          <w:szCs w:val="22"/>
        </w:rPr>
        <w:t>FG34</w:t>
      </w:r>
    </w:p>
    <w:p>
      <w:pPr>
        <w:pStyle w:val="Listenabsatz"/>
        <w:numPr>
          <w:ilvl w:val="1"/>
          <w:numId w:val="17"/>
        </w:numPr>
        <w:spacing w:after="0"/>
        <w:contextualSpacing w:val="0"/>
        <w:rPr>
          <w:sz w:val="22"/>
          <w:szCs w:val="22"/>
        </w:rPr>
      </w:pPr>
      <w:r>
        <w:rPr>
          <w:sz w:val="22"/>
          <w:szCs w:val="22"/>
        </w:rPr>
        <w:t>Viviane Bremer</w:t>
      </w:r>
    </w:p>
    <w:p>
      <w:pPr>
        <w:pStyle w:val="Listenabsatz"/>
        <w:numPr>
          <w:ilvl w:val="0"/>
          <w:numId w:val="17"/>
        </w:numPr>
        <w:spacing w:after="0"/>
        <w:contextualSpacing w:val="0"/>
        <w:rPr>
          <w:sz w:val="22"/>
          <w:szCs w:val="22"/>
        </w:rPr>
      </w:pPr>
      <w:r>
        <w:rPr>
          <w:sz w:val="22"/>
          <w:szCs w:val="22"/>
        </w:rPr>
        <w:t>FG35</w:t>
      </w:r>
    </w:p>
    <w:p>
      <w:pPr>
        <w:pStyle w:val="Listenabsatz"/>
        <w:numPr>
          <w:ilvl w:val="1"/>
          <w:numId w:val="17"/>
        </w:numPr>
        <w:spacing w:after="0" w:line="233" w:lineRule="auto"/>
        <w:contextualSpacing w:val="0"/>
        <w:rPr>
          <w:sz w:val="22"/>
          <w:szCs w:val="22"/>
        </w:rPr>
      </w:pPr>
      <w:r>
        <w:rPr>
          <w:sz w:val="22"/>
          <w:szCs w:val="22"/>
        </w:rPr>
        <w:t>Kirsten Pörtner (Protokoll)</w:t>
      </w:r>
    </w:p>
    <w:p>
      <w:pPr>
        <w:pStyle w:val="Listenabsatz"/>
        <w:numPr>
          <w:ilvl w:val="0"/>
          <w:numId w:val="17"/>
        </w:numPr>
        <w:spacing w:after="0"/>
        <w:contextualSpacing w:val="0"/>
        <w:rPr>
          <w:sz w:val="22"/>
          <w:szCs w:val="22"/>
        </w:rPr>
      </w:pPr>
      <w:r>
        <w:rPr>
          <w:sz w:val="22"/>
          <w:szCs w:val="22"/>
        </w:rPr>
        <w:t>FG36</w:t>
      </w:r>
    </w:p>
    <w:p>
      <w:pPr>
        <w:pStyle w:val="Listenabsatz"/>
        <w:numPr>
          <w:ilvl w:val="1"/>
          <w:numId w:val="17"/>
        </w:numPr>
        <w:spacing w:after="0"/>
        <w:contextualSpacing w:val="0"/>
        <w:rPr>
          <w:sz w:val="22"/>
          <w:szCs w:val="22"/>
        </w:rPr>
      </w:pPr>
      <w:r>
        <w:rPr>
          <w:sz w:val="22"/>
          <w:szCs w:val="22"/>
        </w:rPr>
        <w:t>Silke Buda</w:t>
      </w:r>
    </w:p>
    <w:p>
      <w:pPr>
        <w:pStyle w:val="Listenabsatz"/>
        <w:numPr>
          <w:ilvl w:val="1"/>
          <w:numId w:val="17"/>
        </w:numPr>
        <w:spacing w:after="0"/>
        <w:contextualSpacing w:val="0"/>
        <w:rPr>
          <w:sz w:val="22"/>
          <w:szCs w:val="22"/>
        </w:rPr>
      </w:pPr>
      <w:r>
        <w:rPr>
          <w:sz w:val="22"/>
          <w:szCs w:val="22"/>
        </w:rPr>
        <w:t>Walter Haas</w:t>
      </w:r>
    </w:p>
    <w:p>
      <w:pPr>
        <w:pStyle w:val="Listenabsatz"/>
        <w:numPr>
          <w:ilvl w:val="1"/>
          <w:numId w:val="17"/>
        </w:numPr>
        <w:spacing w:after="0"/>
        <w:contextualSpacing w:val="0"/>
        <w:rPr>
          <w:sz w:val="22"/>
          <w:szCs w:val="22"/>
        </w:rPr>
      </w:pPr>
      <w:r>
        <w:rPr>
          <w:sz w:val="22"/>
          <w:szCs w:val="22"/>
        </w:rPr>
        <w:t>Stefan Kröger</w:t>
      </w:r>
    </w:p>
    <w:p>
      <w:pPr>
        <w:pStyle w:val="Listenabsatz"/>
        <w:numPr>
          <w:ilvl w:val="1"/>
          <w:numId w:val="17"/>
        </w:numPr>
        <w:spacing w:after="0"/>
        <w:contextualSpacing w:val="0"/>
        <w:rPr>
          <w:sz w:val="22"/>
          <w:szCs w:val="22"/>
        </w:rPr>
      </w:pPr>
      <w:r>
        <w:rPr>
          <w:sz w:val="22"/>
          <w:szCs w:val="22"/>
        </w:rPr>
        <w:t>Kai Schulze</w:t>
      </w:r>
    </w:p>
    <w:p>
      <w:pPr>
        <w:pStyle w:val="Listenabsatz"/>
        <w:numPr>
          <w:ilvl w:val="0"/>
          <w:numId w:val="17"/>
        </w:numPr>
        <w:spacing w:after="0"/>
        <w:contextualSpacing w:val="0"/>
        <w:rPr>
          <w:sz w:val="22"/>
          <w:szCs w:val="22"/>
        </w:rPr>
      </w:pPr>
      <w:r>
        <w:rPr>
          <w:sz w:val="22"/>
          <w:szCs w:val="22"/>
        </w:rPr>
        <w:t>FG37</w:t>
      </w:r>
    </w:p>
    <w:p>
      <w:pPr>
        <w:pStyle w:val="Listenabsatz"/>
        <w:numPr>
          <w:ilvl w:val="1"/>
          <w:numId w:val="17"/>
        </w:numPr>
        <w:spacing w:after="0"/>
        <w:contextualSpacing w:val="0"/>
        <w:rPr>
          <w:sz w:val="22"/>
          <w:szCs w:val="22"/>
        </w:rPr>
      </w:pPr>
      <w:r>
        <w:rPr>
          <w:sz w:val="22"/>
          <w:szCs w:val="22"/>
        </w:rPr>
        <w:t xml:space="preserve">Sebastian </w:t>
      </w:r>
      <w:r>
        <w:rPr>
          <w:rStyle w:val="highlight"/>
          <w:sz w:val="22"/>
          <w:szCs w:val="22"/>
        </w:rPr>
        <w:t>Haller</w:t>
      </w:r>
    </w:p>
    <w:p>
      <w:pPr>
        <w:pStyle w:val="Listenabsatz"/>
        <w:numPr>
          <w:ilvl w:val="0"/>
          <w:numId w:val="19"/>
        </w:numPr>
        <w:spacing w:after="0"/>
        <w:contextualSpacing w:val="0"/>
        <w:rPr>
          <w:sz w:val="22"/>
          <w:szCs w:val="22"/>
        </w:rPr>
      </w:pPr>
      <w:r>
        <w:rPr>
          <w:sz w:val="22"/>
          <w:szCs w:val="22"/>
        </w:rPr>
        <w:t>FG 38</w:t>
      </w:r>
    </w:p>
    <w:p>
      <w:pPr>
        <w:pStyle w:val="Listenabsatz"/>
        <w:numPr>
          <w:ilvl w:val="1"/>
          <w:numId w:val="17"/>
        </w:numPr>
        <w:spacing w:after="0"/>
        <w:contextualSpacing w:val="0"/>
        <w:rPr>
          <w:sz w:val="22"/>
          <w:szCs w:val="22"/>
        </w:rPr>
      </w:pPr>
      <w:r>
        <w:rPr>
          <w:sz w:val="22"/>
          <w:szCs w:val="22"/>
        </w:rPr>
        <w:t>Ulrike Grote</w:t>
      </w:r>
    </w:p>
    <w:p>
      <w:pPr>
        <w:pStyle w:val="Listenabsatz"/>
        <w:numPr>
          <w:ilvl w:val="0"/>
          <w:numId w:val="18"/>
        </w:numPr>
        <w:spacing w:after="0"/>
        <w:contextualSpacing w:val="0"/>
        <w:rPr>
          <w:sz w:val="22"/>
          <w:szCs w:val="22"/>
        </w:rPr>
      </w:pPr>
      <w:r>
        <w:rPr>
          <w:sz w:val="22"/>
          <w:szCs w:val="22"/>
        </w:rPr>
        <w:t>IBBS</w:t>
      </w:r>
    </w:p>
    <w:p>
      <w:pPr>
        <w:pStyle w:val="Listenabsatz"/>
        <w:numPr>
          <w:ilvl w:val="1"/>
          <w:numId w:val="18"/>
        </w:numPr>
        <w:spacing w:after="0"/>
        <w:contextualSpacing w:val="0"/>
        <w:rPr>
          <w:sz w:val="22"/>
          <w:szCs w:val="22"/>
        </w:rPr>
      </w:pPr>
      <w:r>
        <w:rPr>
          <w:sz w:val="22"/>
          <w:szCs w:val="22"/>
        </w:rPr>
        <w:t>Christian Herzog</w:t>
      </w:r>
    </w:p>
    <w:p>
      <w:pPr>
        <w:pStyle w:val="Listenabsatz"/>
        <w:numPr>
          <w:ilvl w:val="0"/>
          <w:numId w:val="18"/>
        </w:numPr>
        <w:spacing w:after="0"/>
        <w:contextualSpacing w:val="0"/>
        <w:rPr>
          <w:sz w:val="22"/>
          <w:szCs w:val="22"/>
        </w:rPr>
      </w:pPr>
      <w:r>
        <w:rPr>
          <w:sz w:val="22"/>
          <w:szCs w:val="22"/>
        </w:rPr>
        <w:t>P1</w:t>
      </w:r>
    </w:p>
    <w:p>
      <w:pPr>
        <w:pStyle w:val="Listenabsatz"/>
        <w:numPr>
          <w:ilvl w:val="1"/>
          <w:numId w:val="18"/>
        </w:numPr>
        <w:spacing w:after="0"/>
        <w:contextualSpacing w:val="0"/>
        <w:rPr>
          <w:sz w:val="22"/>
          <w:szCs w:val="22"/>
        </w:rPr>
      </w:pPr>
      <w:r>
        <w:rPr>
          <w:sz w:val="22"/>
          <w:szCs w:val="22"/>
        </w:rPr>
        <w:t>Ines Lein</w:t>
      </w:r>
    </w:p>
    <w:p>
      <w:pPr>
        <w:pStyle w:val="Listenabsatz"/>
        <w:numPr>
          <w:ilvl w:val="1"/>
          <w:numId w:val="18"/>
        </w:numPr>
        <w:spacing w:after="0"/>
        <w:contextualSpacing w:val="0"/>
        <w:rPr>
          <w:sz w:val="22"/>
          <w:szCs w:val="22"/>
        </w:rPr>
      </w:pPr>
      <w:r>
        <w:rPr>
          <w:sz w:val="22"/>
          <w:szCs w:val="22"/>
        </w:rPr>
        <w:lastRenderedPageBreak/>
        <w:t>Miriam Jenny</w:t>
      </w:r>
    </w:p>
    <w:p>
      <w:pPr>
        <w:pStyle w:val="Listenabsatz"/>
        <w:spacing w:after="0"/>
        <w:ind w:left="1440"/>
        <w:contextualSpacing w:val="0"/>
        <w:rPr>
          <w:sz w:val="22"/>
          <w:szCs w:val="22"/>
        </w:rPr>
      </w:pPr>
    </w:p>
    <w:p>
      <w:pPr>
        <w:pStyle w:val="Listenabsatz"/>
        <w:numPr>
          <w:ilvl w:val="0"/>
          <w:numId w:val="18"/>
        </w:numPr>
        <w:spacing w:after="0"/>
        <w:contextualSpacing w:val="0"/>
        <w:rPr>
          <w:sz w:val="22"/>
          <w:szCs w:val="22"/>
        </w:rPr>
      </w:pPr>
      <w:r>
        <w:rPr>
          <w:sz w:val="22"/>
          <w:szCs w:val="22"/>
        </w:rPr>
        <w:t>Presse</w:t>
      </w:r>
    </w:p>
    <w:p>
      <w:pPr>
        <w:pStyle w:val="Listenabsatz"/>
        <w:numPr>
          <w:ilvl w:val="1"/>
          <w:numId w:val="18"/>
        </w:numPr>
        <w:spacing w:after="0"/>
        <w:contextualSpacing w:val="0"/>
        <w:rPr>
          <w:sz w:val="22"/>
          <w:szCs w:val="22"/>
        </w:rPr>
      </w:pPr>
      <w:r>
        <w:rPr>
          <w:sz w:val="22"/>
          <w:szCs w:val="22"/>
        </w:rPr>
        <w:t>Ronja Wenchel</w:t>
      </w:r>
    </w:p>
    <w:p>
      <w:pPr>
        <w:pStyle w:val="Listenabsatz"/>
        <w:numPr>
          <w:ilvl w:val="0"/>
          <w:numId w:val="18"/>
        </w:numPr>
        <w:spacing w:after="0"/>
        <w:contextualSpacing w:val="0"/>
        <w:rPr>
          <w:sz w:val="22"/>
          <w:szCs w:val="22"/>
        </w:rPr>
      </w:pPr>
      <w:r>
        <w:rPr>
          <w:sz w:val="22"/>
          <w:szCs w:val="22"/>
        </w:rPr>
        <w:t>MF</w:t>
      </w:r>
    </w:p>
    <w:p>
      <w:pPr>
        <w:pStyle w:val="Listenabsatz"/>
        <w:numPr>
          <w:ilvl w:val="1"/>
          <w:numId w:val="18"/>
        </w:numPr>
        <w:spacing w:after="0"/>
        <w:contextualSpacing w:val="0"/>
        <w:rPr>
          <w:sz w:val="22"/>
          <w:szCs w:val="22"/>
        </w:rPr>
      </w:pPr>
      <w:r>
        <w:rPr>
          <w:sz w:val="22"/>
          <w:szCs w:val="22"/>
        </w:rPr>
        <w:t>Max v. Kleist</w:t>
      </w:r>
    </w:p>
    <w:p>
      <w:pPr>
        <w:pStyle w:val="Listenabsatz"/>
        <w:numPr>
          <w:ilvl w:val="0"/>
          <w:numId w:val="17"/>
        </w:numPr>
        <w:spacing w:after="0"/>
        <w:contextualSpacing w:val="0"/>
        <w:rPr>
          <w:sz w:val="22"/>
          <w:szCs w:val="22"/>
        </w:rPr>
      </w:pPr>
      <w:r>
        <w:rPr>
          <w:sz w:val="22"/>
          <w:szCs w:val="22"/>
        </w:rPr>
        <w:t>ZIG1</w:t>
      </w:r>
    </w:p>
    <w:p>
      <w:pPr>
        <w:pStyle w:val="Listenabsatz"/>
        <w:numPr>
          <w:ilvl w:val="1"/>
          <w:numId w:val="17"/>
        </w:numPr>
        <w:spacing w:after="0"/>
        <w:contextualSpacing w:val="0"/>
        <w:rPr>
          <w:sz w:val="22"/>
          <w:szCs w:val="22"/>
        </w:rPr>
      </w:pPr>
      <w:r>
        <w:rPr>
          <w:rStyle w:val="highlight"/>
          <w:sz w:val="22"/>
          <w:szCs w:val="22"/>
        </w:rPr>
        <w:t>Eugenia</w:t>
      </w:r>
      <w:r>
        <w:rPr>
          <w:sz w:val="22"/>
          <w:szCs w:val="22"/>
        </w:rPr>
        <w:t xml:space="preserve"> Romo Ventura</w:t>
      </w:r>
    </w:p>
    <w:p>
      <w:pPr>
        <w:pStyle w:val="Listenabsatz"/>
        <w:numPr>
          <w:ilvl w:val="0"/>
          <w:numId w:val="17"/>
        </w:numPr>
        <w:spacing w:after="0"/>
        <w:contextualSpacing w:val="0"/>
        <w:rPr>
          <w:sz w:val="22"/>
          <w:szCs w:val="22"/>
        </w:rPr>
      </w:pPr>
      <w:r>
        <w:rPr>
          <w:sz w:val="22"/>
          <w:szCs w:val="22"/>
        </w:rPr>
        <w:t>ZBS1</w:t>
      </w:r>
    </w:p>
    <w:p>
      <w:pPr>
        <w:pStyle w:val="Listenabsatz"/>
        <w:numPr>
          <w:ilvl w:val="1"/>
          <w:numId w:val="17"/>
        </w:numPr>
        <w:spacing w:after="0"/>
        <w:contextualSpacing w:val="0"/>
        <w:rPr>
          <w:sz w:val="22"/>
          <w:szCs w:val="22"/>
        </w:rPr>
      </w:pPr>
      <w:r>
        <w:rPr>
          <w:sz w:val="22"/>
          <w:szCs w:val="22"/>
        </w:rPr>
        <w:t>Janine Michel</w:t>
      </w:r>
    </w:p>
    <w:p>
      <w:pPr>
        <w:rPr>
          <w:sz w:val="22"/>
        </w:rPr>
      </w:pPr>
    </w:p>
    <w:tbl>
      <w:tblPr>
        <w:tblStyle w:val="Tabellenraster"/>
        <w:tblW w:w="8901" w:type="dxa"/>
        <w:tblLook w:val="00A0" w:firstRow="1" w:lastRow="0" w:firstColumn="1" w:lastColumn="0" w:noHBand="0" w:noVBand="0"/>
      </w:tblPr>
      <w:tblGrid>
        <w:gridCol w:w="684"/>
        <w:gridCol w:w="6408"/>
        <w:gridCol w:w="1809"/>
      </w:tblGrid>
      <w:tr>
        <w:tc>
          <w:tcPr>
            <w:tcW w:w="684" w:type="dxa"/>
          </w:tcPr>
          <w:p>
            <w:pPr>
              <w:rPr>
                <w:b/>
              </w:rPr>
            </w:pPr>
            <w:r>
              <w:rPr>
                <w:b/>
              </w:rPr>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r>
              <w:t>1</w:t>
            </w:r>
          </w:p>
        </w:tc>
        <w:tc>
          <w:tcPr>
            <w:tcW w:w="6408" w:type="dxa"/>
          </w:tcPr>
          <w:p>
            <w:pPr>
              <w:rPr>
                <w:b/>
              </w:rPr>
            </w:pPr>
            <w:r>
              <w:rPr>
                <w:b/>
              </w:rPr>
              <w:t>Aktuelle Lage</w:t>
            </w:r>
          </w:p>
          <w:p>
            <w:pPr>
              <w:rPr>
                <w:b/>
              </w:rPr>
            </w:pPr>
            <w:r>
              <w:rPr>
                <w:b/>
              </w:rPr>
              <w:t xml:space="preserve">International </w:t>
            </w:r>
          </w:p>
          <w:p>
            <w:pPr>
              <w:pStyle w:val="Listenabsatz"/>
              <w:numPr>
                <w:ilvl w:val="0"/>
                <w:numId w:val="25"/>
              </w:numPr>
              <w:rPr>
                <w:sz w:val="22"/>
                <w:szCs w:val="22"/>
              </w:rPr>
            </w:pPr>
            <w:r>
              <w:rPr>
                <w:sz w:val="22"/>
                <w:szCs w:val="22"/>
              </w:rPr>
              <w:t xml:space="preserve">Trendanalyse international, Maßnahmen (Folien </w:t>
            </w:r>
            <w:hyperlink r:id="rId7" w:history="1">
              <w:r>
                <w:rPr>
                  <w:rStyle w:val="Hyperlink"/>
                  <w:sz w:val="22"/>
                  <w:szCs w:val="22"/>
                </w:rPr>
                <w:t>hier</w:t>
              </w:r>
            </w:hyperlink>
            <w:r>
              <w:rPr>
                <w:sz w:val="22"/>
                <w:szCs w:val="22"/>
              </w:rPr>
              <w:t>)</w:t>
            </w:r>
          </w:p>
          <w:p>
            <w:pPr>
              <w:pStyle w:val="Listenabsatz"/>
              <w:numPr>
                <w:ilvl w:val="0"/>
                <w:numId w:val="25"/>
              </w:numPr>
              <w:spacing w:after="200"/>
              <w:rPr>
                <w:sz w:val="22"/>
                <w:szCs w:val="22"/>
              </w:rPr>
            </w:pPr>
            <w:r>
              <w:rPr>
                <w:sz w:val="22"/>
                <w:szCs w:val="22"/>
              </w:rPr>
              <w:t xml:space="preserve">41 </w:t>
            </w:r>
            <w:proofErr w:type="spellStart"/>
            <w:r>
              <w:rPr>
                <w:sz w:val="22"/>
                <w:szCs w:val="22"/>
              </w:rPr>
              <w:t>Mio</w:t>
            </w:r>
            <w:proofErr w:type="spellEnd"/>
            <w:r>
              <w:rPr>
                <w:sz w:val="22"/>
                <w:szCs w:val="22"/>
              </w:rPr>
              <w:t xml:space="preserve"> Fälle, &gt;1 </w:t>
            </w:r>
            <w:proofErr w:type="spellStart"/>
            <w:r>
              <w:rPr>
                <w:sz w:val="22"/>
                <w:szCs w:val="22"/>
              </w:rPr>
              <w:t>Mio</w:t>
            </w:r>
            <w:proofErr w:type="spellEnd"/>
            <w:r>
              <w:rPr>
                <w:sz w:val="22"/>
                <w:szCs w:val="22"/>
              </w:rPr>
              <w:t xml:space="preserve"> Verstorbene (2,7%)</w:t>
            </w:r>
          </w:p>
          <w:p>
            <w:pPr>
              <w:pStyle w:val="Listenabsatz"/>
              <w:numPr>
                <w:ilvl w:val="0"/>
                <w:numId w:val="25"/>
              </w:numPr>
              <w:spacing w:after="200"/>
              <w:rPr>
                <w:sz w:val="22"/>
                <w:szCs w:val="22"/>
              </w:rPr>
            </w:pPr>
            <w:r>
              <w:rPr>
                <w:sz w:val="22"/>
                <w:szCs w:val="22"/>
              </w:rPr>
              <w:t xml:space="preserve">Top 10 Länder nach Anzahl neuer Fälle in den letzten 7 Tagen: </w:t>
            </w:r>
          </w:p>
          <w:p>
            <w:pPr>
              <w:pStyle w:val="Listenabsatz"/>
              <w:numPr>
                <w:ilvl w:val="1"/>
                <w:numId w:val="25"/>
              </w:numPr>
              <w:spacing w:after="200"/>
              <w:rPr>
                <w:sz w:val="22"/>
                <w:szCs w:val="22"/>
              </w:rPr>
            </w:pPr>
            <w:r>
              <w:rPr>
                <w:sz w:val="22"/>
                <w:szCs w:val="22"/>
              </w:rPr>
              <w:t>Alle Länder bis auf Indien zunehmender Trend</w:t>
            </w:r>
          </w:p>
          <w:p>
            <w:pPr>
              <w:pStyle w:val="Listenabsatz"/>
              <w:numPr>
                <w:ilvl w:val="0"/>
                <w:numId w:val="25"/>
              </w:numPr>
              <w:spacing w:after="200"/>
              <w:rPr>
                <w:sz w:val="22"/>
                <w:szCs w:val="22"/>
              </w:rPr>
            </w:pPr>
            <w:r>
              <w:rPr>
                <w:sz w:val="22"/>
                <w:szCs w:val="22"/>
              </w:rPr>
              <w:t>7-Tages-Inzidenz pro 100.000 Einwohner</w:t>
            </w:r>
          </w:p>
          <w:p>
            <w:pPr>
              <w:pStyle w:val="Listenabsatz"/>
              <w:numPr>
                <w:ilvl w:val="1"/>
                <w:numId w:val="25"/>
              </w:numPr>
              <w:spacing w:after="200"/>
              <w:rPr>
                <w:sz w:val="22"/>
                <w:szCs w:val="22"/>
              </w:rPr>
            </w:pPr>
            <w:r>
              <w:rPr>
                <w:sz w:val="22"/>
                <w:szCs w:val="22"/>
              </w:rPr>
              <w:t>73 Länder mit Inzidenz &gt; 50 Fälle/100.000</w:t>
            </w:r>
          </w:p>
          <w:p>
            <w:pPr>
              <w:pStyle w:val="Listenabsatz"/>
              <w:numPr>
                <w:ilvl w:val="1"/>
                <w:numId w:val="25"/>
              </w:numPr>
              <w:spacing w:after="200"/>
              <w:rPr>
                <w:sz w:val="22"/>
                <w:szCs w:val="22"/>
              </w:rPr>
            </w:pPr>
            <w:r>
              <w:rPr>
                <w:sz w:val="22"/>
                <w:szCs w:val="22"/>
              </w:rPr>
              <w:t>2 Länder neu hinzugekommen seit Mittwoch: Kirgisistan und San Marino</w:t>
            </w:r>
          </w:p>
          <w:p>
            <w:pPr>
              <w:pStyle w:val="Listenabsatz"/>
              <w:numPr>
                <w:ilvl w:val="1"/>
                <w:numId w:val="25"/>
              </w:numPr>
              <w:rPr>
                <w:sz w:val="22"/>
                <w:szCs w:val="22"/>
              </w:rPr>
            </w:pPr>
            <w:r>
              <w:rPr>
                <w:sz w:val="22"/>
                <w:szCs w:val="22"/>
              </w:rPr>
              <w:t>Kleine Länder haben hohe Inzidenz</w:t>
            </w:r>
          </w:p>
          <w:p>
            <w:pPr>
              <w:pStyle w:val="Listenabsatz"/>
              <w:numPr>
                <w:ilvl w:val="0"/>
                <w:numId w:val="25"/>
              </w:numPr>
              <w:rPr>
                <w:sz w:val="22"/>
                <w:szCs w:val="22"/>
              </w:rPr>
            </w:pPr>
            <w:r>
              <w:rPr>
                <w:sz w:val="22"/>
                <w:szCs w:val="22"/>
              </w:rPr>
              <w:t>Europa:</w:t>
            </w:r>
          </w:p>
          <w:p>
            <w:pPr>
              <w:pStyle w:val="Listenabsatz"/>
              <w:numPr>
                <w:ilvl w:val="1"/>
                <w:numId w:val="25"/>
              </w:numPr>
              <w:rPr>
                <w:sz w:val="22"/>
                <w:szCs w:val="22"/>
              </w:rPr>
            </w:pPr>
            <w:r>
              <w:rPr>
                <w:sz w:val="22"/>
                <w:szCs w:val="22"/>
              </w:rPr>
              <w:t>kein neues Land mit &gt;50/100.000 hinzugekommen, alle Länder bis auf skand. Länder haben &gt;50/100.000</w:t>
            </w:r>
          </w:p>
          <w:p>
            <w:pPr>
              <w:pStyle w:val="Listenabsatz"/>
              <w:numPr>
                <w:ilvl w:val="1"/>
                <w:numId w:val="25"/>
              </w:numPr>
              <w:rPr>
                <w:sz w:val="22"/>
                <w:szCs w:val="22"/>
              </w:rPr>
            </w:pPr>
            <w:r>
              <w:rPr>
                <w:sz w:val="22"/>
                <w:szCs w:val="22"/>
              </w:rPr>
              <w:t>Europa hatte größte Veränderung in den letzten 7 Tagen</w:t>
            </w:r>
          </w:p>
          <w:p>
            <w:pPr>
              <w:pStyle w:val="Listenabsatz"/>
              <w:numPr>
                <w:ilvl w:val="1"/>
                <w:numId w:val="25"/>
              </w:numPr>
              <w:rPr>
                <w:sz w:val="22"/>
                <w:szCs w:val="22"/>
              </w:rPr>
            </w:pPr>
            <w:r>
              <w:rPr>
                <w:sz w:val="22"/>
                <w:szCs w:val="22"/>
              </w:rPr>
              <w:t>Top 3 7-Tages-Inzidenz: Tschechien, Belgien, Niederlande (alle &gt;300/100.000)</w:t>
            </w:r>
          </w:p>
          <w:p>
            <w:pPr>
              <w:pStyle w:val="Listenabsatz"/>
              <w:numPr>
                <w:ilvl w:val="1"/>
                <w:numId w:val="25"/>
              </w:numPr>
              <w:rPr>
                <w:sz w:val="22"/>
                <w:szCs w:val="22"/>
              </w:rPr>
            </w:pPr>
            <w:r>
              <w:rPr>
                <w:sz w:val="22"/>
                <w:szCs w:val="22"/>
              </w:rPr>
              <w:t xml:space="preserve">Top 10 7-Tages-Todesfälle: Tschechien, Montenegro, Andorra, </w:t>
            </w:r>
            <w:proofErr w:type="spellStart"/>
            <w:r>
              <w:rPr>
                <w:sz w:val="22"/>
                <w:szCs w:val="22"/>
              </w:rPr>
              <w:t>Rebupblik</w:t>
            </w:r>
            <w:proofErr w:type="spellEnd"/>
            <w:r>
              <w:rPr>
                <w:sz w:val="22"/>
                <w:szCs w:val="22"/>
              </w:rPr>
              <w:t xml:space="preserve"> Moldau, Armenien, Ungarn, </w:t>
            </w:r>
            <w:proofErr w:type="spellStart"/>
            <w:r>
              <w:rPr>
                <w:sz w:val="22"/>
                <w:szCs w:val="22"/>
              </w:rPr>
              <w:t>Nordmazedonien</w:t>
            </w:r>
            <w:proofErr w:type="spellEnd"/>
            <w:r>
              <w:rPr>
                <w:sz w:val="22"/>
                <w:szCs w:val="22"/>
              </w:rPr>
              <w:t xml:space="preserve">, Rumänien, </w:t>
            </w:r>
            <w:proofErr w:type="spellStart"/>
            <w:proofErr w:type="gramStart"/>
            <w:r>
              <w:rPr>
                <w:sz w:val="22"/>
                <w:szCs w:val="22"/>
              </w:rPr>
              <w:t>Bosn</w:t>
            </w:r>
            <w:proofErr w:type="spellEnd"/>
            <w:r>
              <w:rPr>
                <w:sz w:val="22"/>
                <w:szCs w:val="22"/>
              </w:rPr>
              <w:t>./</w:t>
            </w:r>
            <w:proofErr w:type="gramEnd"/>
            <w:r>
              <w:rPr>
                <w:sz w:val="22"/>
                <w:szCs w:val="22"/>
              </w:rPr>
              <w:t>Herz und Spanien</w:t>
            </w:r>
          </w:p>
          <w:p>
            <w:pPr>
              <w:pStyle w:val="Listenabsatz"/>
              <w:numPr>
                <w:ilvl w:val="1"/>
                <w:numId w:val="25"/>
              </w:numPr>
              <w:rPr>
                <w:sz w:val="22"/>
                <w:szCs w:val="22"/>
              </w:rPr>
            </w:pPr>
            <w:r>
              <w:rPr>
                <w:sz w:val="22"/>
                <w:szCs w:val="22"/>
              </w:rPr>
              <w:t xml:space="preserve">Mehrheit der Länder meldet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p>
          <w:p>
            <w:pPr>
              <w:pStyle w:val="Listenabsatz"/>
              <w:numPr>
                <w:ilvl w:val="1"/>
                <w:numId w:val="25"/>
              </w:numPr>
              <w:rPr>
                <w:sz w:val="22"/>
                <w:szCs w:val="22"/>
              </w:rPr>
            </w:pPr>
            <w:proofErr w:type="spellStart"/>
            <w:r>
              <w:rPr>
                <w:sz w:val="22"/>
                <w:szCs w:val="22"/>
              </w:rPr>
              <w:t>häuptsächlich</w:t>
            </w:r>
            <w:proofErr w:type="spellEnd"/>
            <w:r>
              <w:rPr>
                <w:sz w:val="22"/>
                <w:szCs w:val="22"/>
              </w:rPr>
              <w:t xml:space="preserve"> urbanes Geschehen</w:t>
            </w:r>
          </w:p>
          <w:p>
            <w:pPr>
              <w:pStyle w:val="Listenabsatz"/>
              <w:numPr>
                <w:ilvl w:val="1"/>
                <w:numId w:val="25"/>
              </w:numPr>
              <w:rPr>
                <w:sz w:val="22"/>
                <w:szCs w:val="22"/>
              </w:rPr>
            </w:pPr>
            <w:r>
              <w:rPr>
                <w:sz w:val="22"/>
                <w:szCs w:val="22"/>
              </w:rPr>
              <w:t>Länder mit höchstem Anstieg: Frankreich, Russland, UK, Tschechien</w:t>
            </w:r>
          </w:p>
          <w:p>
            <w:pPr>
              <w:pStyle w:val="Listenabsatz"/>
              <w:numPr>
                <w:ilvl w:val="0"/>
                <w:numId w:val="25"/>
              </w:numPr>
              <w:rPr>
                <w:sz w:val="22"/>
                <w:szCs w:val="22"/>
              </w:rPr>
            </w:pPr>
            <w:r>
              <w:rPr>
                <w:sz w:val="22"/>
                <w:szCs w:val="22"/>
              </w:rPr>
              <w:t xml:space="preserve">Warum hat Tschechien eine so </w:t>
            </w:r>
            <w:proofErr w:type="spellStart"/>
            <w:r>
              <w:rPr>
                <w:sz w:val="22"/>
                <w:szCs w:val="22"/>
              </w:rPr>
              <w:t>niedrigre</w:t>
            </w:r>
            <w:proofErr w:type="spellEnd"/>
            <w:r>
              <w:rPr>
                <w:sz w:val="22"/>
                <w:szCs w:val="22"/>
              </w:rPr>
              <w:t xml:space="preserve"> CFR? Das liegt wahrscheinlich an dem jungen Alter der Infizierten</w:t>
            </w:r>
          </w:p>
          <w:p>
            <w:pPr>
              <w:pStyle w:val="Listenabsatz"/>
              <w:numPr>
                <w:ilvl w:val="0"/>
                <w:numId w:val="25"/>
              </w:numPr>
              <w:rPr>
                <w:sz w:val="22"/>
                <w:szCs w:val="22"/>
              </w:rPr>
            </w:pPr>
            <w:r>
              <w:rPr>
                <w:sz w:val="22"/>
                <w:szCs w:val="22"/>
              </w:rPr>
              <w:t xml:space="preserve">Bei ECDC ist als einziges Land mit einer besorgniserregenden </w:t>
            </w:r>
            <w:proofErr w:type="spellStart"/>
            <w:r>
              <w:rPr>
                <w:sz w:val="22"/>
                <w:szCs w:val="22"/>
              </w:rPr>
              <w:t>epidmiologischen</w:t>
            </w:r>
            <w:proofErr w:type="spellEnd"/>
            <w:r>
              <w:rPr>
                <w:sz w:val="22"/>
                <w:szCs w:val="22"/>
              </w:rPr>
              <w:t xml:space="preserve"> </w:t>
            </w:r>
            <w:proofErr w:type="gramStart"/>
            <w:r>
              <w:rPr>
                <w:sz w:val="22"/>
                <w:szCs w:val="22"/>
              </w:rPr>
              <w:t>Entwicklung  Deutschland</w:t>
            </w:r>
            <w:proofErr w:type="gramEnd"/>
            <w:r>
              <w:rPr>
                <w:sz w:val="22"/>
                <w:szCs w:val="22"/>
              </w:rPr>
              <w:t xml:space="preserve"> genannt, woher kommt das?</w:t>
            </w:r>
          </w:p>
          <w:p>
            <w:pPr>
              <w:pStyle w:val="Listenabsatz"/>
              <w:numPr>
                <w:ilvl w:val="1"/>
                <w:numId w:val="25"/>
              </w:numPr>
              <w:rPr>
                <w:sz w:val="22"/>
                <w:szCs w:val="22"/>
              </w:rPr>
            </w:pPr>
            <w:r>
              <w:rPr>
                <w:sz w:val="22"/>
                <w:szCs w:val="22"/>
              </w:rPr>
              <w:t xml:space="preserve">CFR ist niedrig und fallend bei gleichzeitig steigenden </w:t>
            </w:r>
            <w:proofErr w:type="gramStart"/>
            <w:r>
              <w:rPr>
                <w:sz w:val="22"/>
                <w:szCs w:val="22"/>
              </w:rPr>
              <w:t>Fallzahlen ,</w:t>
            </w:r>
            <w:proofErr w:type="gramEnd"/>
            <w:r>
              <w:rPr>
                <w:sz w:val="22"/>
                <w:szCs w:val="22"/>
              </w:rPr>
              <w:t xml:space="preserve"> daher ggf. Deutschland im Fokus</w:t>
            </w:r>
          </w:p>
          <w:p>
            <w:pPr>
              <w:pStyle w:val="Listenabsatz"/>
              <w:numPr>
                <w:ilvl w:val="1"/>
                <w:numId w:val="25"/>
              </w:numPr>
              <w:rPr>
                <w:sz w:val="22"/>
                <w:szCs w:val="22"/>
              </w:rPr>
            </w:pPr>
            <w:r>
              <w:rPr>
                <w:sz w:val="22"/>
                <w:szCs w:val="22"/>
              </w:rPr>
              <w:t xml:space="preserve">Lage in </w:t>
            </w:r>
            <w:proofErr w:type="spellStart"/>
            <w:r>
              <w:rPr>
                <w:sz w:val="22"/>
                <w:szCs w:val="22"/>
              </w:rPr>
              <w:t>Dtld</w:t>
            </w:r>
            <w:proofErr w:type="spellEnd"/>
            <w:r>
              <w:rPr>
                <w:sz w:val="22"/>
                <w:szCs w:val="22"/>
              </w:rPr>
              <w:t xml:space="preserve"> sehr dynamisch, D. war </w:t>
            </w:r>
            <w:proofErr w:type="gramStart"/>
            <w:r>
              <w:rPr>
                <w:sz w:val="22"/>
                <w:szCs w:val="22"/>
              </w:rPr>
              <w:t>lange  orange</w:t>
            </w:r>
            <w:proofErr w:type="gramEnd"/>
            <w:r>
              <w:rPr>
                <w:sz w:val="22"/>
                <w:szCs w:val="22"/>
              </w:rPr>
              <w:t xml:space="preserve"> gefärbt</w:t>
            </w:r>
          </w:p>
          <w:p>
            <w:pPr>
              <w:rPr>
                <w:sz w:val="22"/>
                <w:szCs w:val="22"/>
              </w:rPr>
            </w:pPr>
          </w:p>
          <w:p>
            <w:pPr>
              <w:rPr>
                <w:i/>
                <w:sz w:val="22"/>
                <w:szCs w:val="22"/>
              </w:rPr>
            </w:pPr>
            <w:r>
              <w:rPr>
                <w:i/>
                <w:sz w:val="22"/>
                <w:szCs w:val="22"/>
              </w:rPr>
              <w:t>TODO: Rücksprache hierzu mit dem ECDC (M. Diercke)</w:t>
            </w:r>
          </w:p>
          <w:p>
            <w:pPr>
              <w:rPr>
                <w:b/>
              </w:rPr>
            </w:pPr>
          </w:p>
          <w:p>
            <w:pPr>
              <w:rPr>
                <w:b/>
              </w:rPr>
            </w:pPr>
          </w:p>
          <w:p>
            <w:pPr>
              <w:rPr>
                <w:b/>
              </w:rPr>
            </w:pPr>
            <w:r>
              <w:rPr>
                <w:b/>
              </w:rPr>
              <w:t>National</w:t>
            </w:r>
          </w:p>
          <w:p>
            <w:pPr>
              <w:pStyle w:val="Listenabsatz"/>
              <w:numPr>
                <w:ilvl w:val="0"/>
                <w:numId w:val="24"/>
              </w:numPr>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w:t>
            </w:r>
          </w:p>
          <w:p>
            <w:pPr>
              <w:pStyle w:val="Listenabsatz"/>
              <w:numPr>
                <w:ilvl w:val="1"/>
                <w:numId w:val="24"/>
              </w:numPr>
              <w:rPr>
                <w:sz w:val="22"/>
                <w:szCs w:val="22"/>
              </w:rPr>
            </w:pPr>
            <w:proofErr w:type="spellStart"/>
            <w:r>
              <w:rPr>
                <w:sz w:val="22"/>
                <w:szCs w:val="22"/>
              </w:rPr>
              <w:t>SurvNet</w:t>
            </w:r>
            <w:proofErr w:type="spellEnd"/>
            <w:r>
              <w:rPr>
                <w:sz w:val="22"/>
                <w:szCs w:val="22"/>
              </w:rPr>
              <w:t xml:space="preserve"> übermittelt: 403.291 (+11.242), davon 9.954 (2,5%) Todesfälle (+49), 7-Tage-</w:t>
            </w:r>
            <w:proofErr w:type="gramStart"/>
            <w:r>
              <w:rPr>
                <w:sz w:val="22"/>
                <w:szCs w:val="22"/>
              </w:rPr>
              <w:t>Inzidenz  60</w:t>
            </w:r>
            <w:proofErr w:type="gramEnd"/>
            <w:r>
              <w:rPr>
                <w:sz w:val="22"/>
                <w:szCs w:val="22"/>
              </w:rPr>
              <w:t xml:space="preserve">,3/100.000 </w:t>
            </w:r>
            <w:proofErr w:type="spellStart"/>
            <w:r>
              <w:rPr>
                <w:sz w:val="22"/>
                <w:szCs w:val="22"/>
              </w:rPr>
              <w:t>Einw</w:t>
            </w:r>
            <w:proofErr w:type="spellEnd"/>
            <w:r>
              <w:rPr>
                <w:sz w:val="22"/>
                <w:szCs w:val="22"/>
              </w:rPr>
              <w:t xml:space="preserve">. </w:t>
            </w:r>
          </w:p>
          <w:p>
            <w:pPr>
              <w:pStyle w:val="Listenabsatz"/>
              <w:numPr>
                <w:ilvl w:val="1"/>
                <w:numId w:val="24"/>
              </w:numPr>
              <w:rPr>
                <w:sz w:val="22"/>
                <w:szCs w:val="22"/>
              </w:rPr>
            </w:pPr>
            <w:r>
              <w:rPr>
                <w:sz w:val="22"/>
                <w:szCs w:val="22"/>
              </w:rPr>
              <w:t xml:space="preserve">Gestern tagsüber Serverausfall über 1h, ggf. daher keine Fallübermittlung erfolgt, manche GÄ </w:t>
            </w:r>
            <w:proofErr w:type="spellStart"/>
            <w:r>
              <w:rPr>
                <w:sz w:val="22"/>
                <w:szCs w:val="22"/>
              </w:rPr>
              <w:t>brichteten</w:t>
            </w:r>
            <w:proofErr w:type="spellEnd"/>
            <w:r>
              <w:rPr>
                <w:sz w:val="22"/>
                <w:szCs w:val="22"/>
              </w:rPr>
              <w:t xml:space="preserve"> bereits Probleme bei der -</w:t>
            </w:r>
            <w:proofErr w:type="spellStart"/>
            <w:r>
              <w:rPr>
                <w:sz w:val="22"/>
                <w:szCs w:val="22"/>
              </w:rPr>
              <w:t>fallübermittlung</w:t>
            </w:r>
            <w:proofErr w:type="spellEnd"/>
          </w:p>
          <w:p>
            <w:pPr>
              <w:pStyle w:val="Listenabsatz"/>
              <w:numPr>
                <w:ilvl w:val="1"/>
                <w:numId w:val="24"/>
              </w:numPr>
              <w:rPr>
                <w:sz w:val="22"/>
                <w:szCs w:val="22"/>
              </w:rPr>
            </w:pPr>
            <w:r>
              <w:rPr>
                <w:sz w:val="22"/>
                <w:szCs w:val="22"/>
              </w:rPr>
              <w:t>ggf. wird heutige Zahl daher unterschätzt, ggf. morgen höhere Übermittlungsfallzahl. In dem Fall soll es morgen einen Disclaimer hierzu sowohl im Lagebericht als auch auf der Internetseite geben.</w:t>
            </w:r>
          </w:p>
          <w:p>
            <w:pPr>
              <w:pStyle w:val="Listenabsatz"/>
              <w:ind w:left="1080"/>
              <w:rPr>
                <w:sz w:val="22"/>
                <w:szCs w:val="22"/>
              </w:rPr>
            </w:pPr>
          </w:p>
          <w:p>
            <w:pPr>
              <w:rPr>
                <w:i/>
                <w:sz w:val="22"/>
                <w:szCs w:val="22"/>
              </w:rPr>
            </w:pPr>
            <w:r>
              <w:rPr>
                <w:i/>
                <w:sz w:val="22"/>
                <w:szCs w:val="22"/>
              </w:rPr>
              <w:t xml:space="preserve">TODO: Zusammen mit den </w:t>
            </w:r>
            <w:proofErr w:type="spellStart"/>
            <w:r>
              <w:rPr>
                <w:i/>
                <w:sz w:val="22"/>
                <w:szCs w:val="22"/>
              </w:rPr>
              <w:t>Fallzaheln</w:t>
            </w:r>
            <w:proofErr w:type="spellEnd"/>
            <w:r>
              <w:rPr>
                <w:i/>
                <w:sz w:val="22"/>
                <w:szCs w:val="22"/>
              </w:rPr>
              <w:t xml:space="preserve"> wird ggf. ein </w:t>
            </w:r>
            <w:proofErr w:type="gramStart"/>
            <w:r>
              <w:rPr>
                <w:i/>
                <w:sz w:val="22"/>
                <w:szCs w:val="22"/>
              </w:rPr>
              <w:t>Disclaimer  an</w:t>
            </w:r>
            <w:proofErr w:type="gramEnd"/>
            <w:r>
              <w:rPr>
                <w:i/>
                <w:sz w:val="22"/>
                <w:szCs w:val="22"/>
              </w:rPr>
              <w:t xml:space="preserve"> die Presse und Morgenschicht  rumgeschickt (M. Diercke) </w:t>
            </w:r>
            <w:r>
              <w:rPr>
                <w:color w:val="4F81BD" w:themeColor="accent1"/>
                <w:sz w:val="22"/>
                <w:szCs w:val="22"/>
              </w:rPr>
              <w:t>[ERLEDIGT]</w:t>
            </w:r>
          </w:p>
          <w:p>
            <w:pPr>
              <w:rPr>
                <w:i/>
                <w:sz w:val="22"/>
                <w:szCs w:val="22"/>
              </w:rPr>
            </w:pPr>
          </w:p>
          <w:p>
            <w:pPr>
              <w:pStyle w:val="Listenabsatz"/>
              <w:numPr>
                <w:ilvl w:val="1"/>
                <w:numId w:val="24"/>
              </w:numPr>
              <w:rPr>
                <w:sz w:val="22"/>
                <w:szCs w:val="22"/>
              </w:rPr>
            </w:pPr>
            <w:r>
              <w:rPr>
                <w:sz w:val="22"/>
                <w:szCs w:val="22"/>
              </w:rPr>
              <w:t>4-Tage-R: 1,23; 7-Tage-R: 1,3</w:t>
            </w:r>
          </w:p>
          <w:p>
            <w:pPr>
              <w:pStyle w:val="Listenabsatz"/>
              <w:numPr>
                <w:ilvl w:val="1"/>
                <w:numId w:val="24"/>
              </w:numPr>
              <w:rPr>
                <w:sz w:val="22"/>
                <w:szCs w:val="22"/>
              </w:rPr>
            </w:pPr>
            <w:r>
              <w:rPr>
                <w:sz w:val="22"/>
                <w:szCs w:val="22"/>
              </w:rPr>
              <w:t>ITS: 1030 (+87), invasiv beatmet: 459 (+35), weitere Zunahme der auf Intensivstation betreuten Patienten, Kapazitäten noch im grünen Bereich</w:t>
            </w:r>
          </w:p>
          <w:p>
            <w:pPr>
              <w:pStyle w:val="Listenabsatz"/>
              <w:numPr>
                <w:ilvl w:val="1"/>
                <w:numId w:val="24"/>
              </w:numPr>
              <w:rPr>
                <w:sz w:val="22"/>
                <w:szCs w:val="22"/>
              </w:rPr>
            </w:pPr>
            <w:r>
              <w:rPr>
                <w:sz w:val="22"/>
                <w:szCs w:val="22"/>
              </w:rPr>
              <w:t>7-Tages-Inzidenz der Bundesländer nach Berichtsdatum</w:t>
            </w:r>
          </w:p>
          <w:p>
            <w:pPr>
              <w:pStyle w:val="Listenabsatz"/>
              <w:numPr>
                <w:ilvl w:val="2"/>
                <w:numId w:val="24"/>
              </w:numPr>
              <w:rPr>
                <w:sz w:val="22"/>
                <w:szCs w:val="22"/>
              </w:rPr>
            </w:pPr>
            <w:r>
              <w:rPr>
                <w:sz w:val="22"/>
                <w:szCs w:val="22"/>
              </w:rPr>
              <w:t>höchste Inzidenzen in Berlin, Hessen, NRW, Saarland, Bayern, Baden-Württemberg sehr stark ansteigend</w:t>
            </w:r>
          </w:p>
          <w:p>
            <w:pPr>
              <w:pStyle w:val="Listenabsatz"/>
              <w:numPr>
                <w:ilvl w:val="2"/>
                <w:numId w:val="24"/>
              </w:numPr>
              <w:rPr>
                <w:sz w:val="22"/>
                <w:szCs w:val="22"/>
              </w:rPr>
            </w:pPr>
            <w:r>
              <w:rPr>
                <w:sz w:val="22"/>
                <w:szCs w:val="22"/>
              </w:rPr>
              <w:t xml:space="preserve">Fokus auf </w:t>
            </w:r>
            <w:proofErr w:type="spellStart"/>
            <w:r>
              <w:rPr>
                <w:sz w:val="22"/>
                <w:szCs w:val="22"/>
              </w:rPr>
              <w:t>Sü</w:t>
            </w:r>
            <w:proofErr w:type="spellEnd"/>
            <w:r>
              <w:rPr>
                <w:sz w:val="22"/>
                <w:szCs w:val="22"/>
              </w:rPr>
              <w:t xml:space="preserve">- und Westdeutschland, aber auch Sachsen zunehmender </w:t>
            </w:r>
            <w:proofErr w:type="spellStart"/>
            <w:r>
              <w:rPr>
                <w:sz w:val="22"/>
                <w:szCs w:val="22"/>
              </w:rPr>
              <w:t>Trand</w:t>
            </w:r>
            <w:proofErr w:type="spellEnd"/>
            <w:r>
              <w:rPr>
                <w:sz w:val="22"/>
                <w:szCs w:val="22"/>
              </w:rPr>
              <w:t>. Zudem Großstädte wie Berlin und Hamburg</w:t>
            </w:r>
          </w:p>
          <w:p>
            <w:pPr>
              <w:pStyle w:val="Listenabsatz"/>
              <w:numPr>
                <w:ilvl w:val="2"/>
                <w:numId w:val="24"/>
              </w:numPr>
              <w:rPr>
                <w:sz w:val="22"/>
                <w:szCs w:val="22"/>
              </w:rPr>
            </w:pPr>
            <w:r>
              <w:rPr>
                <w:sz w:val="22"/>
                <w:szCs w:val="22"/>
              </w:rPr>
              <w:t>Trend Zunahme in allen Bundesländern</w:t>
            </w:r>
          </w:p>
          <w:p>
            <w:pPr>
              <w:pStyle w:val="Listenabsatz"/>
              <w:numPr>
                <w:ilvl w:val="1"/>
                <w:numId w:val="24"/>
              </w:numPr>
              <w:rPr>
                <w:sz w:val="22"/>
                <w:szCs w:val="22"/>
              </w:rPr>
            </w:pPr>
            <w:r>
              <w:rPr>
                <w:sz w:val="22"/>
                <w:szCs w:val="22"/>
              </w:rPr>
              <w:t>Geografische Verteilung in Deutschland: 7-Tage-Inzidenz</w:t>
            </w:r>
          </w:p>
          <w:p>
            <w:pPr>
              <w:pStyle w:val="Listenabsatz"/>
              <w:numPr>
                <w:ilvl w:val="2"/>
                <w:numId w:val="24"/>
              </w:numPr>
              <w:rPr>
                <w:sz w:val="22"/>
                <w:szCs w:val="22"/>
              </w:rPr>
            </w:pPr>
            <w:r>
              <w:rPr>
                <w:sz w:val="22"/>
                <w:szCs w:val="22"/>
              </w:rPr>
              <w:t>131 LK mit &gt; 50/100.000</w:t>
            </w:r>
          </w:p>
          <w:p>
            <w:pPr>
              <w:pStyle w:val="Listenabsatz"/>
              <w:numPr>
                <w:ilvl w:val="2"/>
                <w:numId w:val="24"/>
              </w:numPr>
              <w:rPr>
                <w:sz w:val="22"/>
                <w:szCs w:val="22"/>
              </w:rPr>
            </w:pPr>
            <w:r>
              <w:rPr>
                <w:sz w:val="22"/>
                <w:szCs w:val="22"/>
              </w:rPr>
              <w:t>Spitzenreiter nach wie vor LK Berchtesgadener Land, gefolgt von Berlin-NK und Berlin-Mitte</w:t>
            </w:r>
          </w:p>
          <w:p>
            <w:pPr>
              <w:pStyle w:val="Listenabsatz"/>
              <w:numPr>
                <w:ilvl w:val="1"/>
                <w:numId w:val="24"/>
              </w:numPr>
              <w:rPr>
                <w:sz w:val="22"/>
                <w:szCs w:val="22"/>
              </w:rPr>
            </w:pPr>
            <w:proofErr w:type="spellStart"/>
            <w:r>
              <w:rPr>
                <w:sz w:val="22"/>
                <w:szCs w:val="22"/>
              </w:rPr>
              <w:t>Bene</w:t>
            </w:r>
            <w:proofErr w:type="spellEnd"/>
            <w:r>
              <w:rPr>
                <w:sz w:val="22"/>
                <w:szCs w:val="22"/>
              </w:rPr>
              <w:t xml:space="preserve"> Zacher aus FG32 hat </w:t>
            </w:r>
            <w:proofErr w:type="spellStart"/>
            <w:r>
              <w:rPr>
                <w:sz w:val="22"/>
                <w:szCs w:val="22"/>
              </w:rPr>
              <w:t>heatmap</w:t>
            </w:r>
            <w:proofErr w:type="spellEnd"/>
            <w:r>
              <w:rPr>
                <w:sz w:val="22"/>
                <w:szCs w:val="22"/>
              </w:rPr>
              <w:t xml:space="preserve"> erstellt zu den Inzidenzen seit der 10. KW nach Altersgruppen:</w:t>
            </w:r>
          </w:p>
          <w:p>
            <w:pPr>
              <w:pStyle w:val="Listenabsatz"/>
              <w:numPr>
                <w:ilvl w:val="2"/>
                <w:numId w:val="24"/>
              </w:numPr>
              <w:rPr>
                <w:sz w:val="22"/>
                <w:szCs w:val="22"/>
              </w:rPr>
            </w:pPr>
            <w:r>
              <w:rPr>
                <w:sz w:val="22"/>
                <w:szCs w:val="22"/>
              </w:rPr>
              <w:t xml:space="preserve">Seit der 40. KW steigen die Inzidenzen in allen Altersgruppen an, davor </w:t>
            </w:r>
            <w:proofErr w:type="spellStart"/>
            <w:r>
              <w:rPr>
                <w:sz w:val="22"/>
                <w:szCs w:val="22"/>
              </w:rPr>
              <w:t>haupstäschlicher</w:t>
            </w:r>
            <w:proofErr w:type="spellEnd"/>
            <w:r>
              <w:rPr>
                <w:sz w:val="22"/>
                <w:szCs w:val="22"/>
              </w:rPr>
              <w:t xml:space="preserve"> Anstieg bei Jüngeren</w:t>
            </w:r>
          </w:p>
          <w:p>
            <w:pPr>
              <w:pStyle w:val="Listenabsatz"/>
              <w:numPr>
                <w:ilvl w:val="1"/>
                <w:numId w:val="24"/>
              </w:numPr>
              <w:rPr>
                <w:sz w:val="22"/>
                <w:szCs w:val="22"/>
              </w:rPr>
            </w:pPr>
            <w:r>
              <w:rPr>
                <w:sz w:val="22"/>
                <w:szCs w:val="22"/>
              </w:rPr>
              <w:t>Verzug wird vermutlich immer größer durch GÄ-Belastung &amp; Laborbelastung, ist es sinnvoll sich eher die Imputationen anzuschauen anstatt die tagesaktuellen Fallmeldungen?</w:t>
            </w:r>
          </w:p>
          <w:p>
            <w:pPr>
              <w:pStyle w:val="Listenabsatz"/>
              <w:numPr>
                <w:ilvl w:val="1"/>
                <w:numId w:val="24"/>
              </w:numPr>
              <w:rPr>
                <w:sz w:val="22"/>
                <w:szCs w:val="22"/>
              </w:rPr>
            </w:pPr>
            <w:r>
              <w:rPr>
                <w:sz w:val="22"/>
                <w:szCs w:val="22"/>
              </w:rPr>
              <w:t>Testzahlen: in der 42. KW:</w:t>
            </w:r>
          </w:p>
          <w:p>
            <w:pPr>
              <w:pStyle w:val="Listenabsatz"/>
              <w:numPr>
                <w:ilvl w:val="2"/>
                <w:numId w:val="24"/>
              </w:numPr>
              <w:rPr>
                <w:sz w:val="22"/>
                <w:szCs w:val="22"/>
              </w:rPr>
            </w:pPr>
            <w:proofErr w:type="spellStart"/>
            <w:r>
              <w:rPr>
                <w:sz w:val="22"/>
                <w:szCs w:val="22"/>
              </w:rPr>
              <w:t>Positivenquote</w:t>
            </w:r>
            <w:proofErr w:type="spellEnd"/>
            <w:r>
              <w:rPr>
                <w:sz w:val="22"/>
                <w:szCs w:val="22"/>
              </w:rPr>
              <w:t xml:space="preserve"> 3,62% </w:t>
            </w:r>
          </w:p>
          <w:p>
            <w:pPr>
              <w:rPr>
                <w:sz w:val="22"/>
                <w:szCs w:val="22"/>
              </w:rPr>
            </w:pPr>
          </w:p>
          <w:p>
            <w:pPr>
              <w:pStyle w:val="Listenabsatz"/>
              <w:numPr>
                <w:ilvl w:val="0"/>
                <w:numId w:val="24"/>
              </w:numPr>
              <w:rPr>
                <w:sz w:val="22"/>
                <w:szCs w:val="22"/>
              </w:rPr>
            </w:pPr>
            <w:r>
              <w:rPr>
                <w:sz w:val="22"/>
                <w:szCs w:val="22"/>
              </w:rPr>
              <w:t xml:space="preserve">Ausbreitung in DE und erste Auswertungen zum </w:t>
            </w:r>
            <w:r>
              <w:rPr>
                <w:sz w:val="22"/>
                <w:szCs w:val="22"/>
              </w:rPr>
              <w:lastRenderedPageBreak/>
              <w:t>Infektionsumfeld bei Fällen:</w:t>
            </w:r>
          </w:p>
          <w:p>
            <w:pPr>
              <w:pStyle w:val="Listenabsatz"/>
              <w:numPr>
                <w:ilvl w:val="1"/>
                <w:numId w:val="24"/>
              </w:numPr>
              <w:rPr>
                <w:sz w:val="22"/>
                <w:szCs w:val="22"/>
              </w:rPr>
            </w:pPr>
            <w:r>
              <w:rPr>
                <w:sz w:val="22"/>
                <w:szCs w:val="22"/>
              </w:rPr>
              <w:t xml:space="preserve">C. Frank und M. Faber (FG35) haben Auswertung zur innerdeutschen Ausbreitung nach Landkreisen durchgeführt (Folien </w:t>
            </w:r>
            <w:hyperlink r:id="rId9" w:history="1">
              <w:r>
                <w:rPr>
                  <w:rStyle w:val="Hyperlink"/>
                  <w:sz w:val="22"/>
                  <w:szCs w:val="22"/>
                </w:rPr>
                <w:t>hier</w:t>
              </w:r>
            </w:hyperlink>
            <w:r>
              <w:rPr>
                <w:sz w:val="22"/>
                <w:szCs w:val="22"/>
              </w:rPr>
              <w:t>, ab Folie 8): Berlin exportiert z.B. viele Fälle nach Brandenburg, aus Hamburg werden Fällen nach SH und NI exportiert, etc.</w:t>
            </w:r>
          </w:p>
          <w:p>
            <w:pPr>
              <w:pStyle w:val="Listenabsatz"/>
              <w:numPr>
                <w:ilvl w:val="2"/>
                <w:numId w:val="24"/>
              </w:numPr>
              <w:rPr>
                <w:sz w:val="22"/>
                <w:szCs w:val="22"/>
              </w:rPr>
            </w:pPr>
            <w:r>
              <w:rPr>
                <w:sz w:val="22"/>
                <w:szCs w:val="22"/>
              </w:rPr>
              <w:t>Innerdeutsche Ausbreitung spielt untergeordnete Rolle</w:t>
            </w:r>
          </w:p>
          <w:p>
            <w:pPr>
              <w:pStyle w:val="Listenabsatz"/>
              <w:numPr>
                <w:ilvl w:val="2"/>
                <w:numId w:val="24"/>
              </w:numPr>
              <w:rPr>
                <w:sz w:val="22"/>
                <w:szCs w:val="22"/>
              </w:rPr>
            </w:pPr>
            <w:r>
              <w:rPr>
                <w:sz w:val="22"/>
                <w:szCs w:val="22"/>
              </w:rPr>
              <w:t>Dies wird nicht aktiv publiziert, nur auf Nachfrage</w:t>
            </w:r>
          </w:p>
          <w:p>
            <w:pPr>
              <w:pStyle w:val="Listenabsatz"/>
              <w:numPr>
                <w:ilvl w:val="1"/>
                <w:numId w:val="24"/>
              </w:numPr>
              <w:rPr>
                <w:sz w:val="22"/>
                <w:szCs w:val="22"/>
              </w:rPr>
            </w:pPr>
            <w:r>
              <w:rPr>
                <w:sz w:val="22"/>
                <w:szCs w:val="22"/>
              </w:rPr>
              <w:t xml:space="preserve">Seit </w:t>
            </w:r>
            <w:proofErr w:type="spellStart"/>
            <w:r>
              <w:rPr>
                <w:sz w:val="22"/>
                <w:szCs w:val="22"/>
              </w:rPr>
              <w:t>Survnet</w:t>
            </w:r>
            <w:proofErr w:type="spellEnd"/>
            <w:r>
              <w:rPr>
                <w:sz w:val="22"/>
                <w:szCs w:val="22"/>
              </w:rPr>
              <w:t xml:space="preserve">-Update sind auch Angaben über wahrscheinliches Infektionsumfeld bei Einzelfällen möglich (vorher war diese Angabe nur bei Ausbrüchen möglich)(Folien </w:t>
            </w:r>
            <w:hyperlink r:id="rId10" w:history="1">
              <w:r>
                <w:rPr>
                  <w:rStyle w:val="Hyperlink"/>
                  <w:sz w:val="22"/>
                  <w:szCs w:val="22"/>
                </w:rPr>
                <w:t>hier</w:t>
              </w:r>
            </w:hyperlink>
            <w:r>
              <w:rPr>
                <w:sz w:val="22"/>
                <w:szCs w:val="22"/>
              </w:rPr>
              <w:t xml:space="preserve">, ab Folie 13):  : </w:t>
            </w:r>
          </w:p>
          <w:p>
            <w:pPr>
              <w:pStyle w:val="Listenabsatz"/>
              <w:numPr>
                <w:ilvl w:val="2"/>
                <w:numId w:val="24"/>
              </w:numPr>
              <w:rPr>
                <w:sz w:val="22"/>
                <w:szCs w:val="22"/>
              </w:rPr>
            </w:pPr>
            <w:r>
              <w:rPr>
                <w:sz w:val="22"/>
                <w:szCs w:val="22"/>
              </w:rPr>
              <w:t xml:space="preserve">6.000 Fälle mit Angaben zu </w:t>
            </w:r>
            <w:proofErr w:type="spellStart"/>
            <w:r>
              <w:rPr>
                <w:sz w:val="22"/>
                <w:szCs w:val="22"/>
              </w:rPr>
              <w:t>wahrscheinl</w:t>
            </w:r>
            <w:proofErr w:type="spellEnd"/>
            <w:r>
              <w:rPr>
                <w:sz w:val="22"/>
                <w:szCs w:val="22"/>
              </w:rPr>
              <w:t>. Infektionsumfeld stehen zur Verfügung</w:t>
            </w:r>
          </w:p>
          <w:p>
            <w:pPr>
              <w:pStyle w:val="Listenabsatz"/>
              <w:numPr>
                <w:ilvl w:val="2"/>
                <w:numId w:val="24"/>
              </w:numPr>
              <w:rPr>
                <w:sz w:val="22"/>
                <w:szCs w:val="22"/>
              </w:rPr>
            </w:pPr>
            <w:r>
              <w:rPr>
                <w:sz w:val="22"/>
                <w:szCs w:val="22"/>
              </w:rPr>
              <w:t>Top 3 der wahrscheinlichen Infektionsumfelder: privater Haushalt, Arbeitsplatz, Gesundheitseinrichtungen</w:t>
            </w:r>
          </w:p>
          <w:p>
            <w:pPr>
              <w:pStyle w:val="Listenabsatz"/>
              <w:numPr>
                <w:ilvl w:val="2"/>
                <w:numId w:val="24"/>
              </w:numPr>
              <w:rPr>
                <w:sz w:val="22"/>
                <w:szCs w:val="22"/>
              </w:rPr>
            </w:pPr>
            <w:r>
              <w:rPr>
                <w:sz w:val="22"/>
                <w:szCs w:val="22"/>
              </w:rPr>
              <w:t xml:space="preserve">Datenqualität aufgrund durch beschränkte Ermittlungen der GÄ und </w:t>
            </w:r>
            <w:proofErr w:type="spellStart"/>
            <w:r>
              <w:rPr>
                <w:sz w:val="22"/>
                <w:szCs w:val="22"/>
              </w:rPr>
              <w:t>recall</w:t>
            </w:r>
            <w:proofErr w:type="spellEnd"/>
            <w:r>
              <w:rPr>
                <w:sz w:val="22"/>
                <w:szCs w:val="22"/>
              </w:rPr>
              <w:t xml:space="preserve"> </w:t>
            </w:r>
            <w:proofErr w:type="spellStart"/>
            <w:r>
              <w:rPr>
                <w:sz w:val="22"/>
                <w:szCs w:val="22"/>
              </w:rPr>
              <w:t>bias</w:t>
            </w:r>
            <w:proofErr w:type="spellEnd"/>
            <w:r>
              <w:rPr>
                <w:sz w:val="22"/>
                <w:szCs w:val="22"/>
              </w:rPr>
              <w:t xml:space="preserve"> der Fälle limitiert, auch nicht zu allen Infektionsumfelder Nenner vorhanden bzw. Expositionsdauer</w:t>
            </w:r>
          </w:p>
          <w:p>
            <w:pPr>
              <w:pStyle w:val="Listenabsatz"/>
              <w:numPr>
                <w:ilvl w:val="2"/>
                <w:numId w:val="24"/>
              </w:numPr>
              <w:rPr>
                <w:sz w:val="22"/>
                <w:szCs w:val="22"/>
              </w:rPr>
            </w:pPr>
            <w:r>
              <w:rPr>
                <w:sz w:val="22"/>
                <w:szCs w:val="22"/>
              </w:rPr>
              <w:t xml:space="preserve">Kneipen werden ggf. weniger oft erwähnt, da man hier im Gegensatz zum Arbeitsplatz nicht mehr mit Personen, bei denen man sich infiziert hat, in Kontakt steht und/oder die </w:t>
            </w:r>
            <w:proofErr w:type="spellStart"/>
            <w:r>
              <w:rPr>
                <w:sz w:val="22"/>
                <w:szCs w:val="22"/>
              </w:rPr>
              <w:t>Vebindung</w:t>
            </w:r>
            <w:proofErr w:type="spellEnd"/>
            <w:r>
              <w:rPr>
                <w:sz w:val="22"/>
                <w:szCs w:val="22"/>
              </w:rPr>
              <w:t xml:space="preserve"> zur Ansteckung nicht herstellt. </w:t>
            </w:r>
          </w:p>
          <w:p>
            <w:pPr>
              <w:pStyle w:val="Listenabsatz"/>
              <w:numPr>
                <w:ilvl w:val="2"/>
                <w:numId w:val="24"/>
              </w:numPr>
              <w:rPr>
                <w:sz w:val="22"/>
                <w:szCs w:val="22"/>
              </w:rPr>
            </w:pPr>
            <w:r>
              <w:rPr>
                <w:sz w:val="22"/>
                <w:szCs w:val="22"/>
              </w:rPr>
              <w:t xml:space="preserve">Fall-Kontroll-Studie zur genaueren Aufschlüsselung ausstehend (H. Wilking), Einverständnis zur Teilnahme der Fälle muss durch GÄ eingeholt werden, dies wird aktuell durch GÄ aufgrund von Überlastung abgelehnt. Es soll noch mal bei der nächsten AGI Sitzung um Unterstützung geworben werden, ggf. Unterstützung der GÄ durch weitere </w:t>
            </w:r>
            <w:proofErr w:type="spellStart"/>
            <w:r>
              <w:rPr>
                <w:sz w:val="22"/>
                <w:szCs w:val="22"/>
              </w:rPr>
              <w:t>containment</w:t>
            </w:r>
            <w:proofErr w:type="spellEnd"/>
            <w:r>
              <w:rPr>
                <w:sz w:val="22"/>
                <w:szCs w:val="22"/>
              </w:rPr>
              <w:t xml:space="preserve"> </w:t>
            </w:r>
            <w:proofErr w:type="spellStart"/>
            <w:r>
              <w:rPr>
                <w:sz w:val="22"/>
                <w:szCs w:val="22"/>
              </w:rPr>
              <w:t>scounts</w:t>
            </w:r>
            <w:proofErr w:type="spellEnd"/>
            <w:r>
              <w:rPr>
                <w:sz w:val="22"/>
                <w:szCs w:val="22"/>
              </w:rPr>
              <w:t>, ggf. durch Landesbehörden oder auch Bundeswehr</w:t>
            </w:r>
          </w:p>
          <w:p>
            <w:pPr>
              <w:pStyle w:val="Listenabsatz"/>
              <w:numPr>
                <w:ilvl w:val="2"/>
                <w:numId w:val="24"/>
              </w:numPr>
              <w:rPr>
                <w:sz w:val="22"/>
                <w:szCs w:val="22"/>
              </w:rPr>
            </w:pPr>
            <w:r>
              <w:rPr>
                <w:sz w:val="22"/>
                <w:szCs w:val="22"/>
              </w:rPr>
              <w:t xml:space="preserve">Arbeitsplatz ist nach privatem Umfeld relevantes Infektionsumfeld. Nicht nur in Schlachthöfen, sondern auch in Großraumbüros, auf dem Bau oder im Einzelhandel gibt es Übertragungen. Oft werden hier keine Masken getragen  </w:t>
            </w:r>
          </w:p>
          <w:p>
            <w:pPr>
              <w:pStyle w:val="Listenabsatz"/>
              <w:numPr>
                <w:ilvl w:val="2"/>
                <w:numId w:val="24"/>
              </w:numPr>
              <w:rPr>
                <w:sz w:val="22"/>
                <w:szCs w:val="22"/>
              </w:rPr>
            </w:pPr>
            <w:r>
              <w:rPr>
                <w:sz w:val="22"/>
                <w:szCs w:val="22"/>
              </w:rPr>
              <w:t>Grundmessage: man kann sich überall anstecken, nur das Risiko differiert zwischen den einzelnen Infektionsumfeldern</w:t>
            </w:r>
          </w:p>
          <w:p>
            <w:pPr>
              <w:pStyle w:val="Listenabsatz"/>
              <w:numPr>
                <w:ilvl w:val="2"/>
                <w:numId w:val="24"/>
              </w:numPr>
              <w:rPr>
                <w:sz w:val="22"/>
                <w:szCs w:val="22"/>
              </w:rPr>
            </w:pPr>
            <w:r>
              <w:rPr>
                <w:sz w:val="22"/>
                <w:szCs w:val="22"/>
              </w:rPr>
              <w:t>Kommunikation mit Herrn Degen ausstehend</w:t>
            </w:r>
          </w:p>
          <w:p>
            <w:pPr>
              <w:pStyle w:val="Listenabsatz"/>
              <w:numPr>
                <w:ilvl w:val="2"/>
                <w:numId w:val="24"/>
              </w:numPr>
              <w:rPr>
                <w:sz w:val="22"/>
                <w:szCs w:val="22"/>
              </w:rPr>
            </w:pPr>
            <w:r>
              <w:rPr>
                <w:sz w:val="22"/>
                <w:szCs w:val="22"/>
              </w:rPr>
              <w:t xml:space="preserve">Risikowahrnehmung in der Allgemeinbevölkerung: Risiko geht von </w:t>
            </w:r>
            <w:r>
              <w:rPr>
                <w:sz w:val="22"/>
                <w:szCs w:val="22"/>
              </w:rPr>
              <w:lastRenderedPageBreak/>
              <w:t>Fremden aus, nicht von Vertrauten, dass Vertraute mindestens ebenso riskante Kontakte darstellen muss besser kommuniziert werden</w:t>
            </w:r>
          </w:p>
          <w:p>
            <w:pPr>
              <w:pStyle w:val="Listenabsatz"/>
              <w:numPr>
                <w:ilvl w:val="2"/>
                <w:numId w:val="24"/>
              </w:numPr>
              <w:rPr>
                <w:sz w:val="22"/>
                <w:szCs w:val="22"/>
              </w:rPr>
            </w:pPr>
            <w:r>
              <w:rPr>
                <w:sz w:val="22"/>
                <w:szCs w:val="22"/>
              </w:rPr>
              <w:t xml:space="preserve">Ggf. Möglichkeit, die Fälle aus der CWA weiter zu differenzieren, um die anonymen Kontakte zu analysieren nach Infektionsort </w:t>
            </w:r>
          </w:p>
          <w:p>
            <w:pPr>
              <w:pStyle w:val="Listenabsatz"/>
              <w:numPr>
                <w:ilvl w:val="2"/>
                <w:numId w:val="24"/>
              </w:numPr>
              <w:rPr>
                <w:sz w:val="22"/>
                <w:szCs w:val="22"/>
              </w:rPr>
            </w:pPr>
            <w:r>
              <w:rPr>
                <w:sz w:val="22"/>
                <w:szCs w:val="22"/>
              </w:rPr>
              <w:t>Ggf. Daten in Relation zum Alter setzen, um weiter differenzieren zu können zwischen den Risiken</w:t>
            </w:r>
          </w:p>
          <w:p>
            <w:pPr>
              <w:pStyle w:val="Listenabsatz"/>
              <w:numPr>
                <w:ilvl w:val="2"/>
                <w:numId w:val="24"/>
              </w:numPr>
              <w:rPr>
                <w:sz w:val="22"/>
                <w:szCs w:val="22"/>
              </w:rPr>
            </w:pPr>
            <w:r>
              <w:rPr>
                <w:sz w:val="22"/>
                <w:szCs w:val="22"/>
              </w:rPr>
              <w:t xml:space="preserve">Wie erfolgen die Einträge in die privaten Haushalte? Das ist schwierig zu ermitteln, da sich auch hier </w:t>
            </w:r>
            <w:proofErr w:type="gramStart"/>
            <w:r>
              <w:rPr>
                <w:sz w:val="22"/>
                <w:szCs w:val="22"/>
              </w:rPr>
              <w:t>die selben</w:t>
            </w:r>
            <w:proofErr w:type="gramEnd"/>
            <w:r>
              <w:rPr>
                <w:sz w:val="22"/>
                <w:szCs w:val="22"/>
              </w:rPr>
              <w:t xml:space="preserve"> Limitationen ergeben mit </w:t>
            </w:r>
            <w:proofErr w:type="spellStart"/>
            <w:r>
              <w:rPr>
                <w:sz w:val="22"/>
                <w:szCs w:val="22"/>
              </w:rPr>
              <w:t>recall</w:t>
            </w:r>
            <w:proofErr w:type="spellEnd"/>
            <w:r>
              <w:rPr>
                <w:sz w:val="22"/>
                <w:szCs w:val="22"/>
              </w:rPr>
              <w:t xml:space="preserve"> </w:t>
            </w:r>
            <w:proofErr w:type="spellStart"/>
            <w:r>
              <w:rPr>
                <w:sz w:val="22"/>
                <w:szCs w:val="22"/>
              </w:rPr>
              <w:t>bias</w:t>
            </w:r>
            <w:proofErr w:type="spellEnd"/>
            <w:r>
              <w:rPr>
                <w:sz w:val="22"/>
                <w:szCs w:val="22"/>
              </w:rPr>
              <w:t xml:space="preserve"> etc. Bei Haushalten mit mehreren Fällen kann Index gut identifiziert werden, dann könnte man schauen, ob es hier Angaben zum Infektionsumfeld gibt.</w:t>
            </w:r>
            <w:r>
              <w:rPr>
                <w:sz w:val="22"/>
                <w:szCs w:val="22"/>
                <w:highlight w:val="yellow"/>
              </w:rPr>
              <w:t xml:space="preserve"> </w:t>
            </w:r>
          </w:p>
          <w:p>
            <w:pPr>
              <w:rPr>
                <w:sz w:val="22"/>
                <w:szCs w:val="22"/>
              </w:rPr>
            </w:pPr>
          </w:p>
          <w:p>
            <w:pPr>
              <w:rPr>
                <w:i/>
                <w:sz w:val="22"/>
                <w:szCs w:val="22"/>
              </w:rPr>
            </w:pPr>
            <w:r>
              <w:rPr>
                <w:i/>
                <w:sz w:val="22"/>
                <w:szCs w:val="22"/>
              </w:rPr>
              <w:t xml:space="preserve">TODO: Einerseits: Fall-Kontroll-Studie realisieren, andererseits werden </w:t>
            </w:r>
            <w:proofErr w:type="spellStart"/>
            <w:r>
              <w:rPr>
                <w:i/>
                <w:sz w:val="22"/>
                <w:szCs w:val="22"/>
              </w:rPr>
              <w:t>Surveillancedaten</w:t>
            </w:r>
            <w:proofErr w:type="spellEnd"/>
            <w:r>
              <w:rPr>
                <w:i/>
                <w:sz w:val="22"/>
                <w:szCs w:val="22"/>
              </w:rPr>
              <w:t xml:space="preserve"> nochmal ausgewertet, zudem Imputation mit Meldedaten vergleichen, um Verzug besser zu beurteilen (H. Wilking, M. Diercke) </w:t>
            </w:r>
          </w:p>
        </w:tc>
        <w:tc>
          <w:tcPr>
            <w:tcW w:w="1809" w:type="dxa"/>
          </w:tcPr>
          <w:p/>
          <w:p>
            <w:r>
              <w:t>ZIG1</w:t>
            </w:r>
          </w:p>
          <w:p>
            <w:pPr>
              <w:spacing w:after="200"/>
              <w:rPr>
                <w:sz w:val="22"/>
                <w:szCs w:val="22"/>
              </w:rPr>
            </w:pPr>
            <w:r>
              <w:rPr>
                <w:sz w:val="22"/>
                <w:szCs w:val="22"/>
              </w:rPr>
              <w:t>(E. Romo Ventura)</w:t>
            </w:r>
          </w:p>
          <w:p/>
          <w:p/>
          <w:p>
            <w:r>
              <w:br/>
            </w:r>
          </w:p>
          <w:p/>
          <w:p/>
          <w:p/>
          <w:p/>
          <w:p/>
          <w:p/>
          <w:p/>
          <w:p/>
          <w:p/>
          <w:p/>
          <w:p/>
          <w:p/>
          <w:p/>
          <w:p/>
          <w:p/>
          <w:p/>
          <w:p/>
          <w:p/>
          <w:p/>
          <w:p/>
          <w:p/>
          <w:p/>
          <w:p/>
          <w:p/>
          <w:p/>
          <w:p/>
          <w:p/>
          <w:p>
            <w:r>
              <w:t xml:space="preserve">FG32 (M. Diercke) </w:t>
            </w:r>
          </w:p>
        </w:tc>
      </w:tr>
      <w:tr>
        <w:tc>
          <w:tcPr>
            <w:tcW w:w="684" w:type="dxa"/>
          </w:tcPr>
          <w:p>
            <w:r>
              <w:lastRenderedPageBreak/>
              <w:t>2</w:t>
            </w:r>
          </w:p>
        </w:tc>
        <w:tc>
          <w:tcPr>
            <w:tcW w:w="6408" w:type="dxa"/>
          </w:tcPr>
          <w:p>
            <w:pPr>
              <w:rPr>
                <w:b/>
                <w:color w:val="FF0000"/>
              </w:rPr>
            </w:pPr>
            <w:r>
              <w:rPr>
                <w:b/>
              </w:rPr>
              <w:t xml:space="preserve">Internationales </w:t>
            </w:r>
            <w:r>
              <w:rPr>
                <w:b/>
                <w:color w:val="FF0000"/>
              </w:rPr>
              <w:t>(nur freitags)</w:t>
            </w:r>
          </w:p>
          <w:p>
            <w:pPr>
              <w:pStyle w:val="Listenabsatz"/>
              <w:numPr>
                <w:ilvl w:val="0"/>
                <w:numId w:val="12"/>
              </w:numPr>
            </w:pPr>
            <w:r>
              <w:t xml:space="preserve">Mission Namibia: Aktuell befinden sich MA des RKI in Namibia zur Unterstützung des Systems bei </w:t>
            </w:r>
            <w:proofErr w:type="spellStart"/>
            <w:r>
              <w:t>KoNa</w:t>
            </w:r>
            <w:proofErr w:type="spellEnd"/>
            <w:r>
              <w:t xml:space="preserve"> (</w:t>
            </w:r>
            <w:proofErr w:type="spellStart"/>
            <w:r>
              <w:t>GoData</w:t>
            </w:r>
            <w:proofErr w:type="spellEnd"/>
            <w:r>
              <w:t>) sowie im klinischen Bereich. Die Mission läuft noch nächste Woche.</w:t>
            </w:r>
          </w:p>
          <w:p>
            <w:pPr>
              <w:pStyle w:val="Listenabsatz"/>
              <w:numPr>
                <w:ilvl w:val="0"/>
                <w:numId w:val="12"/>
              </w:numPr>
            </w:pPr>
            <w:r>
              <w:t xml:space="preserve">Weiterhin tauschte sich das RKI mit dem </w:t>
            </w:r>
            <w:proofErr w:type="spellStart"/>
            <w:r>
              <w:t>Wastbalkan</w:t>
            </w:r>
            <w:proofErr w:type="spellEnd"/>
            <w:r>
              <w:t xml:space="preserve"> (Kroatien und im Nachgang zur Mission auch mit dem Kosovo) aus.</w:t>
            </w:r>
          </w:p>
          <w:p>
            <w:pPr>
              <w:pStyle w:val="Listenabsatz"/>
              <w:numPr>
                <w:ilvl w:val="0"/>
                <w:numId w:val="12"/>
              </w:numPr>
            </w:pPr>
            <w:r>
              <w:t>Eine kleine Mission nach Ecuador zur Unterstützung der Universitätsklinik und des Labors ist geplant.</w:t>
            </w:r>
          </w:p>
          <w:p>
            <w:pPr>
              <w:pStyle w:val="Listenabsatz"/>
              <w:numPr>
                <w:ilvl w:val="0"/>
                <w:numId w:val="12"/>
              </w:numPr>
            </w:pPr>
            <w:r>
              <w:t xml:space="preserve">Corona Global: Ein Gesamtantrag mit verschiedenen Projekten (z.B. mit internationalen </w:t>
            </w:r>
            <w:proofErr w:type="spellStart"/>
            <w:r>
              <w:t>Serostudien</w:t>
            </w:r>
            <w:proofErr w:type="spellEnd"/>
            <w:r>
              <w:t>) wurde in erster Instanz vom BMG zugesagt. Mit einer Deadline von 10 Tagen sollen die Teilprojekte ausgearbeitet werden, Verlängerung der Frist um 14 Tage wurde beantragt</w:t>
            </w:r>
          </w:p>
          <w:p>
            <w:pPr>
              <w:pStyle w:val="Listenabsatz"/>
              <w:numPr>
                <w:ilvl w:val="0"/>
                <w:numId w:val="12"/>
              </w:numPr>
            </w:pPr>
            <w:r>
              <w:t>am Montag gab es eine Diskussion mit dem BMG zu den unterschiedlichen Vorgehensweisen von der WHO/ECDC zur Ausweisung von Risikogebieten. Die EU benutzt z.B. ein Ampelsystem; Deutschland macht nur 2 Abstufungen. Das Vorgehen soll generell vereinfacht werden, da inzwischen ganz Europa stark betroffen ist und somit ganz Europa ein Risikogebiet ist</w:t>
            </w:r>
          </w:p>
          <w:p>
            <w:pPr>
              <w:pStyle w:val="Listenabsatz"/>
              <w:numPr>
                <w:ilvl w:val="0"/>
                <w:numId w:val="12"/>
              </w:numPr>
            </w:pPr>
            <w:r>
              <w:t xml:space="preserve">Ggf. Vorschlag ans ECDC: Wenn Deutschland bei &gt;50/100.000 </w:t>
            </w:r>
            <w:proofErr w:type="spellStart"/>
            <w:r>
              <w:t>Positivenrate</w:t>
            </w:r>
            <w:proofErr w:type="spellEnd"/>
            <w:r>
              <w:t xml:space="preserve"> von 4% überschreitet ist subnationale Risikoausweisung ggf. nicht mehr </w:t>
            </w:r>
            <w:r>
              <w:lastRenderedPageBreak/>
              <w:t xml:space="preserve">sinnvoll. Dem Vorschlag wird zugestimmt. </w:t>
            </w:r>
          </w:p>
        </w:tc>
        <w:tc>
          <w:tcPr>
            <w:tcW w:w="1809" w:type="dxa"/>
          </w:tcPr>
          <w:p>
            <w:r>
              <w:lastRenderedPageBreak/>
              <w:t>ZIG (Hanefeld)</w:t>
            </w:r>
          </w:p>
        </w:tc>
      </w:tr>
      <w:tr>
        <w:tc>
          <w:tcPr>
            <w:tcW w:w="684" w:type="dxa"/>
          </w:tcPr>
          <w:p>
            <w:r>
              <w:t>3</w:t>
            </w:r>
          </w:p>
        </w:tc>
        <w:tc>
          <w:tcPr>
            <w:tcW w:w="6408" w:type="dxa"/>
          </w:tcPr>
          <w:p>
            <w:pPr>
              <w:rPr>
                <w:b/>
                <w:color w:val="FF0000"/>
              </w:rPr>
            </w:pPr>
            <w:r>
              <w:rPr>
                <w:b/>
              </w:rPr>
              <w:t xml:space="preserve">Update Digitale Projekte </w:t>
            </w:r>
            <w:r>
              <w:rPr>
                <w:b/>
                <w:color w:val="FF0000"/>
              </w:rPr>
              <w:t>(nur montags)</w:t>
            </w:r>
          </w:p>
          <w:p>
            <w:pPr>
              <w:rPr>
                <w:b/>
              </w:rPr>
            </w:pPr>
          </w:p>
        </w:tc>
        <w:tc>
          <w:tcPr>
            <w:tcW w:w="1809" w:type="dxa"/>
          </w:tcPr>
          <w:p/>
        </w:tc>
      </w:tr>
      <w:tr>
        <w:trPr>
          <w:trHeight w:val="319"/>
        </w:trPr>
        <w:tc>
          <w:tcPr>
            <w:tcW w:w="684" w:type="dxa"/>
          </w:tcPr>
          <w:p>
            <w:r>
              <w:t>4</w:t>
            </w:r>
          </w:p>
        </w:tc>
        <w:tc>
          <w:tcPr>
            <w:tcW w:w="6408" w:type="dxa"/>
          </w:tcPr>
          <w:p>
            <w:pPr>
              <w:rPr>
                <w:b/>
              </w:rPr>
            </w:pPr>
            <w:r>
              <w:rPr>
                <w:b/>
              </w:rPr>
              <w:t>Aktuelle Risikobewertung</w:t>
            </w:r>
          </w:p>
          <w:p>
            <w:pPr>
              <w:pStyle w:val="Listenabsatz"/>
              <w:numPr>
                <w:ilvl w:val="0"/>
                <w:numId w:val="11"/>
              </w:numPr>
            </w:pPr>
            <w:r>
              <w:t>Neues Dokument von Walter Haas wurde kommentiert und ist auf Zustimmung gestoßen</w:t>
            </w:r>
          </w:p>
          <w:p>
            <w:pPr>
              <w:pStyle w:val="Listenabsatz"/>
              <w:numPr>
                <w:ilvl w:val="0"/>
                <w:numId w:val="11"/>
              </w:numPr>
            </w:pPr>
            <w:r>
              <w:t xml:space="preserve">3 Säulen der Bewältigung (Containment, Mitigation, </w:t>
            </w:r>
            <w:proofErr w:type="spellStart"/>
            <w:r>
              <w:t>Protection</w:t>
            </w:r>
            <w:proofErr w:type="spellEnd"/>
            <w:r>
              <w:t>) müssen sich gegenseitig ergänzen und fortgeführt werden</w:t>
            </w:r>
          </w:p>
          <w:p>
            <w:pPr>
              <w:pStyle w:val="Listenabsatz"/>
              <w:numPr>
                <w:ilvl w:val="0"/>
                <w:numId w:val="11"/>
              </w:numPr>
            </w:pPr>
            <w:r>
              <w:t>Dokument wird auf die Homepage gestellt</w:t>
            </w:r>
          </w:p>
        </w:tc>
        <w:tc>
          <w:tcPr>
            <w:tcW w:w="1809" w:type="dxa"/>
          </w:tcPr>
          <w:p/>
          <w:p>
            <w:r>
              <w:t>W. Haas/alle</w:t>
            </w:r>
          </w:p>
        </w:tc>
      </w:tr>
      <w:tr>
        <w:tc>
          <w:tcPr>
            <w:tcW w:w="684" w:type="dxa"/>
          </w:tcPr>
          <w:p>
            <w:r>
              <w:t>5</w:t>
            </w:r>
          </w:p>
        </w:tc>
        <w:tc>
          <w:tcPr>
            <w:tcW w:w="6408" w:type="dxa"/>
          </w:tcPr>
          <w:p>
            <w:pPr>
              <w:rPr>
                <w:b/>
              </w:rPr>
            </w:pPr>
            <w:r>
              <w:rPr>
                <w:b/>
              </w:rPr>
              <w:t>Kommunikation</w:t>
            </w:r>
          </w:p>
          <w:p>
            <w:pPr>
              <w:rPr>
                <w:b/>
              </w:rPr>
            </w:pPr>
            <w:r>
              <w:rPr>
                <w:b/>
              </w:rPr>
              <w:t>BZgA</w:t>
            </w:r>
          </w:p>
          <w:p>
            <w:pPr>
              <w:pStyle w:val="Listenabsatz"/>
              <w:numPr>
                <w:ilvl w:val="0"/>
                <w:numId w:val="11"/>
              </w:numPr>
              <w:rPr>
                <w:i/>
              </w:rPr>
            </w:pPr>
            <w:r>
              <w:rPr>
                <w:i/>
              </w:rPr>
              <w:t>Nicht anwesend</w:t>
            </w:r>
          </w:p>
          <w:p>
            <w:pPr>
              <w:rPr>
                <w:b/>
              </w:rPr>
            </w:pPr>
            <w:r>
              <w:rPr>
                <w:b/>
              </w:rPr>
              <w:t>Presse</w:t>
            </w:r>
          </w:p>
          <w:p>
            <w:pPr>
              <w:pStyle w:val="Listenabsatz"/>
              <w:numPr>
                <w:ilvl w:val="0"/>
                <w:numId w:val="11"/>
              </w:numPr>
            </w:pPr>
            <w:r>
              <w:t xml:space="preserve">Internetseite war für insgesamt 4 Stunden offline, ursächlich war ein Angriff, automatischer Download von Daten funktioniert aktuell aufgrund von </w:t>
            </w:r>
            <w:proofErr w:type="spellStart"/>
            <w:r>
              <w:t>höhren</w:t>
            </w:r>
            <w:proofErr w:type="spellEnd"/>
            <w:r>
              <w:t xml:space="preserve"> </w:t>
            </w:r>
            <w:proofErr w:type="spellStart"/>
            <w:r>
              <w:t>Sichterheitsvorkehrungen</w:t>
            </w:r>
            <w:proofErr w:type="spellEnd"/>
            <w:r>
              <w:t xml:space="preserve"> nicht, ob der Angriff andauert oder nicht ist bisher noch nicht klar, </w:t>
            </w:r>
            <w:proofErr w:type="spellStart"/>
            <w:r>
              <w:t>ITZBund</w:t>
            </w:r>
            <w:proofErr w:type="spellEnd"/>
            <w:r>
              <w:t xml:space="preserve"> arbeitet daran. Eine einheitliche Sprachregelung ist in Erstellung.</w:t>
            </w:r>
          </w:p>
          <w:p>
            <w:pPr>
              <w:pStyle w:val="Listenabsatz"/>
              <w:numPr>
                <w:ilvl w:val="1"/>
                <w:numId w:val="11"/>
              </w:numPr>
            </w:pPr>
            <w:r>
              <w:t>Könnte auf Suchmaschine verzichtet werden, da diese angegriffen wurde? Prinzipiell kann jeder Punkt angegriffen werden</w:t>
            </w:r>
          </w:p>
          <w:p>
            <w:pPr>
              <w:pStyle w:val="Listenabsatz"/>
              <w:numPr>
                <w:ilvl w:val="0"/>
                <w:numId w:val="11"/>
              </w:numPr>
            </w:pPr>
            <w:r>
              <w:t>Diskrepanz zwischen Inzidenzen der Landkreise und denen auf dem Dashboard, FAQ in Vorbereitung, da viele Anfragen diesbezüglich ähnlich zum Frühjahr</w:t>
            </w:r>
          </w:p>
          <w:p>
            <w:pPr>
              <w:pStyle w:val="Listenabsatz"/>
              <w:numPr>
                <w:ilvl w:val="0"/>
                <w:numId w:val="11"/>
              </w:numPr>
            </w:pPr>
            <w:r>
              <w:t>Danke an alle für die sehr gute Vorbereitung des gestrigen Pressebriefings</w:t>
            </w:r>
          </w:p>
        </w:tc>
        <w:tc>
          <w:tcPr>
            <w:tcW w:w="1809" w:type="dxa"/>
          </w:tcPr>
          <w:p/>
          <w:p/>
          <w:p/>
          <w:p>
            <w:r>
              <w:t>Presse (Ronja Wenchel)</w:t>
            </w:r>
          </w:p>
          <w:p/>
          <w:p/>
          <w:p/>
          <w:p/>
          <w:p/>
          <w:p/>
          <w:p/>
          <w:p/>
          <w:p/>
          <w:p/>
          <w:p/>
          <w:p>
            <w:proofErr w:type="spellStart"/>
            <w:r>
              <w:t>Präs</w:t>
            </w:r>
            <w:proofErr w:type="spellEnd"/>
          </w:p>
        </w:tc>
      </w:tr>
      <w:tr>
        <w:tc>
          <w:tcPr>
            <w:tcW w:w="684" w:type="dxa"/>
          </w:tcPr>
          <w:p>
            <w:r>
              <w:t>6</w:t>
            </w:r>
          </w:p>
        </w:tc>
        <w:tc>
          <w:tcPr>
            <w:tcW w:w="6408" w:type="dxa"/>
          </w:tcPr>
          <w:p>
            <w:pPr>
              <w:rPr>
                <w:b/>
              </w:rPr>
            </w:pPr>
            <w:r>
              <w:rPr>
                <w:b/>
              </w:rPr>
              <w:t>Neues aus dem BMG</w:t>
            </w:r>
          </w:p>
          <w:p>
            <w:pPr>
              <w:pStyle w:val="Listenabsatz"/>
              <w:numPr>
                <w:ilvl w:val="0"/>
                <w:numId w:val="16"/>
              </w:numPr>
              <w:rPr>
                <w:i/>
              </w:rPr>
            </w:pPr>
            <w:r>
              <w:rPr>
                <w:i/>
              </w:rPr>
              <w:t>Nicht anwesend</w:t>
            </w:r>
          </w:p>
        </w:tc>
        <w:tc>
          <w:tcPr>
            <w:tcW w:w="1809" w:type="dxa"/>
          </w:tcPr>
          <w:p/>
        </w:tc>
      </w:tr>
      <w:tr>
        <w:tc>
          <w:tcPr>
            <w:tcW w:w="684" w:type="dxa"/>
          </w:tcPr>
          <w:p>
            <w:r>
              <w:t>7</w:t>
            </w:r>
          </w:p>
        </w:tc>
        <w:tc>
          <w:tcPr>
            <w:tcW w:w="6408" w:type="dxa"/>
          </w:tcPr>
          <w:p>
            <w:pPr>
              <w:rPr>
                <w:b/>
              </w:rPr>
            </w:pPr>
            <w:r>
              <w:rPr>
                <w:b/>
              </w:rPr>
              <w:t>Strategie Fragen</w:t>
            </w:r>
          </w:p>
          <w:p>
            <w:pPr>
              <w:pStyle w:val="Listenabsatz"/>
              <w:numPr>
                <w:ilvl w:val="0"/>
                <w:numId w:val="15"/>
              </w:numPr>
              <w:rPr>
                <w:b/>
              </w:rPr>
            </w:pPr>
            <w:r>
              <w:rPr>
                <w:b/>
              </w:rPr>
              <w:t>Allgemein</w:t>
            </w:r>
          </w:p>
          <w:p>
            <w:pPr>
              <w:pStyle w:val="Listenabsatz"/>
              <w:numPr>
                <w:ilvl w:val="0"/>
                <w:numId w:val="5"/>
              </w:numPr>
              <w:rPr>
                <w:b/>
              </w:rPr>
            </w:pPr>
            <w:r>
              <w:t xml:space="preserve">Vorstellung des Preprint Papers </w:t>
            </w:r>
            <w:proofErr w:type="spellStart"/>
            <w:r>
              <w:rPr>
                <w:i/>
              </w:rPr>
              <w:t>Keeling</w:t>
            </w:r>
            <w:proofErr w:type="spellEnd"/>
            <w:r>
              <w:rPr>
                <w:i/>
              </w:rPr>
              <w:t xml:space="preserve"> et at.</w:t>
            </w:r>
            <w:r>
              <w:t xml:space="preserve"> bezüglich 2-wöchiger Mini-Shutdowns in UK, reine Modellierungsstudie  (Folien zum Paper </w:t>
            </w:r>
            <w:hyperlink r:id="rId11" w:history="1">
              <w:r>
                <w:rPr>
                  <w:rStyle w:val="Hyperlink"/>
                </w:rPr>
                <w:t>hier</w:t>
              </w:r>
            </w:hyperlink>
            <w:r>
              <w:t xml:space="preserve">, Vortragsfolien </w:t>
            </w:r>
            <w:hyperlink r:id="rId12" w:history="1">
              <w:r>
                <w:rPr>
                  <w:rStyle w:val="Hyperlink"/>
                </w:rPr>
                <w:t>hier</w:t>
              </w:r>
            </w:hyperlink>
            <w:r>
              <w:t>)</w:t>
            </w:r>
          </w:p>
          <w:p>
            <w:pPr>
              <w:pStyle w:val="Listenabsatz"/>
              <w:numPr>
                <w:ilvl w:val="1"/>
                <w:numId w:val="5"/>
              </w:numPr>
            </w:pPr>
            <w:r>
              <w:t>Untersuchung von zeitlich limitierten (2 Wochen) aber intensiven, vorbeugenden Maßnahmen („</w:t>
            </w:r>
            <w:proofErr w:type="spellStart"/>
            <w:r>
              <w:t>breaks</w:t>
            </w:r>
            <w:proofErr w:type="spellEnd"/>
            <w:r>
              <w:t xml:space="preserve">“ oder „Bremsen“) um negative Auswirkungen der Notfallmaßnahmen durch Planung zu verringern </w:t>
            </w:r>
          </w:p>
          <w:p>
            <w:pPr>
              <w:pStyle w:val="Listenabsatz"/>
              <w:numPr>
                <w:ilvl w:val="1"/>
                <w:numId w:val="5"/>
              </w:numPr>
            </w:pPr>
            <w:r>
              <w:t>Theoretische Effekte: Reduktion der Infektion, Zurücksetzen („</w:t>
            </w:r>
            <w:proofErr w:type="spellStart"/>
            <w:r>
              <w:t>reset</w:t>
            </w:r>
            <w:proofErr w:type="spellEnd"/>
            <w:r>
              <w:t>“) im Pandemieverlauf, stärkere Maßnahmen haben längeren Effekt, größerer und längerer Einfluss auf Infektionen als auf Hospitalisierungen und Todesfälle</w:t>
            </w:r>
          </w:p>
          <w:p>
            <w:pPr>
              <w:pStyle w:val="Listenabsatz"/>
              <w:numPr>
                <w:ilvl w:val="1"/>
                <w:numId w:val="5"/>
              </w:numPr>
            </w:pPr>
            <w:r>
              <w:t xml:space="preserve">Methodisch gutes Paper, prinzipiell Effekt auf </w:t>
            </w:r>
            <w:r>
              <w:lastRenderedPageBreak/>
              <w:t xml:space="preserve">Infektionsgeschehen wahrscheinlich, Größe des Effekts jedoch unklar da nicht 1:1 übertragbar auf Deutschland (andere Bevölkerungsstruktur, anderes Gesundheitssystem als UK), Effekt sehr stark abhängig von </w:t>
            </w:r>
            <w:proofErr w:type="spellStart"/>
            <w:r>
              <w:t>compliance</w:t>
            </w:r>
            <w:proofErr w:type="spellEnd"/>
            <w:r>
              <w:t xml:space="preserve"> der Bevölkerung, teilweise </w:t>
            </w:r>
            <w:proofErr w:type="spellStart"/>
            <w:r>
              <w:t>gesamtgesellschaftl</w:t>
            </w:r>
            <w:proofErr w:type="spellEnd"/>
            <w:r>
              <w:t xml:space="preserve">. Kollateralschäden, Nachhaltigkeit fraglich </w:t>
            </w:r>
          </w:p>
          <w:p>
            <w:pPr>
              <w:pStyle w:val="Listenabsatz"/>
              <w:numPr>
                <w:ilvl w:val="1"/>
                <w:numId w:val="5"/>
              </w:numPr>
            </w:pPr>
            <w:r>
              <w:t>Neben Verzögerung scheinbar auch Peak-Verringerung</w:t>
            </w:r>
          </w:p>
          <w:p>
            <w:pPr>
              <w:pStyle w:val="Listenabsatz"/>
              <w:numPr>
                <w:ilvl w:val="1"/>
                <w:numId w:val="5"/>
              </w:numPr>
            </w:pPr>
            <w:r>
              <w:t xml:space="preserve">In UK Gesundheitssystem deutlich überlastet, Ziel ist daher dort primär, das System zu entlasten bzw. wieder </w:t>
            </w:r>
            <w:proofErr w:type="spellStart"/>
            <w:r>
              <w:t>funktionabel</w:t>
            </w:r>
            <w:proofErr w:type="spellEnd"/>
            <w:r>
              <w:t xml:space="preserve"> zu werden, Breaks werden in Teilen von UK auch schon umgesetzt</w:t>
            </w:r>
          </w:p>
          <w:p>
            <w:pPr>
              <w:pStyle w:val="Listenabsatz"/>
              <w:numPr>
                <w:ilvl w:val="1"/>
                <w:numId w:val="5"/>
              </w:numPr>
            </w:pPr>
            <w:r>
              <w:t>Positiv bei der Bremse ist, dass es vorbereitet ist und nur auf 2 Wochen bestimmt ist. Es kann aber sein, dass eine solche Bremse mehrmals eingesetzt werden muss, um Effekte längerfristig zu erzielen. Ggf. kann beim erneuten Einsetzen der Brems, die Compliance der Bevölkerung niedriger sein.</w:t>
            </w:r>
          </w:p>
          <w:p>
            <w:pPr>
              <w:pStyle w:val="Listenabsatz"/>
              <w:numPr>
                <w:ilvl w:val="1"/>
                <w:numId w:val="5"/>
              </w:numPr>
            </w:pPr>
            <w:r>
              <w:t xml:space="preserve">Es wird mit großer </w:t>
            </w:r>
            <w:proofErr w:type="spellStart"/>
            <w:r>
              <w:t>Aufmerksamtkeit</w:t>
            </w:r>
            <w:proofErr w:type="spellEnd"/>
            <w:r>
              <w:t xml:space="preserve"> bezüglich dieses Papers gerechnet. Das BMG hat ZIG bzgl. des Papiers bereits angerufen.</w:t>
            </w:r>
          </w:p>
          <w:p>
            <w:pPr>
              <w:pStyle w:val="Listenabsatz"/>
              <w:ind w:left="1080"/>
            </w:pPr>
          </w:p>
          <w:p>
            <w:pPr>
              <w:pStyle w:val="Listenabsatz"/>
              <w:numPr>
                <w:ilvl w:val="0"/>
                <w:numId w:val="5"/>
              </w:numPr>
            </w:pPr>
            <w:r>
              <w:t>Wie nah sind wir an dem Punkt, dass KoNa von den GÄ nicht mehr geleistet werden kann? Dann ist vermutlich mit einer deutlichen Inzidenzzunahme zu rechnen, ggf. wäre dann eine „Bremse“ sinnvoll</w:t>
            </w:r>
          </w:p>
          <w:p>
            <w:pPr>
              <w:pStyle w:val="Listenabsatz"/>
              <w:numPr>
                <w:ilvl w:val="1"/>
                <w:numId w:val="5"/>
              </w:numPr>
            </w:pPr>
            <w:r>
              <w:t xml:space="preserve">Überlastungsanzeigen kommen hauptsächlich aus Hessen, BaWü, SH, auch Berlin, ggf. werden aber auch durch unterschiedliche Wahrnehmung des Tools zur </w:t>
            </w:r>
            <w:proofErr w:type="spellStart"/>
            <w:r>
              <w:t>Überlastunsganzeige</w:t>
            </w:r>
            <w:proofErr w:type="spellEnd"/>
            <w:r>
              <w:t xml:space="preserve"> nur aus 4 Ländern Kapazitätsengpässe gemeldet, wahrscheinlich nicht repräsentativ</w:t>
            </w:r>
          </w:p>
          <w:p>
            <w:pPr>
              <w:pStyle w:val="Listenabsatz"/>
              <w:numPr>
                <w:ilvl w:val="1"/>
                <w:numId w:val="5"/>
              </w:numPr>
            </w:pPr>
            <w:r>
              <w:t xml:space="preserve">Mehr Fallzahlen können vermutlich nicht verkraftet werden, allerdings kann weiterhin priorisiert werden mit Fokus auf Cluster anstatt auf Einzelfälle </w:t>
            </w:r>
          </w:p>
          <w:p>
            <w:pPr>
              <w:pStyle w:val="Listenabsatz"/>
              <w:numPr>
                <w:ilvl w:val="1"/>
                <w:numId w:val="5"/>
              </w:numPr>
            </w:pPr>
            <w:proofErr w:type="spellStart"/>
            <w:r>
              <w:t>Sympt</w:t>
            </w:r>
            <w:proofErr w:type="spellEnd"/>
            <w:r>
              <w:t>. Erkrankte könnten ohne Testung für 5 Tage ca. zu Hause bleiben um System zu entlasten, ggf. Selbstisolation/Quarantäne durch Fälle bzw. KP selbst in Eigenregie</w:t>
            </w:r>
          </w:p>
          <w:p>
            <w:pPr>
              <w:pStyle w:val="Listenabsatz"/>
              <w:numPr>
                <w:ilvl w:val="1"/>
                <w:numId w:val="5"/>
              </w:numPr>
            </w:pPr>
            <w:r>
              <w:t>Verzug wird auf 10-14 Tage geschätzt bei aktuell exponentiellem Wachstum!!!</w:t>
            </w:r>
          </w:p>
          <w:p>
            <w:pPr>
              <w:pStyle w:val="Listenabsatz"/>
              <w:numPr>
                <w:ilvl w:val="1"/>
                <w:numId w:val="5"/>
              </w:numPr>
              <w:rPr>
                <w:rStyle w:val="style-chat-msg-3pazj"/>
              </w:rPr>
            </w:pPr>
            <w:r>
              <w:rPr>
                <w:rStyle w:val="style-chat-msg-3pazj"/>
              </w:rPr>
              <w:t xml:space="preserve">kommunikative Herausforderung, um Bremsen hier in Deutschland zu benutzen, da Maßnahmen bereits jetzt kontrovers diskutiert werden </w:t>
            </w:r>
          </w:p>
          <w:p>
            <w:pPr>
              <w:pStyle w:val="Listenabsatz"/>
              <w:ind w:left="1080"/>
            </w:pPr>
          </w:p>
          <w:p>
            <w:pPr>
              <w:pStyle w:val="Listenabsatz"/>
              <w:numPr>
                <w:ilvl w:val="0"/>
                <w:numId w:val="5"/>
              </w:numPr>
            </w:pPr>
            <w:r>
              <w:t>Ergänzung Strategie-Paper</w:t>
            </w:r>
          </w:p>
          <w:p>
            <w:pPr>
              <w:pStyle w:val="Listenabsatz"/>
              <w:numPr>
                <w:ilvl w:val="0"/>
                <w:numId w:val="15"/>
              </w:numPr>
              <w:rPr>
                <w:b/>
              </w:rPr>
            </w:pPr>
            <w:r>
              <w:rPr>
                <w:b/>
              </w:rPr>
              <w:t>RKI-intern</w:t>
            </w:r>
          </w:p>
          <w:p>
            <w:pPr>
              <w:pStyle w:val="Listenabsatz"/>
              <w:numPr>
                <w:ilvl w:val="0"/>
                <w:numId w:val="14"/>
              </w:numPr>
            </w:pPr>
            <w:r>
              <w:t>Rückmeldung BMG ausstehend</w:t>
            </w:r>
          </w:p>
          <w:p>
            <w:pPr>
              <w:pStyle w:val="Listenabsatz"/>
            </w:pPr>
          </w:p>
          <w:p>
            <w:pPr>
              <w:rPr>
                <w:i/>
              </w:rPr>
            </w:pPr>
            <w:r>
              <w:rPr>
                <w:i/>
              </w:rPr>
              <w:t>TODO: Rückfrage beim BMG am Montag (Leitung)</w:t>
            </w:r>
          </w:p>
        </w:tc>
        <w:tc>
          <w:tcPr>
            <w:tcW w:w="1809" w:type="dxa"/>
          </w:tcPr>
          <w:p/>
          <w:p/>
          <w:p>
            <w:r>
              <w:t>FG36 (Kai Schulze)</w:t>
            </w:r>
          </w:p>
          <w:p/>
          <w:p/>
          <w:p/>
          <w:p/>
          <w:p/>
          <w:p/>
          <w:p/>
          <w:p/>
          <w:p/>
          <w:p/>
          <w:p/>
          <w:p/>
          <w:p/>
          <w:p/>
          <w:p/>
          <w:p/>
          <w:p/>
          <w:p/>
          <w:p/>
          <w:p/>
          <w:p/>
          <w:p/>
          <w:p/>
          <w:p/>
          <w:p/>
          <w:p/>
          <w:p/>
          <w:p/>
          <w:p/>
          <w:p/>
          <w:p/>
          <w:p/>
          <w:p/>
          <w:p/>
          <w:p/>
          <w:p/>
          <w:p/>
          <w:p>
            <w:r>
              <w:t>alle</w:t>
            </w:r>
          </w:p>
          <w:p/>
          <w:p/>
          <w:p/>
          <w:p/>
          <w:p/>
          <w:p/>
          <w:p/>
          <w:p/>
          <w:p/>
          <w:p/>
          <w:p/>
          <w:p/>
          <w:p/>
          <w:p/>
          <w:p/>
          <w:p/>
          <w:p/>
          <w:p/>
          <w:p/>
          <w:p/>
          <w:p/>
          <w:p/>
          <w:p/>
          <w:p>
            <w:r>
              <w:t>FG36 (W. Haas)</w:t>
            </w:r>
          </w:p>
          <w:p/>
        </w:tc>
      </w:tr>
      <w:tr>
        <w:tc>
          <w:tcPr>
            <w:tcW w:w="684" w:type="dxa"/>
          </w:tcPr>
          <w:p>
            <w:r>
              <w:lastRenderedPageBreak/>
              <w:t>8</w:t>
            </w:r>
          </w:p>
        </w:tc>
        <w:tc>
          <w:tcPr>
            <w:tcW w:w="6408" w:type="dxa"/>
          </w:tcPr>
          <w:p>
            <w:pPr>
              <w:rPr>
                <w:b/>
              </w:rPr>
            </w:pPr>
            <w:r>
              <w:rPr>
                <w:b/>
              </w:rPr>
              <w:t xml:space="preserve">Dokumente </w:t>
            </w:r>
          </w:p>
          <w:p>
            <w:pPr>
              <w:pStyle w:val="Listenabsatz"/>
              <w:numPr>
                <w:ilvl w:val="0"/>
                <w:numId w:val="5"/>
              </w:numPr>
            </w:pPr>
            <w:r>
              <w:t xml:space="preserve">Stellungnahme zu FFP2-Masken in Allgemeinbevölkerung: </w:t>
            </w:r>
          </w:p>
          <w:p>
            <w:pPr>
              <w:pStyle w:val="Listenabsatz"/>
              <w:numPr>
                <w:ilvl w:val="1"/>
                <w:numId w:val="5"/>
              </w:numPr>
            </w:pPr>
            <w:r>
              <w:t>Anwendung von FFP2-Masken setzt Schulung voraus, da komplexer in der Anwendung als MNS, selbst mit Schulung viel Fehlanwendung u.a. bei med. Personal, Maske muss individuell angepasst werden</w:t>
            </w:r>
          </w:p>
          <w:p>
            <w:pPr>
              <w:pStyle w:val="Listenabsatz"/>
              <w:numPr>
                <w:ilvl w:val="1"/>
                <w:numId w:val="5"/>
              </w:numPr>
            </w:pPr>
            <w:r>
              <w:t>Solidarisches Prinzip (Stichwort Fremdschutz) entfällt, wenn Eigenschutz in Vordergrund rückt</w:t>
            </w:r>
          </w:p>
          <w:p>
            <w:pPr>
              <w:pStyle w:val="Listenabsatz"/>
              <w:numPr>
                <w:ilvl w:val="1"/>
                <w:numId w:val="5"/>
              </w:numPr>
            </w:pPr>
            <w:r>
              <w:t xml:space="preserve">Zudem werden GÄ Maßnahmen für Kontaktpersonen ggf. nicht mehr akzeptiert, </w:t>
            </w:r>
            <w:proofErr w:type="spellStart"/>
            <w:r>
              <w:t>Complianceproblem</w:t>
            </w:r>
            <w:proofErr w:type="spellEnd"/>
          </w:p>
          <w:p>
            <w:pPr>
              <w:pStyle w:val="Listenabsatz"/>
              <w:numPr>
                <w:ilvl w:val="1"/>
                <w:numId w:val="5"/>
              </w:numPr>
            </w:pPr>
            <w:r>
              <w:t>Kommunikationsproblem, da wir bisher FFP2-Masken nicht empfohlen haben</w:t>
            </w:r>
          </w:p>
          <w:p>
            <w:pPr>
              <w:pStyle w:val="Listenabsatz"/>
              <w:numPr>
                <w:ilvl w:val="1"/>
                <w:numId w:val="5"/>
              </w:numPr>
            </w:pPr>
            <w:r>
              <w:t xml:space="preserve">Atemwegswiderstand wird erhöht, ggf. ärztliche Rücksprache notwendig bei Grunderkrankungen, zudem auch hier </w:t>
            </w:r>
            <w:proofErr w:type="spellStart"/>
            <w:r>
              <w:t>Complianceproblem</w:t>
            </w:r>
            <w:proofErr w:type="spellEnd"/>
          </w:p>
          <w:p>
            <w:pPr>
              <w:pStyle w:val="Listenabsatz"/>
              <w:numPr>
                <w:ilvl w:val="1"/>
                <w:numId w:val="5"/>
              </w:numPr>
            </w:pPr>
            <w:r>
              <w:t>Keine weitere, zusätzliche Änderung der Maßnahmen gewünscht</w:t>
            </w:r>
          </w:p>
          <w:p>
            <w:pPr>
              <w:pStyle w:val="Listenabsatz"/>
              <w:numPr>
                <w:ilvl w:val="1"/>
                <w:numId w:val="5"/>
              </w:numPr>
            </w:pPr>
            <w:r>
              <w:t>Limitierte Ressourcen müssen weiterhin berücksichtigt werden</w:t>
            </w:r>
          </w:p>
          <w:p>
            <w:pPr>
              <w:pStyle w:val="Listenabsatz"/>
              <w:numPr>
                <w:ilvl w:val="1"/>
                <w:numId w:val="5"/>
              </w:numPr>
            </w:pPr>
            <w:r>
              <w:t>Übertragungen finden aktuell da statt, wo MNS/MNB nicht getragen werden, FFP2 kann das nicht verhindern</w:t>
            </w:r>
          </w:p>
          <w:p>
            <w:pPr>
              <w:pStyle w:val="Listenabsatz"/>
              <w:numPr>
                <w:ilvl w:val="1"/>
                <w:numId w:val="5"/>
              </w:numPr>
            </w:pPr>
            <w:r>
              <w:t>Schaden von FFP2-Masken überwiegt ggf. Nutzen</w:t>
            </w:r>
          </w:p>
          <w:p>
            <w:pPr>
              <w:pStyle w:val="Listenabsatz"/>
              <w:numPr>
                <w:ilvl w:val="1"/>
                <w:numId w:val="5"/>
              </w:numPr>
            </w:pPr>
            <w:r>
              <w:t>Wie sollen wir mit Veranstaltungen, die aufgrund von Austeilen von FFP2-Masken ohne anderes Hygienekonzept von GÄ genehmigt werden, umgehen? Sollte man differenziert von allgemeinen Empfehlungen für die Allgemeinbevölkerung betrachten</w:t>
            </w:r>
          </w:p>
          <w:p>
            <w:pPr>
              <w:pStyle w:val="Listenabsatz"/>
              <w:numPr>
                <w:ilvl w:val="1"/>
                <w:numId w:val="5"/>
              </w:numPr>
            </w:pPr>
            <w:r>
              <w:t>Der Bevölkerung sollte kommuniziert werden, welche Probleme/Schäden durch das Tragen von FFP2-Masken entstehen.</w:t>
            </w:r>
          </w:p>
          <w:p>
            <w:pPr>
              <w:pStyle w:val="Listenabsatz"/>
              <w:ind w:left="1080"/>
            </w:pPr>
          </w:p>
          <w:p>
            <w:pPr>
              <w:rPr>
                <w:i/>
              </w:rPr>
            </w:pPr>
            <w:r>
              <w:rPr>
                <w:i/>
              </w:rPr>
              <w:t xml:space="preserve">TODO: FG14 bereitet Stellungnahme hinsichtlich FFP2-Masken für die Bevölkerung vor; ggf. </w:t>
            </w:r>
            <w:proofErr w:type="spellStart"/>
            <w:r>
              <w:rPr>
                <w:i/>
              </w:rPr>
              <w:t>Abstimmugn</w:t>
            </w:r>
            <w:proofErr w:type="spellEnd"/>
            <w:r>
              <w:rPr>
                <w:i/>
              </w:rPr>
              <w:t xml:space="preserve"> BZgA, BMAS/ABAS und BfArM </w:t>
            </w:r>
            <w:r>
              <w:rPr>
                <w:color w:val="4F81BD" w:themeColor="accent1"/>
              </w:rPr>
              <w:t>[ID 2063]</w:t>
            </w:r>
          </w:p>
        </w:tc>
        <w:tc>
          <w:tcPr>
            <w:tcW w:w="1809" w:type="dxa"/>
          </w:tcPr>
          <w:p/>
          <w:p>
            <w:r>
              <w:t>alle</w:t>
            </w:r>
          </w:p>
          <w:p/>
        </w:tc>
      </w:tr>
      <w:tr>
        <w:tc>
          <w:tcPr>
            <w:tcW w:w="684" w:type="dxa"/>
          </w:tcPr>
          <w:p>
            <w:r>
              <w:t>9</w:t>
            </w:r>
          </w:p>
        </w:tc>
        <w:tc>
          <w:tcPr>
            <w:tcW w:w="6408" w:type="dxa"/>
          </w:tcPr>
          <w:p>
            <w:pPr>
              <w:rPr>
                <w:b/>
                <w:color w:val="FF0000"/>
              </w:rPr>
            </w:pPr>
            <w:r>
              <w:rPr>
                <w:b/>
              </w:rPr>
              <w:t xml:space="preserve">Update Impfen </w:t>
            </w:r>
            <w:r>
              <w:rPr>
                <w:b/>
                <w:color w:val="FF0000"/>
              </w:rPr>
              <w:t>(nur freitags)</w:t>
            </w:r>
          </w:p>
          <w:p>
            <w:pPr>
              <w:pStyle w:val="Listenabsatz"/>
              <w:numPr>
                <w:ilvl w:val="0"/>
                <w:numId w:val="12"/>
              </w:numPr>
            </w:pPr>
            <w:r>
              <w:t>entfällt</w:t>
            </w:r>
          </w:p>
        </w:tc>
        <w:tc>
          <w:tcPr>
            <w:tcW w:w="1809" w:type="dxa"/>
          </w:tcPr>
          <w:p>
            <w:r>
              <w:t>FG33</w:t>
            </w:r>
          </w:p>
        </w:tc>
      </w:tr>
      <w:tr>
        <w:tc>
          <w:tcPr>
            <w:tcW w:w="684" w:type="dxa"/>
          </w:tcPr>
          <w:p>
            <w:r>
              <w:lastRenderedPageBreak/>
              <w:t>10</w:t>
            </w:r>
          </w:p>
        </w:tc>
        <w:tc>
          <w:tcPr>
            <w:tcW w:w="6408" w:type="dxa"/>
          </w:tcPr>
          <w:p>
            <w:pPr>
              <w:rPr>
                <w:b/>
              </w:rPr>
            </w:pPr>
            <w:r>
              <w:rPr>
                <w:b/>
              </w:rPr>
              <w:t>Labordiagnostik</w:t>
            </w:r>
          </w:p>
          <w:p>
            <w:pPr>
              <w:pStyle w:val="Listenabsatz"/>
              <w:numPr>
                <w:ilvl w:val="0"/>
                <w:numId w:val="5"/>
              </w:numPr>
            </w:pPr>
            <w:r>
              <w:t xml:space="preserve">Auf BfArM Internetseite ist Liste für Ag-Tests, die </w:t>
            </w:r>
            <w:proofErr w:type="spellStart"/>
            <w:r>
              <w:t>Voraussetztungen</w:t>
            </w:r>
            <w:proofErr w:type="spellEnd"/>
            <w:r>
              <w:t xml:space="preserve"> von PEI/RKI erfüllen, eine Teilmenge wurde unabhängig von einer </w:t>
            </w:r>
            <w:proofErr w:type="spellStart"/>
            <w:r>
              <w:t>Untergurppe</w:t>
            </w:r>
            <w:proofErr w:type="spellEnd"/>
            <w:r>
              <w:t xml:space="preserve"> der AG Testen validiert, KBV und ALM haben kommentiert. </w:t>
            </w:r>
          </w:p>
          <w:p>
            <w:pPr>
              <w:pStyle w:val="Listenabsatz"/>
              <w:numPr>
                <w:ilvl w:val="1"/>
                <w:numId w:val="5"/>
              </w:numPr>
            </w:pPr>
            <w:r>
              <w:t>Für Heime liegt bereits eine Empfehlung zum Testen mit Ag-Tests vor. Die nationale Teststrategie wurde entsprechend ergänzt.</w:t>
            </w:r>
          </w:p>
          <w:p>
            <w:pPr>
              <w:pStyle w:val="Listenabsatz"/>
              <w:numPr>
                <w:ilvl w:val="0"/>
                <w:numId w:val="5"/>
              </w:numPr>
            </w:pPr>
            <w:r>
              <w:t>Diese Woche weniger Proben als letzte Woche (ggf. durch Priorisierung durch GÄ), 18% positive unter den Einsendungen (ggf. durch Priorisierung?), CO-MO Studie: 9% positiv, Proben von gestern und heute ausstehend</w:t>
            </w:r>
          </w:p>
        </w:tc>
        <w:tc>
          <w:tcPr>
            <w:tcW w:w="1809" w:type="dxa"/>
          </w:tcPr>
          <w:p/>
          <w:p>
            <w:r>
              <w:t>Abt. 1 (M. Mielke)</w:t>
            </w:r>
          </w:p>
          <w:p/>
          <w:p/>
          <w:p/>
          <w:p/>
          <w:p/>
          <w:p>
            <w:r>
              <w:t>ZBS1</w:t>
            </w:r>
          </w:p>
          <w:p>
            <w:r>
              <w:t>(J. Michel)</w:t>
            </w:r>
          </w:p>
        </w:tc>
      </w:tr>
      <w:tr>
        <w:tc>
          <w:tcPr>
            <w:tcW w:w="684" w:type="dxa"/>
          </w:tcPr>
          <w:p>
            <w:r>
              <w:t>11</w:t>
            </w:r>
          </w:p>
        </w:tc>
        <w:tc>
          <w:tcPr>
            <w:tcW w:w="6408" w:type="dxa"/>
          </w:tcPr>
          <w:p>
            <w:pPr>
              <w:rPr>
                <w:b/>
              </w:rPr>
            </w:pPr>
            <w:r>
              <w:rPr>
                <w:b/>
              </w:rPr>
              <w:t>Klinisches Management/Entlassungsmanagement</w:t>
            </w:r>
          </w:p>
          <w:p>
            <w:pPr>
              <w:pStyle w:val="Listenabsatz"/>
              <w:numPr>
                <w:ilvl w:val="0"/>
                <w:numId w:val="5"/>
              </w:numPr>
            </w:pPr>
            <w:r>
              <w:t>Übernahme von europäischen Patienten in deutsche Krankenhäuser bisher nicht im abgestimmten Verfahren erfolgt; Verfahren soll etabliert werden:</w:t>
            </w:r>
          </w:p>
          <w:p>
            <w:pPr>
              <w:pStyle w:val="Listenabsatz"/>
              <w:numPr>
                <w:ilvl w:val="1"/>
                <w:numId w:val="5"/>
              </w:numPr>
            </w:pPr>
            <w:r>
              <w:t>Normalerweise kommt Anfrage über EWRS, Rücksprache mit BMG: GMLZ schreibt Bundesländer an, um Bettenkapazität zurückzumelden, RKI (noch zu klären, ob Rufdienst, Lagezentrum oder IBBS) führt auf Bitte von GMLZ/BMG die Antworten der Bundesländer zusammen und koordiniert den Austausch zwischen den Ländern, bei &lt;5 Patienten läuft das Prozedere wie gehabt über STAKOB</w:t>
            </w:r>
          </w:p>
          <w:p>
            <w:pPr>
              <w:pStyle w:val="Listenabsatz"/>
              <w:ind w:left="360"/>
            </w:pPr>
          </w:p>
          <w:p>
            <w:pPr>
              <w:rPr>
                <w:i/>
              </w:rPr>
            </w:pPr>
            <w:r>
              <w:rPr>
                <w:i/>
              </w:rPr>
              <w:t>TODO: C. Herzog verschickt SOP zu Abstimmungsprozessen</w:t>
            </w:r>
          </w:p>
        </w:tc>
        <w:tc>
          <w:tcPr>
            <w:tcW w:w="1809" w:type="dxa"/>
          </w:tcPr>
          <w:p>
            <w:r>
              <w:t>IBBS (C. Herzog)</w:t>
            </w:r>
          </w:p>
        </w:tc>
      </w:tr>
      <w:tr>
        <w:tc>
          <w:tcPr>
            <w:tcW w:w="684" w:type="dxa"/>
          </w:tcPr>
          <w:p>
            <w:r>
              <w:t>12</w:t>
            </w:r>
          </w:p>
        </w:tc>
        <w:tc>
          <w:tcPr>
            <w:tcW w:w="6408" w:type="dxa"/>
          </w:tcPr>
          <w:p>
            <w:pPr>
              <w:rPr>
                <w:b/>
              </w:rPr>
            </w:pPr>
            <w:r>
              <w:rPr>
                <w:b/>
              </w:rPr>
              <w:t>Maßnahmen zum Infektionsschutz</w:t>
            </w:r>
          </w:p>
          <w:p>
            <w:pPr>
              <w:pStyle w:val="Listenabsatz"/>
              <w:numPr>
                <w:ilvl w:val="0"/>
                <w:numId w:val="5"/>
              </w:numPr>
            </w:pPr>
            <w:r>
              <w:t>entfällt</w:t>
            </w:r>
          </w:p>
        </w:tc>
        <w:tc>
          <w:tcPr>
            <w:tcW w:w="1809" w:type="dxa"/>
          </w:tcPr>
          <w:p/>
          <w:p/>
        </w:tc>
      </w:tr>
      <w:tr>
        <w:tc>
          <w:tcPr>
            <w:tcW w:w="684" w:type="dxa"/>
          </w:tcPr>
          <w:p>
            <w:r>
              <w:t>13</w:t>
            </w:r>
          </w:p>
        </w:tc>
        <w:tc>
          <w:tcPr>
            <w:tcW w:w="6408" w:type="dxa"/>
          </w:tcPr>
          <w:p>
            <w:pPr>
              <w:rPr>
                <w:b/>
              </w:rPr>
            </w:pPr>
            <w:r>
              <w:rPr>
                <w:b/>
              </w:rPr>
              <w:t>Surveillance</w:t>
            </w:r>
          </w:p>
          <w:p>
            <w:pPr>
              <w:pStyle w:val="Listenabsatz"/>
              <w:numPr>
                <w:ilvl w:val="0"/>
                <w:numId w:val="5"/>
              </w:numPr>
            </w:pPr>
            <w:r>
              <w:t>Vorstellung „</w:t>
            </w:r>
            <w:proofErr w:type="spellStart"/>
            <w:r>
              <w:t>KeInzidenzschätzer</w:t>
            </w:r>
            <w:proofErr w:type="spellEnd"/>
            <w:r>
              <w:t xml:space="preserve"> basierend auf SARS-CoV-2 Genetik „ (Folien </w:t>
            </w:r>
            <w:hyperlink r:id="rId13" w:history="1">
              <w:r>
                <w:rPr>
                  <w:rStyle w:val="Hyperlink"/>
                </w:rPr>
                <w:t>hier</w:t>
              </w:r>
            </w:hyperlink>
            <w:r>
              <w:t>)</w:t>
            </w:r>
          </w:p>
          <w:p>
            <w:pPr>
              <w:pStyle w:val="Listenabsatz"/>
              <w:numPr>
                <w:ilvl w:val="1"/>
                <w:numId w:val="5"/>
              </w:numPr>
            </w:pPr>
            <w:r>
              <w:t xml:space="preserve">Inzidenzhistorie wird </w:t>
            </w:r>
            <w:proofErr w:type="spellStart"/>
            <w:r>
              <w:t>statischtisch</w:t>
            </w:r>
            <w:proofErr w:type="spellEnd"/>
            <w:r>
              <w:t xml:space="preserve"> auf der Basis von Veränderungen von Genomsequenzen geschätzt und anstatt mit Meldedaten dargestellt</w:t>
            </w:r>
          </w:p>
          <w:p>
            <w:pPr>
              <w:pStyle w:val="Listenabsatz"/>
              <w:numPr>
                <w:ilvl w:val="1"/>
                <w:numId w:val="5"/>
              </w:numPr>
            </w:pPr>
            <w:r>
              <w:t xml:space="preserve">Zusätzliches Tool, um zu Evaluieren, welche Maßnahmen welchen Effekt haben, Tool kann zudem Meldeverzug abschätzen und helfen, retrospektiv </w:t>
            </w:r>
            <w:proofErr w:type="spellStart"/>
            <w:r>
              <w:t>epidem</w:t>
            </w:r>
            <w:proofErr w:type="spellEnd"/>
            <w:r>
              <w:t>. Geschehen zu interpretieren</w:t>
            </w:r>
          </w:p>
          <w:p>
            <w:pPr>
              <w:pStyle w:val="Listenabsatz"/>
              <w:numPr>
                <w:ilvl w:val="1"/>
                <w:numId w:val="5"/>
              </w:numPr>
            </w:pPr>
            <w:r>
              <w:t>Für Deutschland nicht so gut darstellbar wie für andere Länder, da wenig Genomsequenzen vorhanden, aber aktuell exponentielles Wachstum ersichtlich!!!!</w:t>
            </w:r>
          </w:p>
          <w:p>
            <w:pPr>
              <w:pStyle w:val="Listenabsatz"/>
              <w:numPr>
                <w:ilvl w:val="1"/>
                <w:numId w:val="5"/>
              </w:numPr>
            </w:pPr>
            <w:r>
              <w:t xml:space="preserve">Inwieweit spielen importiere Fälle in Deutschland eine Rolle, da ja </w:t>
            </w:r>
            <w:proofErr w:type="spellStart"/>
            <w:r>
              <w:t>Ansteig</w:t>
            </w:r>
            <w:proofErr w:type="spellEnd"/>
            <w:r>
              <w:t xml:space="preserve"> gemäß der Methode bereits im Juli zu sehen ist? Methode ist stabil gegenüber Einführung von Sequenzen nach </w:t>
            </w:r>
            <w:r>
              <w:lastRenderedPageBreak/>
              <w:t xml:space="preserve">D. </w:t>
            </w:r>
          </w:p>
          <w:p>
            <w:pPr>
              <w:pStyle w:val="Listenabsatz"/>
              <w:numPr>
                <w:ilvl w:val="1"/>
                <w:numId w:val="5"/>
              </w:numPr>
            </w:pPr>
            <w:r>
              <w:t>Alternativ ist Positivquote in definierten Populationen (z.B. unter HCW oder Patienten) auch ein sehr zeitnahes Instrument, um Geschehen zu beurteilen</w:t>
            </w:r>
          </w:p>
          <w:p>
            <w:pPr>
              <w:pStyle w:val="Listenabsatz"/>
              <w:numPr>
                <w:ilvl w:val="1"/>
                <w:numId w:val="5"/>
              </w:numPr>
            </w:pPr>
            <w:r>
              <w:t xml:space="preserve">Aktuell ist Sequenzierung zu langsam, um in Echtzeit Daten zu generieren (ca. 4 Wochen Verzug). Aktuell eher für retrospektive Interpretation der Fallzahlen hilfreich. Zudem aber auch für prospektive Fallschätzung. </w:t>
            </w:r>
          </w:p>
          <w:p>
            <w:pPr>
              <w:pStyle w:val="Listenabsatz"/>
            </w:pPr>
          </w:p>
          <w:p>
            <w:pPr>
              <w:rPr>
                <w:i/>
              </w:rPr>
            </w:pPr>
            <w:r>
              <w:rPr>
                <w:i/>
              </w:rPr>
              <w:t>TODO: FG32 wird bei Manuskript hinsichtlich der Limitationen der Meldedaten fachlichen Beitrag leisten (MF5/P5 &amp; FG32)</w:t>
            </w:r>
          </w:p>
          <w:p/>
          <w:p>
            <w:pPr>
              <w:pStyle w:val="Listenabsatz"/>
              <w:numPr>
                <w:ilvl w:val="0"/>
                <w:numId w:val="26"/>
              </w:numPr>
            </w:pPr>
            <w:r>
              <w:t xml:space="preserve">Das BMG hat ggf. vor, die Meldepflicht von Ag-Nachweis und negativem Laborbefunde zu streichen. Dies wurde erst im Frühjahr eingeführt. Die technischen Möglichkeiten hierfür bestehen inzwischen. U.a. für die Meldepflicht an das ECDC werden die Daten benötigt, auch für </w:t>
            </w:r>
            <w:proofErr w:type="spellStart"/>
            <w:r>
              <w:t>Positivenquote</w:t>
            </w:r>
            <w:proofErr w:type="spellEnd"/>
            <w:r>
              <w:t xml:space="preserve">. </w:t>
            </w:r>
          </w:p>
          <w:p>
            <w:pPr>
              <w:pStyle w:val="Listenabsatz"/>
              <w:ind w:left="360"/>
            </w:pPr>
          </w:p>
          <w:p>
            <w:pPr>
              <w:rPr>
                <w:i/>
              </w:rPr>
            </w:pPr>
            <w:r>
              <w:rPr>
                <w:i/>
              </w:rPr>
              <w:t>TODO: RKI wird sich diesbezüglich positionieren und die Wichtigkeit der Beibehaltung unterstreichen (FG32)</w:t>
            </w:r>
          </w:p>
        </w:tc>
        <w:tc>
          <w:tcPr>
            <w:tcW w:w="1809" w:type="dxa"/>
          </w:tcPr>
          <w:p/>
          <w:p>
            <w:r>
              <w:t>MF5/P5</w:t>
            </w:r>
          </w:p>
          <w:p>
            <w:r>
              <w:t>(Max von Kleist)</w:t>
            </w:r>
          </w:p>
          <w:p/>
          <w:p/>
          <w:p/>
          <w:p/>
          <w:p/>
          <w:p/>
          <w:p/>
          <w:p/>
          <w:p/>
          <w:p/>
          <w:p/>
          <w:p/>
          <w:p/>
          <w:p/>
          <w:p/>
          <w:p/>
          <w:p/>
          <w:p/>
          <w:p/>
          <w:p/>
          <w:p/>
          <w:p/>
          <w:p/>
          <w:p/>
          <w:p/>
          <w:p/>
          <w:p/>
          <w:p/>
          <w:p/>
          <w:p>
            <w:r>
              <w:t xml:space="preserve">FG32 (M. Diercke) </w:t>
            </w:r>
          </w:p>
        </w:tc>
      </w:tr>
      <w:tr>
        <w:tc>
          <w:tcPr>
            <w:tcW w:w="684" w:type="dxa"/>
          </w:tcPr>
          <w:p>
            <w:r>
              <w:lastRenderedPageBreak/>
              <w:t>14</w:t>
            </w:r>
          </w:p>
        </w:tc>
        <w:tc>
          <w:tcPr>
            <w:tcW w:w="6408" w:type="dxa"/>
          </w:tcPr>
          <w:p>
            <w:pPr>
              <w:rPr>
                <w:b/>
              </w:rPr>
            </w:pPr>
            <w:r>
              <w:rPr>
                <w:b/>
              </w:rPr>
              <w:t xml:space="preserve">Transport und Grenzübergangsstellen </w:t>
            </w:r>
            <w:r>
              <w:rPr>
                <w:b/>
                <w:color w:val="FF0000"/>
              </w:rPr>
              <w:t>(nur freitags)</w:t>
            </w:r>
          </w:p>
          <w:p>
            <w:pPr>
              <w:pStyle w:val="Listenabsatz"/>
              <w:numPr>
                <w:ilvl w:val="0"/>
                <w:numId w:val="5"/>
              </w:numPr>
            </w:pPr>
            <w:r>
              <w:t>Ab 20.10. ist Flug-KoNa ausgesetzt</w:t>
            </w:r>
          </w:p>
        </w:tc>
        <w:tc>
          <w:tcPr>
            <w:tcW w:w="1809" w:type="dxa"/>
          </w:tcPr>
          <w:p>
            <w:r>
              <w:t>FG38 (U. Grote)</w:t>
            </w:r>
          </w:p>
        </w:tc>
      </w:tr>
      <w:tr>
        <w:tc>
          <w:tcPr>
            <w:tcW w:w="684" w:type="dxa"/>
          </w:tcPr>
          <w:p>
            <w:r>
              <w:t>15</w:t>
            </w:r>
          </w:p>
        </w:tc>
        <w:tc>
          <w:tcPr>
            <w:tcW w:w="6408" w:type="dxa"/>
          </w:tcPr>
          <w:p>
            <w:pPr>
              <w:rPr>
                <w:b/>
              </w:rPr>
            </w:pPr>
            <w:r>
              <w:rPr>
                <w:b/>
              </w:rPr>
              <w:t xml:space="preserve">Information aus dem Lagezentrum </w:t>
            </w:r>
            <w:r>
              <w:rPr>
                <w:b/>
                <w:color w:val="FF0000"/>
              </w:rPr>
              <w:t>(nur freitags)</w:t>
            </w:r>
          </w:p>
          <w:p>
            <w:pPr>
              <w:pStyle w:val="Listenabsatz"/>
              <w:numPr>
                <w:ilvl w:val="0"/>
                <w:numId w:val="5"/>
              </w:numPr>
            </w:pPr>
            <w:r>
              <w:t>45 neue Mitarbeiter aus verschiedenen Abteilungen, Schulungen finden kommende Woche statt, zusätzlich 1 MA von Bundeswehr sowie 2 vom BBK, Position Aufgaben wird samstags ausgesetzt</w:t>
            </w:r>
          </w:p>
        </w:tc>
        <w:tc>
          <w:tcPr>
            <w:tcW w:w="1809" w:type="dxa"/>
          </w:tcPr>
          <w:p>
            <w:r>
              <w:t>FG38 (U. Grote)</w:t>
            </w:r>
          </w:p>
        </w:tc>
      </w:tr>
      <w:tr>
        <w:tc>
          <w:tcPr>
            <w:tcW w:w="684" w:type="dxa"/>
          </w:tcPr>
          <w:p>
            <w:r>
              <w:t>16</w:t>
            </w:r>
          </w:p>
        </w:tc>
        <w:tc>
          <w:tcPr>
            <w:tcW w:w="6408" w:type="dxa"/>
          </w:tcPr>
          <w:p>
            <w:pPr>
              <w:rPr>
                <w:b/>
              </w:rPr>
            </w:pPr>
            <w:r>
              <w:rPr>
                <w:b/>
              </w:rPr>
              <w:t>Wichtige Termine</w:t>
            </w:r>
          </w:p>
          <w:p>
            <w:pPr>
              <w:rPr>
                <w:b/>
              </w:rPr>
            </w:pPr>
          </w:p>
        </w:tc>
        <w:tc>
          <w:tcPr>
            <w:tcW w:w="1809" w:type="dxa"/>
          </w:tcPr>
          <w:p/>
        </w:tc>
      </w:tr>
      <w:tr>
        <w:tc>
          <w:tcPr>
            <w:tcW w:w="684" w:type="dxa"/>
          </w:tcPr>
          <w:p>
            <w:r>
              <w:t>17</w:t>
            </w:r>
          </w:p>
        </w:tc>
        <w:tc>
          <w:tcPr>
            <w:tcW w:w="6408" w:type="dxa"/>
          </w:tcPr>
          <w:p>
            <w:pPr>
              <w:rPr>
                <w:b/>
              </w:rPr>
            </w:pPr>
            <w:r>
              <w:rPr>
                <w:b/>
              </w:rPr>
              <w:t>Andere Themen</w:t>
            </w:r>
          </w:p>
          <w:p>
            <w:pPr>
              <w:pStyle w:val="Listenabsatz"/>
              <w:numPr>
                <w:ilvl w:val="0"/>
                <w:numId w:val="5"/>
              </w:numPr>
              <w:rPr>
                <w:b/>
              </w:rPr>
            </w:pPr>
            <w:r>
              <w:t>Nächste Sitzung: Montag 26.10.2020; 13:00Uhr</w:t>
            </w:r>
          </w:p>
          <w:p>
            <w:pPr>
              <w:pStyle w:val="Listenabsatz"/>
              <w:rPr>
                <w:b/>
              </w:rPr>
            </w:pPr>
          </w:p>
        </w:tc>
        <w:tc>
          <w:tcPr>
            <w:tcW w:w="1809" w:type="dxa"/>
          </w:tcPr>
          <w:p/>
        </w:tc>
      </w:tr>
    </w:tbl>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rPr>
      <w:tab/>
    </w:r>
    <w:r>
      <w:rPr>
        <w:rFonts w:ascii="Arial" w:hAnsi="Arial" w:cs="Arial"/>
        <w:i/>
        <w:color w:val="A6A6A6" w:themeColor="background1" w:themeShade="A6"/>
        <w:sz w:val="20"/>
        <w:szCs w:val="22"/>
      </w:rPr>
      <w:t>VS – NUR FÜR DEN DIENSTGEBRAUCH</w:t>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123AB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161071"/>
    <w:multiLevelType w:val="hybridMultilevel"/>
    <w:tmpl w:val="F02211C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5F21567"/>
    <w:multiLevelType w:val="hybridMultilevel"/>
    <w:tmpl w:val="E52A32A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5A367D"/>
    <w:multiLevelType w:val="hybridMultilevel"/>
    <w:tmpl w:val="384E5C5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BE4B95"/>
    <w:multiLevelType w:val="hybridMultilevel"/>
    <w:tmpl w:val="C07CDC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07176"/>
    <w:multiLevelType w:val="hybridMultilevel"/>
    <w:tmpl w:val="E4AE70B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76BC68A2"/>
    <w:multiLevelType w:val="hybridMultilevel"/>
    <w:tmpl w:val="DAEAC0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B106FD4"/>
    <w:multiLevelType w:val="hybridMultilevel"/>
    <w:tmpl w:val="3F945FC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22"/>
  </w:num>
  <w:num w:numId="3">
    <w:abstractNumId w:val="21"/>
  </w:num>
  <w:num w:numId="4">
    <w:abstractNumId w:val="8"/>
  </w:num>
  <w:num w:numId="5">
    <w:abstractNumId w:val="11"/>
  </w:num>
  <w:num w:numId="6">
    <w:abstractNumId w:val="3"/>
  </w:num>
  <w:num w:numId="7">
    <w:abstractNumId w:val="15"/>
  </w:num>
  <w:num w:numId="8">
    <w:abstractNumId w:val="7"/>
  </w:num>
  <w:num w:numId="9">
    <w:abstractNumId w:val="14"/>
  </w:num>
  <w:num w:numId="10">
    <w:abstractNumId w:val="16"/>
  </w:num>
  <w:num w:numId="11">
    <w:abstractNumId w:val="23"/>
  </w:num>
  <w:num w:numId="12">
    <w:abstractNumId w:val="20"/>
  </w:num>
  <w:num w:numId="13">
    <w:abstractNumId w:val="4"/>
  </w:num>
  <w:num w:numId="14">
    <w:abstractNumId w:val="18"/>
  </w:num>
  <w:num w:numId="15">
    <w:abstractNumId w:val="6"/>
  </w:num>
  <w:num w:numId="16">
    <w:abstractNumId w:val="12"/>
  </w:num>
  <w:num w:numId="17">
    <w:abstractNumId w:val="1"/>
  </w:num>
  <w:num w:numId="18">
    <w:abstractNumId w:val="0"/>
  </w:num>
  <w:num w:numId="19">
    <w:abstractNumId w:val="13"/>
  </w:num>
  <w:num w:numId="20">
    <w:abstractNumId w:val="5"/>
  </w:num>
  <w:num w:numId="21">
    <w:abstractNumId w:val="10"/>
  </w:num>
  <w:num w:numId="22">
    <w:abstractNumId w:val="17"/>
  </w:num>
  <w:num w:numId="23">
    <w:abstractNumId w:val="9"/>
  </w:num>
  <w:num w:numId="24">
    <w:abstractNumId w:val="25"/>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D51B4DEB-5267-47A2-A3C8-C103E579A423}"/>
    <w:docVar w:name="dgnword-eventsink" w:val="1498016"/>
  </w:docVar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426F9-8B1F-4068-BC13-A4B323DA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paragraph" w:styleId="NurText">
    <w:name w:val="Plain Text"/>
    <w:basedOn w:val="Standard"/>
    <w:link w:val="NurTextZchn"/>
    <w:uiPriority w:val="99"/>
    <w:semiHidden/>
    <w:unhideWhenUsed/>
    <w:pPr>
      <w:spacing w:after="0"/>
    </w:pPr>
    <w:rPr>
      <w:rFonts w:ascii="Calibri" w:hAnsi="Calibri"/>
      <w:sz w:val="22"/>
      <w:szCs w:val="21"/>
    </w:rPr>
  </w:style>
  <w:style w:type="character" w:customStyle="1" w:styleId="NurTextZchn">
    <w:name w:val="Nur Text Zchn"/>
    <w:basedOn w:val="Absatz-Standardschriftart"/>
    <w:link w:val="NurText"/>
    <w:uiPriority w:val="99"/>
    <w:semiHidden/>
    <w:rPr>
      <w:rFonts w:ascii="Calibri" w:hAnsi="Calibri"/>
      <w:sz w:val="22"/>
      <w:szCs w:val="21"/>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customStyle="1" w:styleId="style-chat-msg-3pazj">
    <w:name w:val="style-chat-msg-3pazj"/>
    <w:basedOn w:val="Absatz-Standardschriftart"/>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395859648">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738553641">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10-23_Lage-AG\Lage-National_2020-10-23.pptx" TargetMode="External"/><Relationship Id="rId13" Type="http://schemas.openxmlformats.org/officeDocument/2006/relationships/hyperlink" Target="file:///S:\Wissdaten\RKI_nCoV-Lage\1.Lagemanagement\1.3.Besprechungen_TKs\1.Lage_AG\2020-10-23_Lage-AG\Incidence_VonKleist_small_20Oct.ppt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file:///\\rki.local\daten\Wissdaten\RKI_nCoV-Lage\1.Lagemanagement\1.3.Besprechungen_TKs\1.Lage_AG\2020-10-23_Lage-AG\COVID-19_Internationale_Lage_2020-10-23.pptx" TargetMode="External"/><Relationship Id="rId12" Type="http://schemas.openxmlformats.org/officeDocument/2006/relationships/hyperlink" Target="Krisenstab_2310-circuit%20breaks_fin.ppt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Wissdaten\RKI_nCoV-Lage\1.Lagemanagement\1.3.Besprechungen_TKs\1.Lage_AG\2020-10-23_Lage-AG\2020.10.13.20211813v1.full-2.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file:///S:\Wissdaten\RKI_nCoV-Lage\1.Lagemanagement\1.3.Besprechungen_TKs\1.Lage_AG\2020-10-23_Lage-AG\Lage-National_2020-10-23.ppt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S:\Wissdaten\RKI_nCoV-Lage\1.Lagemanagement\1.3.Besprechungen_TKs\1.Lage_AG\2020-10-23_Lage-AG\Lage-National_2020-10-23.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B7E8BAFD-3910-4358-8CF7-DB554159E866}"/>
      </w:docPartPr>
      <w:docPartBody>
        <w:p>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2455</Words>
  <Characters>15473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Grote, Ulrike</dc:creator>
  <cp:keywords/>
  <cp:lastModifiedBy>Grote, Ulrike</cp:lastModifiedBy>
  <cp:revision>10</cp:revision>
  <cp:lastPrinted>2020-03-13T12:00:00Z</cp:lastPrinted>
  <dcterms:created xsi:type="dcterms:W3CDTF">2020-10-23T14:01:00Z</dcterms:created>
  <dcterms:modified xsi:type="dcterms:W3CDTF">2021-05-06T13:24:00Z</dcterms:modified>
</cp:coreProperties>
</file>