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28.10.2020, 11-13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sdt>
            <w:sdtPr>
              <w:rPr>
                <w:sz w:val="22"/>
              </w:rPr>
              <w:id w:val="1811592494"/>
              <w:placeholder>
                <w:docPart w:val="C308A5E6C8EE4781BFAF38CFC5C43ABC"/>
              </w:placeholder>
            </w:sdtPr>
            <w:sdtContent>
              <w:proofErr w:type="spellStart"/>
              <w:r>
                <w:rPr>
                  <w:sz w:val="22"/>
                </w:rPr>
                <w:t>Webexkonferenz</w:t>
              </w:r>
              <w:proofErr w:type="spellEnd"/>
            </w:sdtContent>
          </w:sdt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 Lars Schaade</w:t>
      </w:r>
    </w:p>
    <w:p>
      <w:pPr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rPr>
          <w:sz w:val="22"/>
        </w:rPr>
      </w:pPr>
      <w:r>
        <w:rPr>
          <w:sz w:val="22"/>
        </w:rPr>
        <w:t>Dürrwald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Abt. 1 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Abt. 3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 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Johanna Hanefeld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FG12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Annette Mankertz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Ralf Dürrwald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FG24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Thomas Ziese</w:t>
      </w:r>
    </w:p>
    <w:p>
      <w:pPr>
        <w:pStyle w:val="Listenabsatz"/>
        <w:numPr>
          <w:ilvl w:val="0"/>
          <w:numId w:val="5"/>
        </w:numPr>
        <w:spacing w:after="0"/>
        <w:contextualSpacing w:val="0"/>
        <w:rPr>
          <w:sz w:val="22"/>
        </w:rPr>
      </w:pPr>
      <w:r>
        <w:rPr>
          <w:sz w:val="22"/>
        </w:rPr>
        <w:t>FG32/38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FG33/ZIG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Luisa Denkel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Stefan Kröger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Claudia Schulz-Weidhaas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lastRenderedPageBreak/>
        <w:t>Presse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Susanne Glasmacher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lang w:val="en-US"/>
        </w:rPr>
      </w:pPr>
      <w:r>
        <w:rPr>
          <w:sz w:val="22"/>
          <w:lang w:val="en-US"/>
        </w:rPr>
        <w:t>P1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lang w:val="en-US"/>
        </w:rPr>
      </w:pPr>
      <w:r>
        <w:rPr>
          <w:sz w:val="22"/>
          <w:lang w:val="en-US"/>
        </w:rPr>
        <w:t>Mirjam Jenny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lang w:val="en-US"/>
        </w:rPr>
      </w:pPr>
      <w:proofErr w:type="spellStart"/>
      <w:r>
        <w:rPr>
          <w:sz w:val="22"/>
          <w:lang w:val="en-US"/>
        </w:rPr>
        <w:t>BZgA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lang w:val="en-US"/>
        </w:rPr>
      </w:pPr>
      <w:proofErr w:type="spellStart"/>
      <w:r>
        <w:rPr>
          <w:sz w:val="22"/>
          <w:lang w:val="en-US"/>
        </w:rPr>
        <w:t>Heidrun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Thaiss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lang w:val="en-US"/>
        </w:rPr>
      </w:pPr>
      <w:r>
        <w:rPr>
          <w:sz w:val="22"/>
          <w:lang w:val="en-US"/>
        </w:rPr>
        <w:t>MF3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lang w:val="en-US"/>
        </w:rPr>
      </w:pPr>
      <w:r>
        <w:rPr>
          <w:sz w:val="22"/>
          <w:lang w:val="en-US"/>
        </w:rPr>
        <w:t>Nancy Erickson (</w:t>
      </w:r>
      <w:proofErr w:type="spellStart"/>
      <w:r>
        <w:rPr>
          <w:sz w:val="22"/>
          <w:lang w:val="en-US"/>
        </w:rPr>
        <w:t>Protokoll</w:t>
      </w:r>
      <w:proofErr w:type="spellEnd"/>
      <w:r>
        <w:rPr>
          <w:sz w:val="22"/>
          <w:lang w:val="en-US"/>
        </w:rPr>
        <w:t>)</w:t>
      </w:r>
    </w:p>
    <w:p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Aktuelle Lage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International </w:t>
            </w:r>
          </w:p>
          <w:p>
            <w:pPr>
              <w:rPr>
                <w:sz w:val="22"/>
              </w:rPr>
            </w:pPr>
            <w:r>
              <w:rPr>
                <w:b/>
                <w:sz w:val="22"/>
              </w:rPr>
              <w:t>Trendanalyse international, Maßnahmen</w:t>
            </w:r>
            <w:r>
              <w:rPr>
                <w:sz w:val="22"/>
              </w:rPr>
              <w:t xml:space="preserve"> (Folien </w:t>
            </w:r>
            <w:hyperlink r:id="rId8" w:history="1">
              <w:r>
                <w:rPr>
                  <w:rStyle w:val="Hyperlink"/>
                  <w:b/>
                  <w:sz w:val="22"/>
                </w:rPr>
                <w:t>hier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 xml:space="preserve">43,6 </w:t>
            </w:r>
            <w:proofErr w:type="spellStart"/>
            <w:r>
              <w:rPr>
                <w:sz w:val="22"/>
              </w:rPr>
              <w:t>Mio</w:t>
            </w:r>
            <w:proofErr w:type="spellEnd"/>
            <w:r>
              <w:rPr>
                <w:sz w:val="22"/>
              </w:rPr>
              <w:t xml:space="preserve"> Fälle, 1,1 </w:t>
            </w:r>
            <w:proofErr w:type="spellStart"/>
            <w:r>
              <w:rPr>
                <w:sz w:val="22"/>
              </w:rPr>
              <w:t>Mio</w:t>
            </w:r>
            <w:proofErr w:type="spellEnd"/>
            <w:r>
              <w:rPr>
                <w:sz w:val="22"/>
              </w:rPr>
              <w:t xml:space="preserve"> Verstorbene (2,7%)</w:t>
            </w:r>
          </w:p>
          <w:p>
            <w:pPr>
              <w:pStyle w:val="Listenabsatz"/>
              <w:numPr>
                <w:ilvl w:val="0"/>
                <w:numId w:val="27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 10 Länder nach Anzahl neuer Fälle in den letzten 7 Tagen: 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USA an erster Stelle, alle Länder steigender Trend außer Indien </w:t>
            </w:r>
          </w:p>
          <w:p>
            <w:pPr>
              <w:pStyle w:val="Listenabsatz"/>
              <w:numPr>
                <w:ilvl w:val="0"/>
                <w:numId w:val="27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pro 100.000 Einwohner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Statt 77 Ländern am Montag heute 81 Länder &gt; 50; neu: Kanada, Malediven, Aserbaidschan und Serbien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EU/EWR/UK/CH: alle Länder &gt; 50 außer Norwegen, Schweden, Finnland, Estland &gt; 25 – 50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Australien: im gesamten Land sehr geringe Inzidenz (</w:t>
            </w:r>
            <w:r>
              <w:rPr>
                <w:bCs/>
                <w:sz w:val="22"/>
                <w:szCs w:val="22"/>
              </w:rPr>
              <w:t xml:space="preserve">7T-Inzidenz/100.000 </w:t>
            </w:r>
            <w:proofErr w:type="spellStart"/>
            <w:r>
              <w:rPr>
                <w:bCs/>
                <w:sz w:val="22"/>
                <w:szCs w:val="22"/>
              </w:rPr>
              <w:t>Ew</w:t>
            </w:r>
            <w:proofErr w:type="spellEnd"/>
            <w:r>
              <w:rPr>
                <w:bCs/>
                <w:sz w:val="22"/>
                <w:szCs w:val="22"/>
              </w:rPr>
              <w:t xml:space="preserve">: 0,5) </w:t>
            </w:r>
            <w:proofErr w:type="spellStart"/>
            <w:r>
              <w:rPr>
                <w:bCs/>
                <w:sz w:val="22"/>
                <w:szCs w:val="22"/>
              </w:rPr>
              <w:t>Testrate</w:t>
            </w:r>
            <w:proofErr w:type="spellEnd"/>
            <w:r>
              <w:rPr>
                <w:bCs/>
                <w:sz w:val="22"/>
                <w:szCs w:val="22"/>
              </w:rPr>
              <w:t xml:space="preserve">/100.000 </w:t>
            </w:r>
            <w:proofErr w:type="spellStart"/>
            <w:r>
              <w:rPr>
                <w:bCs/>
                <w:sz w:val="22"/>
                <w:szCs w:val="22"/>
              </w:rPr>
              <w:t>Ew</w:t>
            </w:r>
            <w:proofErr w:type="spellEnd"/>
            <w:r>
              <w:rPr>
                <w:bCs/>
                <w:sz w:val="22"/>
                <w:szCs w:val="22"/>
              </w:rPr>
              <w:t>/Woche: 1.043 (20. - 26.10.), Testpositivität: 0,1%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 der Fälle Ende Juni / Anfang Juli in Melbourne, Victoria ausgehend vermutlich von „Quarantäne-Hotel“ -- &gt; über Sicherheitspersonal in Bevölkerung getragen -- &gt; dort Weiterverbreitung via Familienfeiern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Maximale Anzahl der Fälle in Victoria: 687 neue Fälle / Tag (August 2020)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Anstieg der Fälle in NSW, lokal begrenzte Cluster in NSW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Seit 24.07. Restriktionen in NSW verschärft (v.a. Gastronomie)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Eintrag der Fälle in Alten- und Pflegeheime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Starke Reisebeschränkungen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14-Tage-Quarantäne (bei Einreise) in Quarantäne-Hotels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Weiterer Verlauf: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“</w:t>
            </w:r>
            <w:proofErr w:type="spellStart"/>
            <w:r>
              <w:rPr>
                <w:bCs/>
                <w:sz w:val="22"/>
                <w:szCs w:val="22"/>
              </w:rPr>
              <w:t>Testing</w:t>
            </w:r>
            <w:proofErr w:type="spellEnd"/>
            <w:r>
              <w:rPr>
                <w:bCs/>
                <w:sz w:val="22"/>
                <w:szCs w:val="22"/>
              </w:rPr>
              <w:t xml:space="preserve"> blitz” in Melbourne (1 Woche: 100.000 Personen getestet)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Ausgangssperren in 10 Bezirken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Lockdown Großraum Melbourne 08.07.2020; Verlassen der Wohnung nur aus 4 Gründen möglich (Arbeit im med./pflegerischen Dienst, Sport, Einkauf, Arbeit/Studium sofern nicht von zu Hause aus möglich) 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Schließung der Grenzen zwischen NSW und Victoria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 xml:space="preserve">Maskenpflicht im öffentlichen Raum (Melbourne / Shire </w:t>
            </w:r>
            <w:proofErr w:type="spellStart"/>
            <w:r>
              <w:rPr>
                <w:bCs/>
                <w:sz w:val="22"/>
                <w:szCs w:val="22"/>
              </w:rPr>
              <w:t>of</w:t>
            </w:r>
            <w:proofErr w:type="spellEnd"/>
            <w:r>
              <w:rPr>
                <w:bCs/>
                <w:sz w:val="22"/>
                <w:szCs w:val="22"/>
              </w:rPr>
              <w:t xml:space="preserve"> Mitchell) Ende Juli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Lockdown für Victoria Anfang August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Katastrophenzustand (bspw. nur 1 Pers. pro HH erlaubt einzukaufen, Arbeitsweg nur mit </w:t>
            </w:r>
            <w:proofErr w:type="spellStart"/>
            <w:r>
              <w:rPr>
                <w:bCs/>
                <w:sz w:val="22"/>
                <w:szCs w:val="22"/>
              </w:rPr>
              <w:t>working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permit</w:t>
            </w:r>
            <w:proofErr w:type="spellEnd"/>
            <w:r>
              <w:rPr>
                <w:bCs/>
                <w:sz w:val="22"/>
                <w:szCs w:val="22"/>
              </w:rPr>
              <w:t xml:space="preserve"> von Arbeitgeber, bei Nichteinhaltung empfindliche Strafen) in Melbourne, Stage 4 (02.08. – 13.09.) und Victoria (02.08. – 11.10.), Stage 3 (</w:t>
            </w:r>
            <w:proofErr w:type="spellStart"/>
            <w:r>
              <w:rPr>
                <w:bCs/>
                <w:sz w:val="22"/>
                <w:szCs w:val="22"/>
              </w:rPr>
              <w:t>stay</w:t>
            </w:r>
            <w:proofErr w:type="spellEnd"/>
            <w:r>
              <w:rPr>
                <w:bCs/>
                <w:sz w:val="22"/>
                <w:szCs w:val="22"/>
              </w:rPr>
              <w:t xml:space="preserve"> at </w:t>
            </w:r>
            <w:proofErr w:type="spellStart"/>
            <w:r>
              <w:rPr>
                <w:bCs/>
                <w:sz w:val="22"/>
                <w:szCs w:val="22"/>
              </w:rPr>
              <w:t>home</w:t>
            </w:r>
            <w:proofErr w:type="spellEnd"/>
            <w:r>
              <w:rPr>
                <w:bCs/>
                <w:sz w:val="22"/>
                <w:szCs w:val="22"/>
              </w:rPr>
              <w:t>);</w:t>
            </w:r>
            <w:r>
              <w:t xml:space="preserve"> 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Schließung der Grenzen zwischen NSW und Queensland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Allgemeine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Maskenpflicht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 in Victoria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GB"/>
              </w:rPr>
              <w:t xml:space="preserve">Mitte September: 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Lockerung der Maßnahmen, z.B. Kita-, Outdoor-Pool- Öffnung Ende September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Weitere Lockerungen in Victoria und Melbourne (</w:t>
            </w:r>
            <w:proofErr w:type="spellStart"/>
            <w:r>
              <w:rPr>
                <w:bCs/>
                <w:sz w:val="22"/>
                <w:szCs w:val="22"/>
              </w:rPr>
              <w:t>stay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home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stay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safe</w:t>
            </w:r>
            <w:proofErr w:type="spellEnd"/>
            <w:r>
              <w:rPr>
                <w:bCs/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Weitere Lockerungen geplant den Fallzahlen entsprechend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Zusammenfassung: 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drastische Zunahme neuer Fälle in Europa (ca. 50 % der Fälle weltweit)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Innerhalb der EU/EWR/GB/CH: nur noch Schweden, Norwegen, Estland und Finnland 7-Tages-Inzidenzen &lt; 50 Neuinfektionen / 100.000 Einwohner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Langsame Rückkehr zur Normalität in Melbourne und Victoria, Australien nach wochenlangem Lockdown („</w:t>
            </w:r>
            <w:proofErr w:type="spellStart"/>
            <w:r>
              <w:rPr>
                <w:sz w:val="22"/>
                <w:szCs w:val="22"/>
              </w:rPr>
              <w:t>Steps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COVID-19 normal“)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24.10.: 137 lokal erworbene asymptomatische Fälle in der Region Xinjiang, China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Diskussion zu Australien: 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Berichte zu Schwierigkeiten mit Compliance in Australien vorerst nicht ersichtlich, jedoch empfindlich hohe Bußgelder bei Non-Compliance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Trotz Lockdown und scharfen Maßnahmen sehr langwieriger Prozess bis Fallzahlrückgang, Gründe dafür vorerst nicht ersichtlich 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Sehr klare Kommunikation bezüglich Einschränkungen und empfindliche Strafen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National</w:t>
            </w: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Fallzahlen, Todesfälle, Trend</w:t>
            </w:r>
            <w:r>
              <w:rPr>
                <w:sz w:val="22"/>
                <w:szCs w:val="22"/>
              </w:rPr>
              <w:t xml:space="preserve"> (Folien </w:t>
            </w:r>
            <w:hyperlink r:id="rId9" w:history="1">
              <w:r>
                <w:rPr>
                  <w:rStyle w:val="Hyperlink"/>
                  <w:b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464.239 bestätigte Fälle (+14.964), davon 10.183 (2,2 %) Todesfälle (+85), 7-Tage-Inzidenz 93,6 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ITS Fälle steigen stetig, aktuell 1.470 (+108)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zwischen 1,2-1,4 (vom 27. und 26.10.); Zahlen vom 28.10. aufgrund eines Serverupdates heute erst später lieferbar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 der 7 Tage Inzidenz in jedem Bundesland deutlich, Abflachung bei einzelnen Ländern (bspw. Sachsen) höchstwahrscheinlich kein langfristiger Trend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132 LK mit 7 Tage Inzidenz &gt;100 Fällen/100.000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 xml:space="preserve">; 166 LK &gt;50-100 Fällen/100.000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 xml:space="preserve">; 86 LK mit &gt;25-50 Fälle/100.000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Inzidenz nach Altersgruppen und Meldewoche: weiterhin Altersgruppe (AG) von 15- bis 34-Jährigen höchste Fallzahl, gefolgt von AG der 35- bis 59-Jährigen, dritthöchste: AG der 80+ Jährigen, geringste Fallzahl bei den 0-4-Jährigen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Übermittelte Fälle nach Geschlecht sowie Anteil Hospitalisierung und Verstorbener: in KW 37 knapp 10.000 Fälle, in KW 43 über 73.000 (binnen 6 Wochen versiebenfacht), Alter der Fälle im Mittel leicht ansteigend (32 vs. 40), Männer und Frauen gleichermaßen betroffen, Anteil asymptomatischer Personen nimmt ab (mögliche Ursache: knappe Testkapazitäten -&gt; vornehmlich erkrankte Personen oder ältere AG getestet), Anzahl hospitalisierter Personen angestiegen, Anteil Verstorbener ebenfalls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Current</w:t>
            </w:r>
            <w:proofErr w:type="spellEnd"/>
            <w:r>
              <w:rPr>
                <w:sz w:val="22"/>
                <w:szCs w:val="22"/>
              </w:rPr>
              <w:t xml:space="preserve"> Mobility Monitor (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https://www.covid-19-mobility.org/mobility-monitor/</w:t>
              </w:r>
            </w:hyperlink>
            <w:r>
              <w:rPr>
                <w:sz w:val="22"/>
                <w:szCs w:val="22"/>
              </w:rPr>
              <w:t>): nach Lockdown Rückgang um 39 %; Juni/Juli wieder bei 100 %, im Sept/Okt über dem Durchschnitt; aktuell erneuter Rückgang zu verzeichnen; vor allem im Nordosten aktuell noch starke Mobilität ersichtlich; ob ggf. saisonal bedingte Schwankungen im Modell berück-</w:t>
            </w:r>
            <w:proofErr w:type="spellStart"/>
            <w:r>
              <w:rPr>
                <w:sz w:val="22"/>
                <w:szCs w:val="22"/>
              </w:rPr>
              <w:t>sichtigt</w:t>
            </w:r>
            <w:proofErr w:type="spellEnd"/>
            <w:r>
              <w:rPr>
                <w:sz w:val="22"/>
                <w:szCs w:val="22"/>
              </w:rPr>
              <w:t xml:space="preserve"> wurden unklar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Diskussion: 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Verstorbener auf erster Seite im Bericht ggf. mitaufzunehmen, aber: möglicherweise recht unklare Indikatorfunktion im Sinne der Kommunikation nach außen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Derzeit liegt zur Mitaufnahme der Inzidenz der AG der über 60-Jährigen Zustimmung seitens BMG vor 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Indikator für Bevölkerungsgruppe mittleren Alters sinnvoller (da Risikobewusstsein hinsichtl. Erkrankungswahrscheinlichkeit bei älteren AG gegeben)</w:t>
            </w:r>
          </w:p>
          <w:p>
            <w:pPr>
              <w:pStyle w:val="Listenabsatz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Vorschlag: Aufnahme der Anzahl schwer erkrankter Personen pro AG und Woche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Mitaufnahme des bereits zugestimmten Parameters (</w:t>
            </w:r>
            <w:proofErr w:type="spellStart"/>
            <w:r>
              <w:rPr>
                <w:i/>
                <w:sz w:val="22"/>
                <w:szCs w:val="22"/>
              </w:rPr>
              <w:t>Inz</w:t>
            </w:r>
            <w:proofErr w:type="spellEnd"/>
            <w:r>
              <w:rPr>
                <w:i/>
                <w:sz w:val="22"/>
                <w:szCs w:val="22"/>
              </w:rPr>
              <w:t xml:space="preserve">. der AG 60+) in Lagebericht auf erste Seite, Mitaufnahme weiterer Parameter zur weiteren Abstimmung </w:t>
            </w:r>
          </w:p>
          <w:p>
            <w:pPr>
              <w:pStyle w:val="Listenabsatz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Syndromische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Surveillance </w:t>
            </w:r>
            <w:r>
              <w:rPr>
                <w:sz w:val="22"/>
                <w:szCs w:val="22"/>
                <w:lang w:val="en-US"/>
              </w:rPr>
              <w:t>(</w:t>
            </w:r>
            <w:proofErr w:type="spellStart"/>
            <w:r>
              <w:rPr>
                <w:sz w:val="22"/>
                <w:szCs w:val="22"/>
                <w:lang w:val="en-US"/>
              </w:rPr>
              <w:t>Folien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hyperlink r:id="rId11" w:history="1">
              <w:proofErr w:type="spellStart"/>
              <w:r>
                <w:rPr>
                  <w:rStyle w:val="Hyperlink"/>
                  <w:b/>
                  <w:sz w:val="22"/>
                  <w:szCs w:val="22"/>
                  <w:lang w:val="en-US"/>
                </w:rPr>
                <w:t>hier</w:t>
              </w:r>
              <w:proofErr w:type="spellEnd"/>
            </w:hyperlink>
            <w:r>
              <w:rPr>
                <w:sz w:val="22"/>
                <w:szCs w:val="22"/>
                <w:lang w:val="en-US"/>
              </w:rPr>
              <w:t>):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Grippeweb: bei Kindern ARE-Raten deutlich zurückgegangen, vermutlich aufgrund zweiwöchiger Herbstferien, bei Erwachsenen deutlich unter den letzten zwei Jahresmittel, Übertragungshemmung durch allgemeine Maßnahmen schlägt sich hier nieder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Konsultationsinzidenz ARE: anderes Bild, ab AG der 15-34-Jährigen Anstieg der Arztbesuche, bei 0-4-Jährigen eher Rückgang der ARE-Arztbesuche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ARE-Konsultationsinzidenz (gesamt): 43. KW 2020 ca. 1.500 Arztkonsultationen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 xml:space="preserve"> (auf Bevölkerung in Deutschland bezogen: Gesamtzahl von mehr als 1,2 Mio. ARE-Arztbesuchen)</w:t>
            </w:r>
          </w:p>
          <w:p>
            <w:pPr>
              <w:pStyle w:val="Listenabsatz"/>
              <w:numPr>
                <w:ilvl w:val="0"/>
                <w:numId w:val="4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Überblick über Bundesländer BB, NRW, Bayern, BaWü: (COVID-Meldeinzidenz rechts und ARE-Arztbesuche links, jeweils pro 100.000 Einwohner; ARE Konsultations-Inzidenz gestrichelte, COVID Meldedaten durchgezogene Linien): insgesamt stark ansteigend, 15-34-Jährige weiter höchste Infektionen/Konsultationen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ICOSARI-KH-Surveillance – SARI-Fälle sowie Anteil SARI-Fälle mit COVID-Diagnose: Anteil der COVID-Patienten an SARI weiter ansteigend, 42. KW bei 20 %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 Altersgruppen: in 42. KW Anteil der COVID-Fälle an SARI: höhe Anzahl SARI-Fälle bei Kindern, hoher Anteil an COVID-Fällen bei 15-34-Jährigen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vorletzte Folie (SARI-Fälle sowie Anteil SARI-Fälle mit COVID-Diagnose bis zur 42. KW - nach Altersgruppen) ggf. in Lagebericht mitaufnehmen, dazu visuell allgemein verständlichere Darstellung mit Mirjam Jenny besprechen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color w:val="0070C0"/>
              </w:rPr>
            </w:pPr>
            <w:r>
              <w:rPr>
                <w:b/>
                <w:sz w:val="22"/>
                <w:szCs w:val="22"/>
              </w:rPr>
              <w:t>Testkapazitäten und Testungen</w:t>
            </w:r>
            <w:r>
              <w:rPr>
                <w:sz w:val="22"/>
                <w:szCs w:val="22"/>
              </w:rPr>
              <w:t xml:space="preserve"> (Folien </w:t>
            </w:r>
            <w:hyperlink r:id="rId12" w:history="1">
              <w:r>
                <w:rPr>
                  <w:rStyle w:val="Hyperlink"/>
                  <w:b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der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br/>
              <w:t xml:space="preserve">pro Woche – bundesweit: letzte 12 Wochen dargestellt,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(gestrichelt) bereits über 5 %, </w:t>
            </w:r>
            <w:proofErr w:type="spellStart"/>
            <w:r>
              <w:rPr>
                <w:sz w:val="22"/>
                <w:szCs w:val="22"/>
              </w:rPr>
              <w:t>Testzahl</w:t>
            </w:r>
            <w:proofErr w:type="spellEnd"/>
            <w:r>
              <w:rPr>
                <w:sz w:val="22"/>
                <w:szCs w:val="22"/>
              </w:rPr>
              <w:t xml:space="preserve"> geringe Abnahme; höchstes Niveau in Woche 41 erreicht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pro 100.00 Ew nach AG und KW: Vergleich KW 32 bis 43: </w:t>
            </w:r>
            <w:proofErr w:type="spellStart"/>
            <w:r>
              <w:rPr>
                <w:sz w:val="22"/>
                <w:szCs w:val="22"/>
              </w:rPr>
              <w:t>Testzahl</w:t>
            </w:r>
            <w:proofErr w:type="spellEnd"/>
            <w:r>
              <w:rPr>
                <w:sz w:val="22"/>
                <w:szCs w:val="22"/>
              </w:rPr>
              <w:t xml:space="preserve"> angestiegen v.a. in unteren AG, in älteren AG relativ konstant; derzeit v.a. &gt; 80-Jährige und 15-34-Jährige getestet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nach AG und KW: am höchsten bei 15-bis 34-Jährigen, gefolgt von 35-59-Jährigen, paralleler Anstieg im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über alle AG hinweg (bis auf 0-4-Jährige)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Aufschlüsselung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nach AG, Abnahmeort und KW:  insgesamt steiler Anstieg zu verzeichnen, am stärksten in Arztpraxen, am wenigsten in Krankenhäusern (mutmaßliche Ursache: sehr hohe </w:t>
            </w:r>
            <w:proofErr w:type="spellStart"/>
            <w:r>
              <w:rPr>
                <w:sz w:val="22"/>
                <w:szCs w:val="22"/>
              </w:rPr>
              <w:t>Testrate</w:t>
            </w:r>
            <w:proofErr w:type="spellEnd"/>
            <w:r>
              <w:rPr>
                <w:sz w:val="22"/>
                <w:szCs w:val="22"/>
              </w:rPr>
              <w:t xml:space="preserve"> aufgrund der Vorgaben, ggf. „Ausdünnungseffekt“), „Andere“ = alle anderen Testzentren (Flughäfen, Zentren in Innenstädten, Altenheimen)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Testverzug: Anzahl Tag(e) zwischen Abnahme und Test: derzeit keine maßgebliche Verzögerung, aber in Einzelfällen teils großer Verzug, Wartezeiten bis 5 Tage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Diskussion: welche Bedeutung hat die Positivrate für das Gesundheitssystem? Erhalt der Testindikation als weiteren Parameter möglich? Testindikation über ARS schwierig zu erhalten, ggf. symptomatische Erfassung („symptomatisch“ vs. „andere Indikation“), Laborinformationssystem: Daten nicht hinterlegt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lastRenderedPageBreak/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Herr Mielke stellt hierzu weitere Nachforschungen an, ggf. Besprechung mit Herrn Müller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Ausbreitung in DE und erste Auswertungen zum Infektionsumfeld bei Fällen</w:t>
            </w:r>
            <w:r>
              <w:rPr>
                <w:sz w:val="22"/>
                <w:szCs w:val="22"/>
              </w:rPr>
              <w:t xml:space="preserve"> (Dokument </w:t>
            </w:r>
            <w:hyperlink r:id="rId13" w:history="1">
              <w:r>
                <w:rPr>
                  <w:rStyle w:val="Hyperlink"/>
                  <w:b/>
                  <w:color w:val="auto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Schreiben zu Limitationen der wöchentlich erfassten SARS-COV-2-Testzahlen (keine Vollerfassung vorliegend aufgrund der Freiwilligkeit der Angabe)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Kritischer Schlusssatz „Dies kann, vorbehaltlich der datenschutzrechtlichen Prüfung, durch eine bundesweite elektronische Übermittlung der Daten über DEMIS ermöglicht werden.“ muss gestrichen werden, da </w:t>
            </w:r>
            <w:commentRangeStart w:id="0"/>
            <w:r>
              <w:rPr>
                <w:sz w:val="22"/>
                <w:szCs w:val="22"/>
              </w:rPr>
              <w:t xml:space="preserve">entsprechender Passus des § 4 IfSG </w:t>
            </w:r>
            <w:commentRangeEnd w:id="0"/>
            <w:r>
              <w:rPr>
                <w:rStyle w:val="Kommentarzeichen"/>
                <w:sz w:val="22"/>
                <w:szCs w:val="22"/>
                <w:lang w:eastAsia="de-DE"/>
              </w:rPr>
              <w:commentReference w:id="0"/>
            </w:r>
            <w:r>
              <w:rPr>
                <w:sz w:val="22"/>
                <w:szCs w:val="22"/>
              </w:rPr>
              <w:t xml:space="preserve">am heutigen Tage gestrichen </w:t>
            </w:r>
            <w:proofErr w:type="gramStart"/>
            <w:r>
              <w:rPr>
                <w:sz w:val="22"/>
                <w:szCs w:val="22"/>
              </w:rPr>
              <w:t>wurde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rPr>
                <w:color w:val="0070C0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 /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Denkel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 / Michaela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Diercke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FG36 /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Silke Buda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 37 /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Eckmanns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FG32/38 /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Ute Rexroth</w:t>
            </w:r>
          </w:p>
        </w:tc>
      </w:tr>
      <w:tr>
        <w:tc>
          <w:tcPr>
            <w:tcW w:w="684" w:type="dxa"/>
          </w:tcPr>
          <w:p>
            <w:r>
              <w:lastRenderedPageBreak/>
              <w:t>2</w:t>
            </w:r>
          </w:p>
        </w:tc>
        <w:tc>
          <w:tcPr>
            <w:tcW w:w="6795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</w:rPr>
              <w:t xml:space="preserve">Internationales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34"/>
              </w:num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r>
              <w:t>ZIG</w:t>
            </w:r>
          </w:p>
        </w:tc>
      </w:tr>
      <w:tr>
        <w:tc>
          <w:tcPr>
            <w:tcW w:w="684" w:type="dxa"/>
          </w:tcPr>
          <w:p>
            <w:r>
              <w:t>3</w:t>
            </w:r>
          </w:p>
        </w:tc>
        <w:tc>
          <w:tcPr>
            <w:tcW w:w="6795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</w:rPr>
              <w:t xml:space="preserve">Update Digitale Projekte </w:t>
            </w:r>
            <w:r>
              <w:rPr>
                <w:b/>
                <w:color w:val="FF0000"/>
              </w:rPr>
              <w:t>(nur montags)</w:t>
            </w:r>
          </w:p>
          <w:p>
            <w:pPr>
              <w:pStyle w:val="Listenabsatz"/>
              <w:numPr>
                <w:ilvl w:val="0"/>
                <w:numId w:val="34"/>
              </w:numPr>
              <w:rPr>
                <w:b/>
              </w:rPr>
            </w:pPr>
            <w:r>
              <w:rPr>
                <w:sz w:val="22"/>
                <w:szCs w:val="22"/>
              </w:rPr>
              <w:t>Verschobener Bericht von Montag</w:t>
            </w:r>
          </w:p>
          <w:p>
            <w:pPr>
              <w:pStyle w:val="Listenabsatz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verschoben</w:t>
            </w:r>
          </w:p>
        </w:tc>
        <w:tc>
          <w:tcPr>
            <w:tcW w:w="1492" w:type="dxa"/>
          </w:tcPr>
          <w:p/>
          <w:p>
            <w:r>
              <w:t>FG 21/ Patrick Schmich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Montag aktualisiert, kein Bedarf</w:t>
            </w:r>
          </w:p>
          <w:p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BZgA: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Gezieltere Adressierung bestimmter Altersgruppen, Anschlussfähigkeit zu bereits vorhandenen Programmen, Adressierung von </w:t>
            </w:r>
            <w:proofErr w:type="spellStart"/>
            <w:r>
              <w:rPr>
                <w:sz w:val="22"/>
                <w:szCs w:val="22"/>
              </w:rPr>
              <w:t>Multiplikatorennetzwerken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Viele fremdsprachige Materialien bereits verfügbar, dennoch weiterhin häufig Unverständnis, Kontakt zu Ethnomedizinischem Zentrum Hannover bezgl. weiterer Streuung von Informationsmaterialien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Erklärvideo aus Initialvideo „</w:t>
            </w:r>
            <w:proofErr w:type="spellStart"/>
            <w:r>
              <w:rPr>
                <w:sz w:val="22"/>
                <w:szCs w:val="22"/>
              </w:rPr>
              <w:t>Zuhausebleiben</w:t>
            </w:r>
            <w:proofErr w:type="spellEnd"/>
            <w:r>
              <w:rPr>
                <w:sz w:val="22"/>
                <w:szCs w:val="22"/>
              </w:rPr>
              <w:t>“ soll erneut platziert werden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Non-digitale KONA für best. Bevölkerungsgruppen als Lösungsmöglichkeit weiterhin von Bedeutung (Notizen zu Tagesende via Papier)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Gesundheitsportal: Veröffentlichungen nur in Schnittmengen mit Fachbereichen abgestimmt, Problemaspekt bspw. der fehlenden spezifischen Korrelationsmöglichkeit von Symptomen mit bestimmter Infektionserkrankung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Zur Symptomatik „Schnupfen“ bereits Vorlage vorhanden</w:t>
            </w:r>
          </w:p>
          <w:p>
            <w:pPr>
              <w:pStyle w:val="Listenabsatz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Bitte an </w:t>
            </w:r>
            <w:proofErr w:type="spellStart"/>
            <w:r>
              <w:rPr>
                <w:i/>
                <w:sz w:val="22"/>
                <w:szCs w:val="22"/>
              </w:rPr>
              <w:t>BzGA</w:t>
            </w:r>
            <w:proofErr w:type="spellEnd"/>
            <w:r>
              <w:rPr>
                <w:i/>
                <w:sz w:val="22"/>
                <w:szCs w:val="22"/>
              </w:rPr>
              <w:t>, sich mit dem Gesundheitsportal in Verbindung zu setzen, fachlich-wissenschaftlich mit dem RKI abgestimmte Aspekte sollten korrekt übernommen werden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Bitte an Frau Buda und Herrn Haas, einen diesbezüglichen Text an Frau </w:t>
            </w:r>
            <w:proofErr w:type="spellStart"/>
            <w:r>
              <w:rPr>
                <w:i/>
                <w:sz w:val="22"/>
                <w:szCs w:val="22"/>
              </w:rPr>
              <w:t>Thaiss</w:t>
            </w:r>
            <w:proofErr w:type="spellEnd"/>
            <w:r>
              <w:rPr>
                <w:i/>
                <w:sz w:val="22"/>
                <w:szCs w:val="22"/>
              </w:rPr>
              <w:t xml:space="preserve"> weiterzuleiten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Pressestelle:</w:t>
            </w:r>
          </w:p>
          <w:p>
            <w:pPr>
              <w:pStyle w:val="Listenabsatz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Anmerkungen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 /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Heidrun </w:t>
            </w:r>
            <w:proofErr w:type="spellStart"/>
            <w:r>
              <w:rPr>
                <w:sz w:val="22"/>
                <w:szCs w:val="22"/>
              </w:rPr>
              <w:t>Thaiss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r>
              <w:lastRenderedPageBreak/>
              <w:t>6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Neues aus dem BMG</w:t>
            </w:r>
          </w:p>
          <w:p>
            <w:pPr>
              <w:pStyle w:val="Listenabsatz"/>
              <w:numPr>
                <w:ilvl w:val="0"/>
                <w:numId w:val="37"/>
              </w:numPr>
            </w:pPr>
            <w:r>
              <w:rPr>
                <w:sz w:val="22"/>
              </w:rPr>
              <w:t>Nicht besprochen</w:t>
            </w:r>
          </w:p>
          <w:p/>
        </w:tc>
        <w:tc>
          <w:tcPr>
            <w:tcW w:w="1492" w:type="dxa"/>
          </w:tcPr>
          <w:p/>
        </w:tc>
      </w:tr>
      <w:tr>
        <w:tc>
          <w:tcPr>
            <w:tcW w:w="684" w:type="dxa"/>
          </w:tcPr>
          <w:p>
            <w:r>
              <w:t>7</w:t>
            </w:r>
          </w:p>
        </w:tc>
        <w:tc>
          <w:tcPr>
            <w:tcW w:w="679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Strategie Fragen</w:t>
            </w:r>
          </w:p>
          <w:p>
            <w:pPr>
              <w:pStyle w:val="Listenabsatz"/>
              <w:numPr>
                <w:ilvl w:val="0"/>
                <w:numId w:val="39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Allgemein</w:t>
            </w: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Kontaktpersonennachverfolgung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 kann KONA noch differenzierbarer dargestellt werden?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Cluster Priorität vor Einzelfällen; Häufung in vulnerablen Gruppen Priorität vor anderen Settings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Berlin: seit gestern Allgemeinverfügung zu alternativer Vorgehensweise der KONA erlassen: hat eine Person Kenntnis ihrer Positivität, soll sich diese a) umgehend in Isolation begeben und b) selbstständig – ohne Anweisung des Gesundheitsamtes - mögliche KP informieren; Gesundheitsamt muss lediglich zwecks Erstattung hinsichtlich Erwerbsfähigkeit kontaktiert werden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Allgemeinverfügung ebenfalls für Arbeitgeber relevant: sobald er von Positivität des Mitarbeitenden Kenntnis erlangt, sollte er zudem auch die in dessen räumlicher Nähe befindlichen Mitarbeitenden in Quarantäne schicken (hoch relevant für IBBS zur </w:t>
            </w:r>
            <w:r>
              <w:rPr>
                <w:i/>
                <w:sz w:val="22"/>
                <w:szCs w:val="22"/>
              </w:rPr>
              <w:t xml:space="preserve">in </w:t>
            </w:r>
            <w:proofErr w:type="spellStart"/>
            <w:r>
              <w:rPr>
                <w:i/>
                <w:sz w:val="22"/>
                <w:szCs w:val="22"/>
              </w:rPr>
              <w:t>house</w:t>
            </w:r>
            <w:proofErr w:type="spellEnd"/>
            <w:r>
              <w:rPr>
                <w:sz w:val="22"/>
                <w:szCs w:val="22"/>
              </w:rPr>
              <w:t xml:space="preserve"> Umsetzung RKI)</w:t>
            </w:r>
          </w:p>
          <w:p>
            <w:pPr>
              <w:pStyle w:val="Listenabsatz"/>
              <w:ind w:left="76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viel Verantwortung auf privaten bzw. Arbeitgeber-Bereich verlagert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Fachgebiet arbeitet derzeit an einer für Laien verständlichen Aufbereitung der KONA</w:t>
            </w:r>
          </w:p>
          <w:p>
            <w:pPr>
              <w:pStyle w:val="Listenabsatz"/>
              <w:ind w:left="766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Bitte an Frau Schulz-Weidhaas, die neu erlassene Allgemeinverfügung – fachlich-organisatorisch im Haus zu berücksichtigen</w:t>
            </w:r>
          </w:p>
          <w:p>
            <w:pPr>
              <w:rPr>
                <w:i/>
                <w:sz w:val="22"/>
                <w:szCs w:val="22"/>
                <w:highlight w:val="yellow"/>
              </w:rPr>
            </w:pP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KONA-Papier soll laut Minister Spahn angepasst werden</w:t>
            </w:r>
          </w:p>
          <w:p>
            <w:pPr>
              <w:pStyle w:val="Listenabsatz"/>
              <w:ind w:left="766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Seitens RKI fachlich hochrelevante Aspekte sollten proaktiv unter Zusammenarbeit der betreffenden FGs erarbeitet und bereits vorab herausgestellt werden, </w:t>
            </w:r>
            <w:proofErr w:type="spellStart"/>
            <w:r>
              <w:rPr>
                <w:i/>
                <w:sz w:val="22"/>
                <w:szCs w:val="22"/>
              </w:rPr>
              <w:t>deadline</w:t>
            </w:r>
            <w:proofErr w:type="spellEnd"/>
            <w:r>
              <w:rPr>
                <w:i/>
                <w:sz w:val="22"/>
                <w:szCs w:val="22"/>
              </w:rPr>
              <w:t xml:space="preserve"> möglichst Ende der Woche</w:t>
            </w: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Vorschläge: als Grundvereinfachung Management des Medizinpersonals extrahieren und getrennt pflegen, Priorisierungskriterien grafisch um-/ausarbeiten, Kernaussagen auf einer Seite darstellen, </w:t>
            </w:r>
            <w:proofErr w:type="spellStart"/>
            <w:r>
              <w:rPr>
                <w:i/>
                <w:sz w:val="22"/>
                <w:szCs w:val="22"/>
              </w:rPr>
              <w:t>EpiBull</w:t>
            </w:r>
            <w:proofErr w:type="spellEnd"/>
            <w:r>
              <w:rPr>
                <w:i/>
                <w:sz w:val="22"/>
                <w:szCs w:val="22"/>
              </w:rPr>
              <w:t>-Artikel kann mitaufgenommen werden (Entlastung für Familien und Arbeitgeber, klarere Strukturen bezüglich Prioritäten)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Herausforderung fehlender Meldepflicht für Antigen-Tests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Antigen-Tests: keine Meldepflicht durch die Länder eingeführt, Gefahr des Verlustes an Information und Überblick, praxisnahe Lösung dringend benötigt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Zu klärende Fragen: ab welchem konkreten Zeitpunkt und anhand welcher Modalität sollen die Antigen-Tests in der Meldestatistik erfasst werden?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Mögliche Lösungsvorschläge</w:t>
            </w:r>
          </w:p>
          <w:p>
            <w:pPr>
              <w:pStyle w:val="Listenabsatz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Antigen-Tests als Methode in der VO zu ergänzen (siehe BaWü) </w:t>
            </w:r>
          </w:p>
          <w:p>
            <w:pPr>
              <w:pStyle w:val="Listenabsatz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Auflage, positive Antigen-Tests durch PCR-Tests bestätigen lassen zu müssen</w:t>
            </w:r>
          </w:p>
          <w:p>
            <w:pPr>
              <w:pStyle w:val="Listenabsatz"/>
              <w:numPr>
                <w:ilvl w:val="1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Anpassung der Falldefinitionen („Verdachtsfall“)</w:t>
            </w:r>
          </w:p>
          <w:p>
            <w:pPr>
              <w:pStyle w:val="Listenabsatz"/>
              <w:ind w:left="766"/>
              <w:rPr>
                <w:sz w:val="22"/>
                <w:szCs w:val="22"/>
                <w:highlight w:val="yellow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Lösungsvorschläge müssen zeitnah diskutiert werden, die Zahlen werden jedoch höchstwahrscheinlich mit Einführung der Antigen-Tests an Vergleichbarkeit und Aussagekraft verlieren</w:t>
            </w:r>
          </w:p>
          <w:p>
            <w:pPr>
              <w:rPr>
                <w:sz w:val="22"/>
                <w:szCs w:val="22"/>
                <w:highlight w:val="yellow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Votum der AG Labor / Testen zum effizienten Einsatz der der PCR-Testung auf SARS-CoV-2</w:t>
            </w:r>
            <w:r>
              <w:rPr>
                <w:sz w:val="22"/>
                <w:szCs w:val="22"/>
              </w:rPr>
              <w:t xml:space="preserve"> (27.10.2020) (Dokument </w:t>
            </w:r>
            <w:hyperlink r:id="rId15" w:history="1">
              <w:r>
                <w:rPr>
                  <w:rStyle w:val="Hyperlink"/>
                  <w:b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 Markup </w:t>
            </w:r>
            <w:hyperlink r:id="rId16" w:history="1">
              <w:r>
                <w:rPr>
                  <w:rStyle w:val="Hyperlink"/>
                  <w:b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Hinweis seitens Laboratorien zu den Limits der Testkapazität an Minister Spahn erfolgt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Auf Priorisierung innerhalb der nationalen Teststrategie soll hingewiesen werden 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Änderung der Testkriterien ausgesprochen heikel, </w:t>
            </w:r>
            <w:proofErr w:type="spellStart"/>
            <w:r>
              <w:rPr>
                <w:sz w:val="22"/>
                <w:szCs w:val="22"/>
              </w:rPr>
              <w:t>Differen-zierung</w:t>
            </w:r>
            <w:proofErr w:type="spellEnd"/>
            <w:r>
              <w:rPr>
                <w:sz w:val="22"/>
                <w:szCs w:val="22"/>
              </w:rPr>
              <w:t>/Fokussierung von COVID-19 zu Symptomatik sehr bedacht vorzunehmen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Am 30.09. wurde abgestimmter Vorschlag ans Ministerium geschickt</w:t>
            </w: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Muss als klare Grundlage für Ärzte zur Durchführung der Tests und ihrer Priorisierung ins Flussschema übersetzt werden </w:t>
            </w:r>
          </w:p>
          <w:p>
            <w:pPr>
              <w:pStyle w:val="Listenabsatz"/>
              <w:ind w:left="766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Vorstellung des Flussschemas und der Testkriterien am Freitag durch Stefan Krüger, Bitte um Zusendung vorab als Arbeitsversion an Martin Mielke zu Donnerstag</w:t>
            </w: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Zielgruppe: Ärzte, ÖGD, Politiker – Testkriterien zu unterscheiden </w:t>
            </w:r>
            <w:proofErr w:type="spellStart"/>
            <w:r>
              <w:rPr>
                <w:i/>
                <w:sz w:val="22"/>
                <w:szCs w:val="22"/>
              </w:rPr>
              <w:t>ggü</w:t>
            </w:r>
            <w:proofErr w:type="spellEnd"/>
            <w:r>
              <w:rPr>
                <w:i/>
                <w:sz w:val="22"/>
                <w:szCs w:val="22"/>
              </w:rPr>
              <w:t>. der allgemeinen Bevölkerung, klare Trennung nötig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Verhalten im Herbst/Winter – Papier dazu: noch keine Rückmeldung </w:t>
            </w:r>
            <w:proofErr w:type="gramStart"/>
            <w:r>
              <w:rPr>
                <w:sz w:val="22"/>
                <w:szCs w:val="22"/>
              </w:rPr>
              <w:t>seitens Ministerium</w:t>
            </w:r>
            <w:proofErr w:type="gramEnd"/>
            <w:r>
              <w:rPr>
                <w:sz w:val="22"/>
                <w:szCs w:val="22"/>
              </w:rPr>
              <w:t xml:space="preserve">, ob dies publizierbar ist, Infopaket liegt bereits vor, seit Montag zudem Minister Spahn vorliegend, ist demnach noch nicht freizugeben  </w:t>
            </w:r>
          </w:p>
          <w:p>
            <w:pPr>
              <w:pStyle w:val="Listenabsatz"/>
              <w:ind w:left="766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Herr Schaade wird dazu Herrn Holthausen ansprechen </w:t>
            </w:r>
          </w:p>
          <w:p>
            <w:pPr>
              <w:rPr>
                <w:b/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rPr>
                <w:b/>
                <w:sz w:val="22"/>
                <w:szCs w:val="22"/>
              </w:rPr>
            </w:pPr>
          </w:p>
        </w:tc>
        <w:tc>
          <w:tcPr>
            <w:tcW w:w="1492" w:type="dxa"/>
          </w:tcPr>
          <w:p/>
          <w:p/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FG32/38 /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Ute Rexroth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FG32/38 /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Michaela Diercke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</w:rPr>
              <w:t>FG32/38 /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Ute Rexroth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8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Dokumente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b/>
                <w:sz w:val="22"/>
              </w:rPr>
            </w:pPr>
            <w:r>
              <w:rPr>
                <w:sz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6795" w:type="dxa"/>
          </w:tcPr>
          <w:p>
            <w:pPr>
              <w:rPr>
                <w:b/>
                <w:color w:val="FF0000"/>
                <w:szCs w:val="22"/>
              </w:rPr>
            </w:pPr>
            <w:r>
              <w:rPr>
                <w:b/>
                <w:szCs w:val="22"/>
              </w:rPr>
              <w:t xml:space="preserve">Update Impfen </w:t>
            </w:r>
            <w:r>
              <w:rPr>
                <w:b/>
                <w:color w:val="FF0000"/>
                <w:szCs w:val="22"/>
              </w:rPr>
              <w:t>(nur freitags)</w:t>
            </w:r>
          </w:p>
          <w:p>
            <w:pPr>
              <w:pStyle w:val="Listenabsatz"/>
              <w:numPr>
                <w:ilvl w:val="0"/>
                <w:numId w:val="34"/>
              </w:num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10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bookmarkStart w:id="1" w:name="_Hlk54618885"/>
            <w:r>
              <w:rPr>
                <w:b/>
              </w:rPr>
              <w:t>Labordiagnostik</w:t>
            </w:r>
          </w:p>
          <w:bookmarkEnd w:id="1"/>
          <w:p>
            <w:pPr>
              <w:pStyle w:val="Listenabsatz"/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 xml:space="preserve">Erläuterung zur Bedeutung der Antigen-Tests und ihrer Interpretierbarkeit in Kooperation mit Mirjam Jenny erstellt, wird in der betreffenden AG des BMG vorgestellt </w:t>
            </w:r>
          </w:p>
          <w:p>
            <w:pPr>
              <w:pStyle w:val="Listenabsatz"/>
              <w:numPr>
                <w:ilvl w:val="0"/>
                <w:numId w:val="20"/>
              </w:numPr>
              <w:rPr>
                <w:sz w:val="22"/>
              </w:rPr>
            </w:pPr>
            <w:r>
              <w:rPr>
                <w:sz w:val="22"/>
              </w:rPr>
              <w:t xml:space="preserve">Dr. Carsten (Kinderarzt, Mitglied der Mikrobiologischen Gesellschaft) verfügt über ein gutes </w:t>
            </w:r>
            <w:proofErr w:type="spellStart"/>
            <w:r>
              <w:rPr>
                <w:sz w:val="22"/>
              </w:rPr>
              <w:t>Sentinelkonzept</w:t>
            </w:r>
            <w:proofErr w:type="spellEnd"/>
            <w:r>
              <w:rPr>
                <w:sz w:val="22"/>
              </w:rPr>
              <w:t>, hat diverse Antigen-Test bereits miteinander verglichen und mit Verläufen korreliert (Roche-Antigentest hierbei am vielversprechendsten)</w:t>
            </w:r>
          </w:p>
        </w:tc>
        <w:tc>
          <w:tcPr>
            <w:tcW w:w="1492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FG17/ZBS1 Martin Mielke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after="120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3"/>
              </w:numPr>
            </w:pPr>
            <w:r>
              <w:rPr>
                <w:sz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r>
              <w:t>13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Surveillance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rPr>
                <w:sz w:val="22"/>
              </w:rPr>
              <w:t>Besprochen (siehe oben)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</w:tc>
      </w:tr>
      <w:tr>
        <w:tc>
          <w:tcPr>
            <w:tcW w:w="684" w:type="dxa"/>
          </w:tcPr>
          <w:p>
            <w:r>
              <w:t>14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Freitag, FG38 ggf. vertreten durch Osamah Hamouda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</w:tc>
      </w:tr>
      <w:tr>
        <w:tc>
          <w:tcPr>
            <w:tcW w:w="684" w:type="dxa"/>
          </w:tcPr>
          <w:p>
            <w:r>
              <w:t>15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 November/Dezember 2 bis 4 LÜKEX (Länder- und Ressortübergreifende </w:t>
            </w:r>
            <w:proofErr w:type="gramStart"/>
            <w:r>
              <w:rPr>
                <w:sz w:val="22"/>
                <w:szCs w:val="22"/>
              </w:rPr>
              <w:t>Krisenmanagementübung)-</w:t>
            </w:r>
            <w:proofErr w:type="gramEnd"/>
            <w:r>
              <w:rPr>
                <w:sz w:val="22"/>
                <w:szCs w:val="22"/>
              </w:rPr>
              <w:t>Mitarbeitende für zwei Monate zu erwarten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/ Maria </w:t>
            </w:r>
            <w:proofErr w:type="gramStart"/>
            <w:r>
              <w:rPr>
                <w:sz w:val="22"/>
                <w:szCs w:val="22"/>
              </w:rPr>
              <w:t>an der Heiden</w:t>
            </w:r>
            <w:proofErr w:type="gramEnd"/>
          </w:p>
        </w:tc>
      </w:tr>
      <w:tr>
        <w:tc>
          <w:tcPr>
            <w:tcW w:w="684" w:type="dxa"/>
          </w:tcPr>
          <w:p>
            <w:r>
              <w:t>16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Wichtige Termine</w:t>
            </w:r>
          </w:p>
          <w:p>
            <w:pPr>
              <w:rPr>
                <w:b/>
              </w:rPr>
            </w:pPr>
          </w:p>
        </w:tc>
        <w:tc>
          <w:tcPr>
            <w:tcW w:w="1492" w:type="dxa"/>
          </w:tcPr>
          <w:p/>
        </w:tc>
      </w:tr>
      <w:tr>
        <w:tc>
          <w:tcPr>
            <w:tcW w:w="684" w:type="dxa"/>
          </w:tcPr>
          <w:p>
            <w:r>
              <w:t>17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Andere Themen</w:t>
            </w:r>
          </w:p>
          <w:p>
            <w:pPr>
              <w:pStyle w:val="Listenabsatz"/>
              <w:numPr>
                <w:ilvl w:val="0"/>
                <w:numId w:val="24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Nächste Sitzung: Freitag, 30.10.2020, 11:00 Uhr</w:t>
            </w:r>
          </w:p>
          <w:p>
            <w:pPr>
              <w:pStyle w:val="Listenabsatz"/>
              <w:rPr>
                <w:b/>
              </w:rPr>
            </w:pPr>
          </w:p>
        </w:tc>
        <w:tc>
          <w:tcPr>
            <w:tcW w:w="1492" w:type="dxa"/>
          </w:tcPr>
          <w:p/>
        </w:tc>
      </w:tr>
    </w:tbl>
    <w:p>
      <w:pPr>
        <w:spacing w:after="240" w:line="360" w:lineRule="auto"/>
      </w:pPr>
    </w:p>
    <w:sectPr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rickson, Nancy" w:date="2020-10-28T18:03:00Z" w:initials="EN">
    <w:p>
      <w:pPr>
        <w:pStyle w:val="Kommentartext"/>
      </w:pPr>
      <w:r>
        <w:rPr>
          <w:rStyle w:val="Kommentarzeichen"/>
        </w:rPr>
        <w:annotationRef/>
      </w:r>
      <w:r>
        <w:t>Welcher genaumarku? § 4 (1) Satz 6 „Soweit es zur Erfüllung dieser Amtshilfe erforderlich ist, darf es personenbezogene Daten verarbeiten.“?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                                                                                                                              </w:t>
    </w:r>
    <w:bookmarkStart w:id="2" w:name="_GoBack"/>
    <w:bookmarkEnd w:id="2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rPr>
        <w:color w:val="1F497D" w:themeColor="text2"/>
        <w:sz w:val="16"/>
      </w:rPr>
    </w:pPr>
    <w:r>
      <w:rPr>
        <w:color w:val="1F497D" w:themeColor="text2"/>
        <w:sz w:val="16"/>
      </w:rPr>
      <w:t>VS - NUR FÜR DEN DIENSTGEBRAUCH</w:t>
    </w:r>
    <w:r>
      <w:rPr>
        <w:color w:val="1F497D" w:themeColor="text2"/>
        <w:sz w:val="16"/>
      </w:rPr>
      <w:tab/>
    </w:r>
    <w:r>
      <w:rPr>
        <w:color w:val="1F497D" w:themeColor="text2"/>
        <w:sz w:val="16"/>
      </w:rPr>
      <w:tab/>
    </w:r>
    <w:r>
      <w:rPr>
        <w:noProof/>
        <w:color w:val="1F497D" w:themeColor="text2"/>
        <w:sz w:val="16"/>
        <w:lang w:eastAsia="de-DE"/>
      </w:rPr>
      <w:drawing>
        <wp:inline distT="0" distB="0" distL="0" distR="0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18AF"/>
    <w:multiLevelType w:val="hybridMultilevel"/>
    <w:tmpl w:val="56186EB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6914"/>
    <w:multiLevelType w:val="hybridMultilevel"/>
    <w:tmpl w:val="D4F66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3023"/>
    <w:multiLevelType w:val="hybridMultilevel"/>
    <w:tmpl w:val="B510C90E"/>
    <w:lvl w:ilvl="0" w:tplc="C40CBC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08DF38">
      <w:start w:val="11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C37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9022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0CE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04A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947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583B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AF3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06CAD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45D5B"/>
    <w:multiLevelType w:val="hybridMultilevel"/>
    <w:tmpl w:val="6896C89C"/>
    <w:lvl w:ilvl="0" w:tplc="9328ED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C49650">
      <w:start w:val="110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B6D2D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725FB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E4341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6530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CC76C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4A0FD8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98649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4A35E7A"/>
    <w:multiLevelType w:val="hybridMultilevel"/>
    <w:tmpl w:val="8446F1D6"/>
    <w:lvl w:ilvl="0" w:tplc="66C86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465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2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4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C5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25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DAB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E8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2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B81D02"/>
    <w:multiLevelType w:val="hybridMultilevel"/>
    <w:tmpl w:val="0BF65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56EDB"/>
    <w:multiLevelType w:val="hybridMultilevel"/>
    <w:tmpl w:val="3BBAB8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964F0"/>
    <w:multiLevelType w:val="hybridMultilevel"/>
    <w:tmpl w:val="248677BE"/>
    <w:lvl w:ilvl="0" w:tplc="208617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AEED98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A01F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06C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AFF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E98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4D1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885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23A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15383"/>
    <w:multiLevelType w:val="hybridMultilevel"/>
    <w:tmpl w:val="274C18A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893374"/>
    <w:multiLevelType w:val="hybridMultilevel"/>
    <w:tmpl w:val="3BA6B364"/>
    <w:lvl w:ilvl="0" w:tplc="51523FA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1420"/>
    <w:multiLevelType w:val="hybridMultilevel"/>
    <w:tmpl w:val="1E28660C"/>
    <w:lvl w:ilvl="0" w:tplc="30B05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810B8"/>
    <w:multiLevelType w:val="hybridMultilevel"/>
    <w:tmpl w:val="C80E5A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E1197"/>
    <w:multiLevelType w:val="hybridMultilevel"/>
    <w:tmpl w:val="C80E5A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7693C"/>
    <w:multiLevelType w:val="hybridMultilevel"/>
    <w:tmpl w:val="234A4544"/>
    <w:lvl w:ilvl="0" w:tplc="D3028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C196C"/>
    <w:multiLevelType w:val="hybridMultilevel"/>
    <w:tmpl w:val="FB6615B0"/>
    <w:lvl w:ilvl="0" w:tplc="51523FA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514EE"/>
    <w:multiLevelType w:val="hybridMultilevel"/>
    <w:tmpl w:val="5504EDDC"/>
    <w:lvl w:ilvl="0" w:tplc="30B05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47E0B"/>
    <w:multiLevelType w:val="hybridMultilevel"/>
    <w:tmpl w:val="97BCADA2"/>
    <w:lvl w:ilvl="0" w:tplc="10A4A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27D16"/>
    <w:multiLevelType w:val="hybridMultilevel"/>
    <w:tmpl w:val="10B69058"/>
    <w:lvl w:ilvl="0" w:tplc="10A4A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70CF1"/>
    <w:multiLevelType w:val="hybridMultilevel"/>
    <w:tmpl w:val="757CAB16"/>
    <w:lvl w:ilvl="0" w:tplc="EC901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AB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82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2C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8E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E8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25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CA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CAD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EA5E8B"/>
    <w:multiLevelType w:val="hybridMultilevel"/>
    <w:tmpl w:val="783878C6"/>
    <w:lvl w:ilvl="0" w:tplc="C720A0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21B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84C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012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94DB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6C0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4F3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4FF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C277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21567"/>
    <w:multiLevelType w:val="hybridMultilevel"/>
    <w:tmpl w:val="3A240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8305E"/>
    <w:multiLevelType w:val="hybridMultilevel"/>
    <w:tmpl w:val="A4A84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D3A41"/>
    <w:multiLevelType w:val="hybridMultilevel"/>
    <w:tmpl w:val="7632C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456F5"/>
    <w:multiLevelType w:val="hybridMultilevel"/>
    <w:tmpl w:val="41CCC46C"/>
    <w:lvl w:ilvl="0" w:tplc="DA929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3F0A78"/>
    <w:multiLevelType w:val="hybridMultilevel"/>
    <w:tmpl w:val="8F366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6654F"/>
    <w:multiLevelType w:val="hybridMultilevel"/>
    <w:tmpl w:val="3F56301C"/>
    <w:lvl w:ilvl="0" w:tplc="2604D802">
      <w:start w:val="2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F13A1"/>
    <w:multiLevelType w:val="hybridMultilevel"/>
    <w:tmpl w:val="00284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F7474D"/>
    <w:multiLevelType w:val="hybridMultilevel"/>
    <w:tmpl w:val="16B09F02"/>
    <w:lvl w:ilvl="0" w:tplc="9C8053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670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144A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76A1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76B2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1052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2474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849C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AB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D59C2"/>
    <w:multiLevelType w:val="hybridMultilevel"/>
    <w:tmpl w:val="BD562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F0180D"/>
    <w:multiLevelType w:val="hybridMultilevel"/>
    <w:tmpl w:val="B3A65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7E3D10"/>
    <w:multiLevelType w:val="hybridMultilevel"/>
    <w:tmpl w:val="B1325F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AC0447"/>
    <w:multiLevelType w:val="hybridMultilevel"/>
    <w:tmpl w:val="692C2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73558"/>
    <w:multiLevelType w:val="hybridMultilevel"/>
    <w:tmpl w:val="98A0AE94"/>
    <w:lvl w:ilvl="0" w:tplc="10A4AB56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62DA0D9F"/>
    <w:multiLevelType w:val="hybridMultilevel"/>
    <w:tmpl w:val="83168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2A7E0C"/>
    <w:multiLevelType w:val="hybridMultilevel"/>
    <w:tmpl w:val="C80E5A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029DC"/>
    <w:multiLevelType w:val="hybridMultilevel"/>
    <w:tmpl w:val="299E1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07703"/>
    <w:multiLevelType w:val="hybridMultilevel"/>
    <w:tmpl w:val="E7BA5F8A"/>
    <w:lvl w:ilvl="0" w:tplc="A22AD0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49A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BA31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6A7A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81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CBE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D655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4DD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9E5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E56C1"/>
    <w:multiLevelType w:val="hybridMultilevel"/>
    <w:tmpl w:val="F954926E"/>
    <w:lvl w:ilvl="0" w:tplc="10A4AB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BC68A2"/>
    <w:multiLevelType w:val="hybridMultilevel"/>
    <w:tmpl w:val="DAEAC0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425594"/>
    <w:multiLevelType w:val="hybridMultilevel"/>
    <w:tmpl w:val="87985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C7602"/>
    <w:multiLevelType w:val="hybridMultilevel"/>
    <w:tmpl w:val="3ABC8F80"/>
    <w:lvl w:ilvl="0" w:tplc="10A4A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31"/>
  </w:num>
  <w:num w:numId="4">
    <w:abstractNumId w:val="3"/>
  </w:num>
  <w:num w:numId="5">
    <w:abstractNumId w:val="29"/>
  </w:num>
  <w:num w:numId="6">
    <w:abstractNumId w:val="9"/>
  </w:num>
  <w:num w:numId="7">
    <w:abstractNumId w:val="33"/>
  </w:num>
  <w:num w:numId="8">
    <w:abstractNumId w:val="27"/>
  </w:num>
  <w:num w:numId="9">
    <w:abstractNumId w:val="40"/>
  </w:num>
  <w:num w:numId="10">
    <w:abstractNumId w:val="13"/>
  </w:num>
  <w:num w:numId="11">
    <w:abstractNumId w:val="1"/>
  </w:num>
  <w:num w:numId="12">
    <w:abstractNumId w:val="7"/>
  </w:num>
  <w:num w:numId="13">
    <w:abstractNumId w:val="35"/>
  </w:num>
  <w:num w:numId="14">
    <w:abstractNumId w:val="23"/>
  </w:num>
  <w:num w:numId="15">
    <w:abstractNumId w:val="6"/>
  </w:num>
  <w:num w:numId="16">
    <w:abstractNumId w:val="11"/>
  </w:num>
  <w:num w:numId="17">
    <w:abstractNumId w:val="0"/>
  </w:num>
  <w:num w:numId="18">
    <w:abstractNumId w:val="17"/>
  </w:num>
  <w:num w:numId="19">
    <w:abstractNumId w:val="12"/>
  </w:num>
  <w:num w:numId="20">
    <w:abstractNumId w:val="38"/>
  </w:num>
  <w:num w:numId="21">
    <w:abstractNumId w:val="18"/>
  </w:num>
  <w:num w:numId="22">
    <w:abstractNumId w:val="8"/>
  </w:num>
  <w:num w:numId="23">
    <w:abstractNumId w:val="16"/>
  </w:num>
  <w:num w:numId="24">
    <w:abstractNumId w:val="24"/>
  </w:num>
  <w:num w:numId="25">
    <w:abstractNumId w:val="26"/>
  </w:num>
  <w:num w:numId="26">
    <w:abstractNumId w:val="28"/>
  </w:num>
  <w:num w:numId="27">
    <w:abstractNumId w:val="20"/>
  </w:num>
  <w:num w:numId="28">
    <w:abstractNumId w:val="15"/>
  </w:num>
  <w:num w:numId="29">
    <w:abstractNumId w:val="14"/>
  </w:num>
  <w:num w:numId="30">
    <w:abstractNumId w:val="43"/>
  </w:num>
  <w:num w:numId="31">
    <w:abstractNumId w:val="32"/>
  </w:num>
  <w:num w:numId="32">
    <w:abstractNumId w:val="2"/>
  </w:num>
  <w:num w:numId="33">
    <w:abstractNumId w:val="21"/>
  </w:num>
  <w:num w:numId="34">
    <w:abstractNumId w:val="36"/>
  </w:num>
  <w:num w:numId="35">
    <w:abstractNumId w:val="19"/>
  </w:num>
  <w:num w:numId="36">
    <w:abstractNumId w:val="37"/>
  </w:num>
  <w:num w:numId="37">
    <w:abstractNumId w:val="25"/>
  </w:num>
  <w:num w:numId="38">
    <w:abstractNumId w:val="34"/>
  </w:num>
  <w:num w:numId="39">
    <w:abstractNumId w:val="39"/>
  </w:num>
  <w:num w:numId="40">
    <w:abstractNumId w:val="42"/>
  </w:num>
  <w:num w:numId="41">
    <w:abstractNumId w:val="45"/>
  </w:num>
  <w:num w:numId="42">
    <w:abstractNumId w:val="10"/>
  </w:num>
  <w:num w:numId="43">
    <w:abstractNumId w:val="5"/>
  </w:num>
  <w:num w:numId="44">
    <w:abstractNumId w:val="41"/>
  </w:num>
  <w:num w:numId="45">
    <w:abstractNumId w:val="44"/>
  </w:num>
  <w:num w:numId="46">
    <w:abstractNumId w:val="3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ickson, Nancy">
    <w15:presenceInfo w15:providerId="None" w15:userId="Erickson, Nanc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B46C29F9-FE91-4FAA-88B6-6B774A49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character" w:customStyle="1" w:styleId="ListenabsatzZchn">
    <w:name w:val="Listenabsatz Zchn"/>
    <w:basedOn w:val="Absatz-Standardschriftart"/>
    <w:link w:val="Listenabsatz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63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3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1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3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31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9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1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20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13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74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5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1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70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33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2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68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9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3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8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S:\Wissdaten\RKI_nCoV-Lage\1.Lagemanagement\1.3.Besprechungen_TKs\1.Lage_AG\2020-10-28_Lage-AG\COVID-19_Internationale_Lage_2020-10-28.pptx" TargetMode="External"/><Relationship Id="rId13" Type="http://schemas.openxmlformats.org/officeDocument/2006/relationships/hyperlink" Target="file:///S:\Wissdaten\RKI_nCoV-Lage\1.Lagemanagement\1.3.Besprechungen_TKs\1.Lage_AG\2020-10-28_Lage-AG\TOP1_Testzahlbericht.docx" TargetMode="External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file:///S:\Wissdaten\RKI_nCoV-Lage\1.Lagemanagement\1.3.Besprechungen_TKs\1.Lage_AG\2020-10-28_Lage-AG\SARS-CoV-2%20in%20ARS_20201028_Krisenstabssitzung.pptx" TargetMode="External"/><Relationship Id="rId17" Type="http://schemas.openxmlformats.org/officeDocument/2006/relationships/header" Target="header1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file:///S:\Wissdaten\RKI_nCoV-Lage\1.Lagemanagement\1.3.Besprechungen_TKs\1.Lage_AG\2020-10-28_Lage-AG\TOP7_Votum%20Ag%20Labor_Testen%20zur%20Priorisierung%20der%20Testkapazita&#776;ten_MARKUP%20MMUE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S:\Wissdaten\RKI_nCoV-Lage\1.Lagemanagement\1.3.Besprechungen_TKs\1.Lage_AG\2020-10-28_Lage-AG\syndrom-ARE-SARI-COVID_bis_KW43_2020_f&#252;r-Krisenstab.pptx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0-10-28_Lage-AG\TOP7_Votum%20Ag%20Labor_Testen%20zur%20Priorisierung%20der%20Testkapazit&#228;ten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vid-19-mobility.org/mobility-monitor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S:\Wissdaten\RKI_nCoV-Lage\1.Lagemanagement\1.3.Besprechungen_TKs\1.Lage_AG\2020-10-28_Lage-AG\Lage-National_2020-10-28.pptx" TargetMode="External"/><Relationship Id="rId14" Type="http://schemas.openxmlformats.org/officeDocument/2006/relationships/comments" Target="comments.xm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308A5E6C8EE4781BFAF38CFC5C43A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84F450-0317-482C-BA07-DF3D82C220B6}"/>
      </w:docPartPr>
      <w:docPartBody>
        <w:p>
          <w:pPr>
            <w:pStyle w:val="C308A5E6C8EE4781BFAF38CFC5C43ABC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  <w:style w:type="paragraph" w:customStyle="1" w:styleId="C308A5E6C8EE4781BFAF38CFC5C43ABC">
    <w:name w:val="C308A5E6C8EE4781BFAF38CFC5C43AB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D5CBF-5CB3-4280-95FB-36738E12D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2420</Words>
  <Characters>15250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Hofmann, Alexandra</dc:creator>
  <cp:lastModifiedBy>Grote, Ulrike</cp:lastModifiedBy>
  <cp:revision>25</cp:revision>
  <dcterms:created xsi:type="dcterms:W3CDTF">2020-10-26T11:45:00Z</dcterms:created>
  <dcterms:modified xsi:type="dcterms:W3CDTF">2021-05-06T13:26:00Z</dcterms:modified>
</cp:coreProperties>
</file>