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09.11.2020, 13-14:45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FG12</w:t>
      </w:r>
    </w:p>
    <w:p>
      <w:pPr>
        <w:pStyle w:val="Listenabsatz"/>
        <w:numPr>
          <w:ilvl w:val="1"/>
          <w:numId w:val="4"/>
        </w:numPr>
        <w:spacing w:after="0"/>
        <w:contextualSpacing w:val="0"/>
        <w:rPr>
          <w:sz w:val="22"/>
        </w:rPr>
      </w:pPr>
      <w:r>
        <w:rPr>
          <w:sz w:val="22"/>
        </w:rPr>
        <w:t xml:space="preserve">Annette Mankertz </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1"/>
          <w:numId w:val="2"/>
        </w:numPr>
        <w:spacing w:after="0"/>
        <w:contextualSpacing w:val="0"/>
        <w:rPr>
          <w:sz w:val="22"/>
        </w:rPr>
      </w:pPr>
      <w:r>
        <w:rPr>
          <w:sz w:val="22"/>
        </w:rPr>
        <w:t>Mardjan Arvand</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21</w:t>
      </w:r>
    </w:p>
    <w:p>
      <w:pPr>
        <w:pStyle w:val="Listenabsatz"/>
        <w:numPr>
          <w:ilvl w:val="1"/>
          <w:numId w:val="5"/>
        </w:numPr>
        <w:spacing w:after="0"/>
        <w:contextualSpacing w:val="0"/>
        <w:rPr>
          <w:sz w:val="22"/>
        </w:rPr>
      </w:pPr>
      <w:r>
        <w:rPr>
          <w:sz w:val="22"/>
        </w:rPr>
        <w:t>Patrick Schmich</w:t>
      </w:r>
    </w:p>
    <w:p>
      <w:pPr>
        <w:pStyle w:val="Listenabsatz"/>
        <w:numPr>
          <w:ilvl w:val="1"/>
          <w:numId w:val="5"/>
        </w:numPr>
        <w:spacing w:after="0"/>
        <w:contextualSpacing w:val="0"/>
        <w:rPr>
          <w:sz w:val="22"/>
        </w:rPr>
      </w:pPr>
      <w:r>
        <w:rPr>
          <w:sz w:val="22"/>
        </w:rPr>
        <w:t>Wolfgang Scheida</w:t>
      </w:r>
    </w:p>
    <w:p>
      <w:pPr>
        <w:pStyle w:val="Listenabsatz"/>
        <w:numPr>
          <w:ilvl w:val="0"/>
          <w:numId w:val="5"/>
        </w:numPr>
        <w:spacing w:after="0"/>
        <w:contextualSpacing w:val="0"/>
        <w:rPr>
          <w:sz w:val="22"/>
        </w:rPr>
      </w:pPr>
      <w:r>
        <w:rPr>
          <w:sz w:val="22"/>
        </w:rPr>
        <w:t>FG 24</w:t>
      </w:r>
    </w:p>
    <w:p>
      <w:pPr>
        <w:pStyle w:val="Listenabsatz"/>
        <w:numPr>
          <w:ilvl w:val="1"/>
          <w:numId w:val="5"/>
        </w:numPr>
        <w:spacing w:after="0"/>
        <w:contextualSpacing w:val="0"/>
        <w:rPr>
          <w:sz w:val="22"/>
        </w:rPr>
      </w:pPr>
      <w:r>
        <w:rPr>
          <w:sz w:val="22"/>
        </w:rPr>
        <w:t>Thomas Ziese</w:t>
      </w:r>
    </w:p>
    <w:p>
      <w:pPr>
        <w:pStyle w:val="Listenabsatz"/>
        <w:numPr>
          <w:ilvl w:val="1"/>
          <w:numId w:val="5"/>
        </w:numPr>
        <w:spacing w:after="0"/>
        <w:contextualSpacing w:val="0"/>
        <w:rPr>
          <w:sz w:val="22"/>
        </w:rPr>
      </w:pPr>
      <w:r>
        <w:rPr>
          <w:sz w:val="22"/>
        </w:rPr>
        <w:t>Alexandra Hofmann (Protokoll)</w:t>
      </w:r>
    </w:p>
    <w:p>
      <w:pPr>
        <w:pStyle w:val="Listenabsatz"/>
        <w:numPr>
          <w:ilvl w:val="0"/>
          <w:numId w:val="5"/>
        </w:numPr>
        <w:spacing w:after="0"/>
        <w:contextualSpacing w:val="0"/>
        <w:rPr>
          <w:sz w:val="22"/>
        </w:rPr>
      </w:pPr>
      <w:r>
        <w:rPr>
          <w:sz w:val="22"/>
        </w:rPr>
        <w:t>FG 32/38</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Michaela Diercke</w:t>
      </w:r>
    </w:p>
    <w:p>
      <w:pPr>
        <w:pStyle w:val="Listenabsatz"/>
        <w:numPr>
          <w:ilvl w:val="0"/>
          <w:numId w:val="2"/>
        </w:numPr>
        <w:spacing w:after="0"/>
        <w:contextualSpacing w:val="0"/>
        <w:rPr>
          <w:sz w:val="22"/>
        </w:rPr>
      </w:pPr>
      <w:r>
        <w:rPr>
          <w:sz w:val="22"/>
        </w:rPr>
        <w:t>FG 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 xml:space="preserve">Matthias </w:t>
      </w:r>
      <w:proofErr w:type="gramStart"/>
      <w:r>
        <w:rPr>
          <w:sz w:val="22"/>
        </w:rPr>
        <w:t>an der Heiden</w:t>
      </w:r>
      <w:proofErr w:type="gramEnd"/>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4"/>
        </w:numPr>
        <w:spacing w:after="0"/>
        <w:contextualSpacing w:val="0"/>
        <w:rPr>
          <w:sz w:val="22"/>
        </w:rPr>
      </w:pPr>
      <w:r>
        <w:rPr>
          <w:sz w:val="22"/>
        </w:rPr>
        <w:t>FG37</w:t>
      </w:r>
    </w:p>
    <w:p>
      <w:pPr>
        <w:pStyle w:val="Listenabsatz"/>
        <w:numPr>
          <w:ilvl w:val="1"/>
          <w:numId w:val="4"/>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P1</w:t>
      </w:r>
    </w:p>
    <w:p>
      <w:pPr>
        <w:pStyle w:val="Listenabsatz"/>
        <w:numPr>
          <w:ilvl w:val="1"/>
          <w:numId w:val="4"/>
        </w:numPr>
        <w:spacing w:after="0"/>
        <w:contextualSpacing w:val="0"/>
        <w:rPr>
          <w:sz w:val="22"/>
        </w:rPr>
      </w:pPr>
      <w:r>
        <w:rPr>
          <w:sz w:val="22"/>
        </w:rPr>
        <w:t>Ines Lein</w:t>
      </w:r>
    </w:p>
    <w:p>
      <w:pPr>
        <w:pStyle w:val="Listenabsatz"/>
        <w:numPr>
          <w:ilvl w:val="0"/>
          <w:numId w:val="4"/>
        </w:numPr>
        <w:spacing w:after="0"/>
        <w:contextualSpacing w:val="0"/>
        <w:rPr>
          <w:sz w:val="22"/>
        </w:rPr>
      </w:pPr>
      <w:r>
        <w:rPr>
          <w:sz w:val="22"/>
        </w:rPr>
        <w:lastRenderedPageBreak/>
        <w:t>Presse</w:t>
      </w:r>
    </w:p>
    <w:p>
      <w:pPr>
        <w:pStyle w:val="Listenabsatz"/>
        <w:numPr>
          <w:ilvl w:val="1"/>
          <w:numId w:val="2"/>
        </w:numPr>
        <w:spacing w:after="0"/>
        <w:contextualSpacing w:val="0"/>
        <w:rPr>
          <w:sz w:val="22"/>
        </w:rPr>
      </w:pPr>
      <w:r>
        <w:rPr>
          <w:sz w:val="22"/>
        </w:rPr>
        <w:t>Susanne Glasmacher</w:t>
      </w:r>
    </w:p>
    <w:p>
      <w:pPr>
        <w:pStyle w:val="Listenabsatz"/>
        <w:numPr>
          <w:ilvl w:val="1"/>
          <w:numId w:val="2"/>
        </w:numPr>
        <w:spacing w:after="0"/>
        <w:contextualSpacing w:val="0"/>
        <w:rPr>
          <w:sz w:val="22"/>
        </w:rPr>
      </w:pPr>
      <w:r>
        <w:rPr>
          <w:sz w:val="22"/>
        </w:rPr>
        <w:t>Ronja Wenchel</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Livia Schrick</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Sarah Esquevin</w:t>
      </w:r>
    </w:p>
    <w:p>
      <w:pPr>
        <w:pStyle w:val="Listenabsatz"/>
        <w:numPr>
          <w:ilvl w:val="1"/>
          <w:numId w:val="2"/>
        </w:numPr>
        <w:spacing w:after="0"/>
        <w:contextualSpacing w:val="0"/>
        <w:rPr>
          <w:sz w:val="22"/>
        </w:rPr>
      </w:pPr>
      <w:r>
        <w:rPr>
          <w:sz w:val="22"/>
        </w:rPr>
        <w:t>Sarah McFarland</w:t>
      </w:r>
    </w:p>
    <w:p>
      <w:pPr>
        <w:pStyle w:val="Listenabsatz"/>
        <w:numPr>
          <w:ilvl w:val="0"/>
          <w:numId w:val="2"/>
        </w:numPr>
        <w:spacing w:after="0"/>
        <w:contextualSpacing w:val="0"/>
        <w:rPr>
          <w:sz w:val="22"/>
        </w:rPr>
      </w:pPr>
      <w:r>
        <w:rPr>
          <w:sz w:val="22"/>
        </w:rPr>
        <w:t>BZGA</w:t>
      </w:r>
    </w:p>
    <w:p>
      <w:pPr>
        <w:pStyle w:val="Listenabsatz"/>
        <w:numPr>
          <w:ilvl w:val="1"/>
          <w:numId w:val="2"/>
        </w:numPr>
        <w:spacing w:after="0"/>
        <w:contextualSpacing w:val="0"/>
        <w:rPr>
          <w:sz w:val="22"/>
        </w:rPr>
      </w:pPr>
      <w:r>
        <w:rPr>
          <w:sz w:val="22"/>
        </w:rPr>
        <w:t xml:space="preserve">Heidrun </w:t>
      </w:r>
      <w:proofErr w:type="spellStart"/>
      <w:r>
        <w:rPr>
          <w:sz w:val="22"/>
        </w:rPr>
        <w:t>Thaiss</w:t>
      </w:r>
      <w:proofErr w:type="spellEnd"/>
    </w:p>
    <w:p>
      <w:pPr>
        <w:spacing w:after="0"/>
      </w:pP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Aktuelle Lage</w:t>
            </w:r>
          </w:p>
          <w:p>
            <w:pPr>
              <w:pStyle w:val="Listenabsatz"/>
              <w:numPr>
                <w:ilvl w:val="0"/>
                <w:numId w:val="32"/>
              </w:numPr>
              <w:ind w:left="453" w:hanging="340"/>
              <w:rPr>
                <w:b/>
              </w:rPr>
            </w:pPr>
            <w:r>
              <w:rPr>
                <w:b/>
              </w:rPr>
              <w:t xml:space="preserve">Trendanalyse international, Maßnahmen (Folien </w:t>
            </w:r>
            <w:hyperlink r:id="rId8" w:history="1">
              <w:r>
                <w:rPr>
                  <w:rStyle w:val="Hyperlink"/>
                  <w:b/>
                  <w:color w:val="auto"/>
                </w:rPr>
                <w:t>hier</w:t>
              </w:r>
            </w:hyperlink>
            <w:r>
              <w:rPr>
                <w:b/>
              </w:rPr>
              <w:t>)</w:t>
            </w:r>
          </w:p>
          <w:p>
            <w:pPr>
              <w:pStyle w:val="Listenabsatz"/>
              <w:numPr>
                <w:ilvl w:val="1"/>
                <w:numId w:val="32"/>
              </w:numPr>
              <w:ind w:left="907" w:hanging="340"/>
            </w:pPr>
            <w:r>
              <w:t>Über ca. 49,9 Mio. Fälle und fast 1,3 Mio. Verstorbene (2,5%)</w:t>
            </w:r>
          </w:p>
          <w:p>
            <w:pPr>
              <w:pStyle w:val="Listenabsatz"/>
              <w:numPr>
                <w:ilvl w:val="0"/>
                <w:numId w:val="32"/>
              </w:numPr>
              <w:ind w:left="453" w:hanging="340"/>
            </w:pPr>
            <w:r>
              <w:t xml:space="preserve">Top 10 Länder nach Anzahl neuer Fälle in den letzten 7 Tagen: </w:t>
            </w:r>
          </w:p>
          <w:p>
            <w:pPr>
              <w:pStyle w:val="Listenabsatz"/>
              <w:numPr>
                <w:ilvl w:val="1"/>
                <w:numId w:val="32"/>
              </w:numPr>
              <w:ind w:left="907" w:hanging="340"/>
            </w:pPr>
            <w:r>
              <w:t>Top3: USA, Frankreich, Indien</w:t>
            </w:r>
          </w:p>
          <w:p>
            <w:pPr>
              <w:pStyle w:val="Listenabsatz"/>
              <w:numPr>
                <w:ilvl w:val="1"/>
                <w:numId w:val="32"/>
              </w:numPr>
              <w:ind w:left="907" w:hanging="340"/>
            </w:pPr>
            <w:r>
              <w:t>Auf Platz 9 liegt Deutschland</w:t>
            </w:r>
          </w:p>
          <w:p>
            <w:pPr>
              <w:pStyle w:val="Listenabsatz"/>
              <w:numPr>
                <w:ilvl w:val="1"/>
                <w:numId w:val="32"/>
              </w:numPr>
              <w:ind w:left="907" w:hanging="340"/>
            </w:pPr>
            <w:r>
              <w:t>Rückläufiger Trend in Tschechien (Platz 10)</w:t>
            </w:r>
          </w:p>
          <w:p>
            <w:pPr>
              <w:pStyle w:val="Listenabsatz"/>
              <w:numPr>
                <w:ilvl w:val="0"/>
                <w:numId w:val="32"/>
              </w:numPr>
              <w:ind w:left="453" w:hanging="340"/>
            </w:pPr>
            <w:r>
              <w:t>7-Tages-Inzidenz pro 100.000 Einwohner</w:t>
            </w:r>
          </w:p>
          <w:p>
            <w:pPr>
              <w:pStyle w:val="Listenabsatz"/>
              <w:numPr>
                <w:ilvl w:val="1"/>
                <w:numId w:val="32"/>
              </w:numPr>
              <w:ind w:left="907" w:hanging="340"/>
            </w:pPr>
            <w:r>
              <w:t xml:space="preserve">85 Länder auf der Liste mit über 50/100.000 </w:t>
            </w:r>
            <w:proofErr w:type="spellStart"/>
            <w:r>
              <w:t>Ew</w:t>
            </w:r>
            <w:proofErr w:type="spellEnd"/>
            <w:r>
              <w:t>.</w:t>
            </w:r>
          </w:p>
          <w:p>
            <w:pPr>
              <w:pStyle w:val="Listenabsatz"/>
              <w:numPr>
                <w:ilvl w:val="1"/>
                <w:numId w:val="32"/>
              </w:numPr>
              <w:ind w:left="907" w:hanging="340"/>
            </w:pPr>
            <w:r>
              <w:t xml:space="preserve">Seit Freitag neu Botswana und Malediven </w:t>
            </w:r>
          </w:p>
          <w:p>
            <w:pPr>
              <w:pStyle w:val="Listenabsatz"/>
              <w:numPr>
                <w:ilvl w:val="0"/>
                <w:numId w:val="32"/>
              </w:numPr>
              <w:ind w:left="453" w:hanging="340"/>
            </w:pPr>
            <w:r>
              <w:t>7-Tages-Inzidenz pro 100.000 Einwohner – EU/EWR/UK/CH</w:t>
            </w:r>
          </w:p>
          <w:p>
            <w:pPr>
              <w:pStyle w:val="Listenabsatz"/>
              <w:numPr>
                <w:ilvl w:val="0"/>
                <w:numId w:val="33"/>
              </w:numPr>
            </w:pPr>
            <w:r>
              <w:t>Finnland letzter unter 50</w:t>
            </w:r>
          </w:p>
          <w:p>
            <w:pPr>
              <w:pStyle w:val="Listenabsatz"/>
              <w:numPr>
                <w:ilvl w:val="1"/>
                <w:numId w:val="32"/>
              </w:numPr>
              <w:ind w:left="907" w:hanging="340"/>
            </w:pPr>
            <w:r>
              <w:t xml:space="preserve">Alle anderen EU/EWR/UK/CH Staaten &gt;50 Fälle/100.000 </w:t>
            </w:r>
            <w:proofErr w:type="spellStart"/>
            <w:r>
              <w:t>Ew</w:t>
            </w:r>
            <w:proofErr w:type="spellEnd"/>
            <w:r>
              <w:t>.;</w:t>
            </w:r>
          </w:p>
          <w:p>
            <w:pPr>
              <w:pStyle w:val="Listenabsatz"/>
              <w:numPr>
                <w:ilvl w:val="0"/>
                <w:numId w:val="32"/>
              </w:numPr>
              <w:ind w:left="453" w:hanging="340"/>
            </w:pPr>
            <w:r>
              <w:t>Afrika: 2% der Fälle und 3,6% der Todesfälle; Top 5: Marokko, Südafrika, Tunesien, Kenia und Libyen</w:t>
            </w:r>
          </w:p>
          <w:p>
            <w:pPr>
              <w:pStyle w:val="Listenabsatz"/>
              <w:numPr>
                <w:ilvl w:val="0"/>
                <w:numId w:val="32"/>
              </w:numPr>
              <w:ind w:left="453" w:hanging="340"/>
            </w:pPr>
            <w:r>
              <w:t>Amerika: 28% der neuen Fälle und 30,2% der Todesfälle; Negative Trends in vielen Ländern in Südamerika, vor allem in Brasilien (-64,9%); Anstiege in Kanada und USA</w:t>
            </w:r>
          </w:p>
          <w:p>
            <w:pPr>
              <w:pStyle w:val="Listenabsatz"/>
              <w:numPr>
                <w:ilvl w:val="0"/>
                <w:numId w:val="32"/>
              </w:numPr>
              <w:ind w:left="453" w:hanging="340"/>
            </w:pPr>
            <w:r>
              <w:t>Asien: 16,3% der neuen Fälle und 19,5% der Todesfälle</w:t>
            </w:r>
          </w:p>
          <w:p>
            <w:pPr>
              <w:pStyle w:val="Listenabsatz"/>
              <w:numPr>
                <w:ilvl w:val="0"/>
                <w:numId w:val="32"/>
              </w:numPr>
              <w:ind w:left="453" w:hanging="340"/>
            </w:pPr>
            <w:r>
              <w:t>China hat aus Deutschland (Bremen) importierte Schweinshaxe als Auslöser für einen neuen SARs-CoV-2-Fall in Tianjin ausgemacht; Virus-Spuren wurden an der Verpackung entdeckt; das Schweinefleisch wurde auch in eine weitere Stadt gesendet (</w:t>
            </w:r>
            <w:proofErr w:type="spellStart"/>
            <w:r>
              <w:t>Dezhou</w:t>
            </w:r>
            <w:proofErr w:type="spellEnd"/>
            <w:r>
              <w:t xml:space="preserve">); Ein Mitarbeiter in einem Kühlhaus wurde positiv getestet. 8 enge Kontakte zum Fall wurden unter Quarantäne gestellt (Information aus den Medien). </w:t>
            </w:r>
          </w:p>
          <w:p>
            <w:pPr>
              <w:pStyle w:val="Listenabsatz"/>
              <w:numPr>
                <w:ilvl w:val="0"/>
                <w:numId w:val="32"/>
              </w:numPr>
              <w:ind w:left="453" w:hanging="340"/>
            </w:pPr>
            <w:r>
              <w:t>Diskussion: BfR sollte involviert werden um dies zu prüfen</w:t>
            </w:r>
          </w:p>
          <w:p>
            <w:pPr>
              <w:pStyle w:val="Listenabsatz"/>
              <w:numPr>
                <w:ilvl w:val="0"/>
                <w:numId w:val="32"/>
              </w:numPr>
              <w:ind w:left="453" w:hanging="340"/>
              <w:rPr>
                <w:b/>
              </w:rPr>
            </w:pPr>
            <w:r>
              <w:rPr>
                <w:b/>
              </w:rPr>
              <w:t>SarsCoV-2 in Nerzen (Dänemark):</w:t>
            </w:r>
          </w:p>
          <w:p>
            <w:pPr>
              <w:pStyle w:val="Listenabsatz"/>
              <w:numPr>
                <w:ilvl w:val="0"/>
                <w:numId w:val="33"/>
              </w:numPr>
            </w:pPr>
            <w:r>
              <w:t xml:space="preserve">WHO hat dazu ein Rapid Risk </w:t>
            </w:r>
            <w:proofErr w:type="spellStart"/>
            <w:r>
              <w:t>Assenssment</w:t>
            </w:r>
            <w:proofErr w:type="spellEnd"/>
            <w:r>
              <w:t xml:space="preserve"> (vertraulich) erstellt; es gibt eine Risikobewertung des </w:t>
            </w:r>
            <w:proofErr w:type="spellStart"/>
            <w:r>
              <w:t>Staten</w:t>
            </w:r>
            <w:proofErr w:type="spellEnd"/>
            <w:r>
              <w:t xml:space="preserve"> Serum Instituts; ECDC wird am 12.11. ein Rapid Risk Assessment dazu veröffentlichen </w:t>
            </w:r>
          </w:p>
          <w:p>
            <w:pPr>
              <w:pStyle w:val="Listenabsatz"/>
              <w:numPr>
                <w:ilvl w:val="0"/>
                <w:numId w:val="33"/>
              </w:numPr>
            </w:pPr>
            <w:r>
              <w:t>Seit Juni wurden 214 Fälle mit Nerze-assoziierten Varianten, 12 davon mit einer „</w:t>
            </w:r>
            <w:proofErr w:type="spellStart"/>
            <w:r>
              <w:t>unique</w:t>
            </w:r>
            <w:proofErr w:type="spellEnd"/>
            <w:r>
              <w:t>“ Variante, identifiziert; Alle 12 Fälle mit der „</w:t>
            </w:r>
            <w:proofErr w:type="spellStart"/>
            <w:r>
              <w:t>unique</w:t>
            </w:r>
            <w:proofErr w:type="spellEnd"/>
            <w:r>
              <w:t>“ Variante wurden in Nordjütland in September identifiziert</w:t>
            </w:r>
          </w:p>
          <w:p>
            <w:pPr>
              <w:pStyle w:val="Listenabsatz"/>
              <w:numPr>
                <w:ilvl w:val="0"/>
                <w:numId w:val="33"/>
              </w:numPr>
            </w:pPr>
            <w:r>
              <w:lastRenderedPageBreak/>
              <w:t>Altersverteilung 7 – 97 Jahre; 8 Fälle hatten eine Verbindung mit den Betrieben und 4 waren lokale Fälle</w:t>
            </w:r>
          </w:p>
          <w:p>
            <w:pPr>
              <w:pStyle w:val="Listenabsatz"/>
              <w:numPr>
                <w:ilvl w:val="0"/>
                <w:numId w:val="33"/>
              </w:numPr>
            </w:pPr>
            <w:r>
              <w:t>klinischer Verlauf, Schweregrad sowie die Übertragung ähnlich ist wie bei anderen schon zirkulierenden Viren</w:t>
            </w:r>
          </w:p>
          <w:p>
            <w:pPr>
              <w:pStyle w:val="Listenabsatz"/>
              <w:numPr>
                <w:ilvl w:val="0"/>
                <w:numId w:val="33"/>
              </w:numPr>
            </w:pPr>
            <w:r>
              <w:t>Vorläufige Ergebnisse zeigen, dass die Variante eine „</w:t>
            </w:r>
            <w:proofErr w:type="spellStart"/>
            <w:r>
              <w:t>moderately</w:t>
            </w:r>
            <w:proofErr w:type="spellEnd"/>
            <w:r>
              <w:t xml:space="preserve"> </w:t>
            </w:r>
            <w:proofErr w:type="spellStart"/>
            <w:r>
              <w:t>decreased</w:t>
            </w:r>
            <w:proofErr w:type="spellEnd"/>
            <w:r>
              <w:t xml:space="preserve"> </w:t>
            </w:r>
            <w:proofErr w:type="spellStart"/>
            <w:r>
              <w:t>sensitivity</w:t>
            </w:r>
            <w:proofErr w:type="spellEnd"/>
            <w:r>
              <w:t xml:space="preserve"> </w:t>
            </w:r>
            <w:proofErr w:type="spellStart"/>
            <w:r>
              <w:t>to</w:t>
            </w:r>
            <w:proofErr w:type="spellEnd"/>
            <w:r>
              <w:t xml:space="preserve"> </w:t>
            </w:r>
            <w:proofErr w:type="spellStart"/>
            <w:r>
              <w:t>neutralizing</w:t>
            </w:r>
            <w:proofErr w:type="spellEnd"/>
            <w:r>
              <w:t xml:space="preserve"> </w:t>
            </w:r>
            <w:proofErr w:type="spellStart"/>
            <w:r>
              <w:t>antibodies</w:t>
            </w:r>
            <w:proofErr w:type="spellEnd"/>
            <w:r>
              <w:t>” hat</w:t>
            </w:r>
          </w:p>
          <w:p>
            <w:pPr>
              <w:pStyle w:val="Listenabsatz"/>
              <w:numPr>
                <w:ilvl w:val="0"/>
                <w:numId w:val="33"/>
              </w:numPr>
            </w:pPr>
            <w:r>
              <w:t xml:space="preserve">Bisher haben 6 Länder Nerze-assoziierte-Fälle gemeldet: Dänemark, Italien, die Niederlande, Spanien und Schweden </w:t>
            </w:r>
          </w:p>
          <w:p>
            <w:pPr>
              <w:pStyle w:val="Listenabsatz"/>
              <w:numPr>
                <w:ilvl w:val="0"/>
                <w:numId w:val="33"/>
              </w:numPr>
            </w:pPr>
            <w:r>
              <w:t xml:space="preserve">Maßnahmen in Dänemark: Alle Nerze im Land notgeschlachtet, </w:t>
            </w:r>
            <w:proofErr w:type="spellStart"/>
            <w:r>
              <w:t>Mass</w:t>
            </w:r>
            <w:proofErr w:type="spellEnd"/>
            <w:r>
              <w:t xml:space="preserve"> </w:t>
            </w:r>
            <w:proofErr w:type="spellStart"/>
            <w:r>
              <w:t>testing</w:t>
            </w:r>
            <w:proofErr w:type="spellEnd"/>
            <w:r>
              <w:t xml:space="preserve"> (PCR) in Nordjütland, erhöhte Sequenzierung des Virus sowie Teilung der Ergebnisse, Lockdown in Nordjütland</w:t>
            </w:r>
          </w:p>
          <w:p>
            <w:pPr>
              <w:pStyle w:val="Listenabsatz"/>
              <w:numPr>
                <w:ilvl w:val="0"/>
                <w:numId w:val="33"/>
              </w:numPr>
            </w:pPr>
            <w:r>
              <w:t>Dänemark, Risikobewertung (03.11.): hohes Risiko, wenn die Nerzproduktion wie bisher fortgeführt wird</w:t>
            </w:r>
          </w:p>
          <w:p>
            <w:pPr>
              <w:pStyle w:val="Listenabsatz"/>
              <w:numPr>
                <w:ilvl w:val="0"/>
                <w:numId w:val="33"/>
              </w:numPr>
            </w:pPr>
            <w:r>
              <w:t xml:space="preserve">Diskussion: BMG/RKI bemüht sich um Seren um diese testen zu können; KL sollte involviert werden; PEI hat ein Statement dazu veröffentlicht das dies aus regulatorischer Sicht beim Impfstoff kein Problem ist, da nachadjustiert werden kann; Sequenzen der neuen Variante wurden schon veröffentlicht, BfR sollte in das geschehen involviert </w:t>
            </w:r>
          </w:p>
          <w:p>
            <w:pPr>
              <w:pStyle w:val="Listenabsatz"/>
              <w:numPr>
                <w:ilvl w:val="0"/>
                <w:numId w:val="32"/>
              </w:numPr>
              <w:ind w:left="453" w:hanging="340"/>
              <w:rPr>
                <w:b/>
              </w:rPr>
            </w:pPr>
            <w:r>
              <w:rPr>
                <w:b/>
              </w:rPr>
              <w:t>National</w:t>
            </w:r>
          </w:p>
          <w:p>
            <w:pPr>
              <w:pStyle w:val="Listenabsatz"/>
              <w:numPr>
                <w:ilvl w:val="0"/>
                <w:numId w:val="32"/>
              </w:numPr>
              <w:ind w:left="453" w:hanging="340"/>
            </w:pPr>
            <w:r>
              <w:t xml:space="preserve">Fallzahlen, Todesfälle, Trend (Folien </w:t>
            </w:r>
            <w:hyperlink r:id="rId9" w:history="1">
              <w:r>
                <w:rPr>
                  <w:rStyle w:val="Hyperlink"/>
                  <w:color w:val="auto"/>
                </w:rPr>
                <w:t>hier</w:t>
              </w:r>
            </w:hyperlink>
            <w:r>
              <w:t xml:space="preserve">): </w:t>
            </w:r>
          </w:p>
          <w:p>
            <w:pPr>
              <w:pStyle w:val="Listenabsatz"/>
              <w:numPr>
                <w:ilvl w:val="1"/>
                <w:numId w:val="34"/>
              </w:numPr>
              <w:ind w:left="907" w:hanging="340"/>
            </w:pPr>
            <w:proofErr w:type="spellStart"/>
            <w:r>
              <w:t>SurvNet</w:t>
            </w:r>
            <w:proofErr w:type="spellEnd"/>
            <w:r>
              <w:t xml:space="preserve"> übermittelt: 671.868 (+13.363), davon 11.352 (1,7%) Todesfälle (+63), 7-Tages-Inzidenz 139/100.000 </w:t>
            </w:r>
            <w:proofErr w:type="spellStart"/>
            <w:r>
              <w:t>Einw</w:t>
            </w:r>
            <w:proofErr w:type="spellEnd"/>
            <w:r>
              <w:t>.</w:t>
            </w:r>
          </w:p>
          <w:p>
            <w:pPr>
              <w:pStyle w:val="Listenabsatz"/>
              <w:numPr>
                <w:ilvl w:val="1"/>
                <w:numId w:val="34"/>
              </w:numPr>
              <w:ind w:left="907" w:hanging="340"/>
            </w:pPr>
            <w:r>
              <w:t>4-Tage-R=1,09 (0,9-1,28); 7-Tage-R=0,98 (0,87-1,07)</w:t>
            </w:r>
          </w:p>
          <w:p>
            <w:pPr>
              <w:pStyle w:val="Listenabsatz"/>
              <w:numPr>
                <w:ilvl w:val="1"/>
                <w:numId w:val="32"/>
              </w:numPr>
              <w:ind w:left="924" w:hanging="357"/>
            </w:pPr>
            <w:r>
              <w:t>7-Tages-Inzidenz der Bundesländer nach Berichtsdatum</w:t>
            </w:r>
          </w:p>
          <w:p>
            <w:pPr>
              <w:pStyle w:val="Listenabsatz"/>
              <w:numPr>
                <w:ilvl w:val="2"/>
                <w:numId w:val="32"/>
              </w:numPr>
              <w:ind w:left="1491" w:hanging="357"/>
            </w:pPr>
            <w:r>
              <w:t xml:space="preserve">Anstieg flacht leicht ab; nicht steiler geworden </w:t>
            </w:r>
          </w:p>
          <w:p>
            <w:pPr>
              <w:pStyle w:val="Listenabsatz"/>
              <w:numPr>
                <w:ilvl w:val="2"/>
                <w:numId w:val="32"/>
              </w:numPr>
              <w:ind w:left="1491" w:hanging="357"/>
            </w:pPr>
            <w:r>
              <w:t>Rückgang in Bremen und Saarland, deutlicher Anstieg in Sachsen</w:t>
            </w:r>
          </w:p>
          <w:p>
            <w:pPr>
              <w:pStyle w:val="Listenabsatz"/>
              <w:numPr>
                <w:ilvl w:val="2"/>
                <w:numId w:val="32"/>
              </w:numPr>
              <w:ind w:left="1491" w:hanging="357"/>
            </w:pPr>
            <w:r>
              <w:t>Höchste Inzidenzen weiterhin in Bremen, Berlin, Bayern und NRW</w:t>
            </w:r>
          </w:p>
          <w:p>
            <w:pPr>
              <w:pStyle w:val="Listenabsatz"/>
              <w:numPr>
                <w:ilvl w:val="1"/>
                <w:numId w:val="32"/>
              </w:numPr>
              <w:ind w:left="924" w:hanging="357"/>
            </w:pPr>
            <w:r>
              <w:t>Geografische Verteilung in Deutschland: 7-Tage-Inzidenz</w:t>
            </w:r>
          </w:p>
          <w:p>
            <w:pPr>
              <w:pStyle w:val="Listenabsatz"/>
              <w:numPr>
                <w:ilvl w:val="2"/>
                <w:numId w:val="32"/>
              </w:numPr>
              <w:ind w:left="1491" w:hanging="357"/>
            </w:pPr>
            <w:r>
              <w:t xml:space="preserve">15 LK mit &gt;250 Fällen/100.000 </w:t>
            </w:r>
            <w:proofErr w:type="spellStart"/>
            <w:r>
              <w:t>Ew</w:t>
            </w:r>
            <w:proofErr w:type="spellEnd"/>
            <w:r>
              <w:t>.</w:t>
            </w:r>
          </w:p>
          <w:p>
            <w:pPr>
              <w:pStyle w:val="Listenabsatz"/>
              <w:numPr>
                <w:ilvl w:val="2"/>
                <w:numId w:val="32"/>
              </w:numPr>
              <w:ind w:left="1491" w:hanging="357"/>
            </w:pPr>
            <w:r>
              <w:t xml:space="preserve">nur noch 7 LK unter 25&lt;100.000 </w:t>
            </w:r>
            <w:proofErr w:type="spellStart"/>
            <w:r>
              <w:t>Ew</w:t>
            </w:r>
            <w:proofErr w:type="spellEnd"/>
            <w:r>
              <w:t>.</w:t>
            </w:r>
          </w:p>
          <w:p>
            <w:pPr>
              <w:pStyle w:val="Listenabsatz"/>
              <w:numPr>
                <w:ilvl w:val="0"/>
                <w:numId w:val="27"/>
              </w:numPr>
            </w:pPr>
            <w:r>
              <w:t xml:space="preserve">Diskussion: Sprachregelung zum Umgang mit zurückgehenden Zahlen vorhanden? Liegt das an den geänderten Testkriterien? </w:t>
            </w:r>
          </w:p>
          <w:p>
            <w:pPr>
              <w:pStyle w:val="Listenabsatz"/>
              <w:numPr>
                <w:ilvl w:val="0"/>
                <w:numId w:val="27"/>
              </w:numPr>
            </w:pPr>
            <w:r>
              <w:t xml:space="preserve">Sprachregelung sollte vorbereitet werden, jedoch zusammen mit dem in Kraft treten des neuen Gesetzesentwurfes. </w:t>
            </w:r>
          </w:p>
          <w:p>
            <w:pPr>
              <w:pStyle w:val="Listenabsatz"/>
              <w:numPr>
                <w:ilvl w:val="0"/>
                <w:numId w:val="27"/>
              </w:numPr>
            </w:pPr>
            <w:r>
              <w:lastRenderedPageBreak/>
              <w:t>Ist der Rückgang der Fallzahlen auf veränderte Testzahlen zurückzuführen? Werden mehr symptomatische als asymptomatische Fälle gemeldet? Dies soll diesen Mittwoch mithilfe der Testzahlen und der ausführlichen Analyse der Symptomangabe in den Meldedaten geprüft werden.</w:t>
            </w:r>
          </w:p>
          <w:p>
            <w:pPr>
              <w:pStyle w:val="Listenabsatz"/>
              <w:numPr>
                <w:ilvl w:val="0"/>
                <w:numId w:val="27"/>
              </w:numPr>
            </w:pPr>
            <w:r>
              <w:t>Gibt es weitere Testkapazitäten z.B. durch Veterinärmediziner? Es werden schon Tests für die Industrie durchgeführt und einige Zusammenarbeiten in den Ländern wurden etabliert, dies wird durch Testkoordinatoren der Länder koordiniert; Die Testkapazität ist aber auch da am Rande der Überlastung, was an fehlendem Testmaterial liegt. Das Thema steht auf der Agenda der AG Testkapazität.</w:t>
            </w:r>
          </w:p>
          <w:p>
            <w:pPr>
              <w:pStyle w:val="Listenabsatz"/>
            </w:pPr>
          </w:p>
          <w:p>
            <w:pPr>
              <w:rPr>
                <w:i/>
              </w:rPr>
            </w:pPr>
            <w:r>
              <w:rPr>
                <w:i/>
              </w:rPr>
              <w:t>TODO Testzahlen vorab für die Krisenstabsitzung am Mittwoch vorbereiten (FF J. Seifried) [ID 2175]</w:t>
            </w:r>
          </w:p>
          <w:p>
            <w:pPr>
              <w:rPr>
                <w:i/>
              </w:rPr>
            </w:pPr>
            <w:r>
              <w:rPr>
                <w:i/>
              </w:rPr>
              <w:t>TODO M. Diercke bereitet Analyse zu Symptomen für Mittwoch vor. [ID 2176]</w:t>
            </w:r>
          </w:p>
          <w:p>
            <w:pPr>
              <w:pStyle w:val="Listenabsatz"/>
              <w:numPr>
                <w:ilvl w:val="0"/>
                <w:numId w:val="32"/>
              </w:numPr>
              <w:ind w:left="453" w:hanging="340"/>
              <w:rPr>
                <w:b/>
              </w:rPr>
            </w:pPr>
            <w:r>
              <w:rPr>
                <w:b/>
              </w:rPr>
              <w:t>Corona-KiTa-Studie</w:t>
            </w:r>
          </w:p>
          <w:p>
            <w:pPr>
              <w:pStyle w:val="Listenabsatz"/>
              <w:numPr>
                <w:ilvl w:val="0"/>
                <w:numId w:val="27"/>
              </w:numPr>
            </w:pPr>
            <w:r>
              <w:t>Grippe Web: jüngste Altersgruppe bleibt in KW 43/44 konstant; in allen anderen AG jahresübliches Niveau; geschätzt ca. 500.000 ARE in jüngster AG</w:t>
            </w:r>
          </w:p>
          <w:p>
            <w:pPr>
              <w:pStyle w:val="Listenabsatz"/>
              <w:numPr>
                <w:ilvl w:val="0"/>
                <w:numId w:val="27"/>
              </w:numPr>
            </w:pPr>
            <w:r>
              <w:t xml:space="preserve">Meldung in KW 45 noch vorläufig (Meldeverzug): weiterer Anstieg bei 15-20-Jährigen </w:t>
            </w:r>
          </w:p>
          <w:p>
            <w:pPr>
              <w:pStyle w:val="Listenabsatz"/>
              <w:numPr>
                <w:ilvl w:val="0"/>
                <w:numId w:val="27"/>
              </w:numPr>
            </w:pPr>
            <w:r>
              <w:t xml:space="preserve">Ausbrüche in </w:t>
            </w:r>
            <w:proofErr w:type="spellStart"/>
            <w:r>
              <w:t>KiTa’s</w:t>
            </w:r>
            <w:proofErr w:type="spellEnd"/>
            <w:r>
              <w:t xml:space="preserve">: 30 neue Ausbrüche in KW 44/45 im Median 3 Fälle je Ausbruch; </w:t>
            </w:r>
          </w:p>
          <w:p>
            <w:pPr>
              <w:pStyle w:val="Listenabsatz"/>
              <w:numPr>
                <w:ilvl w:val="0"/>
                <w:numId w:val="27"/>
              </w:numPr>
            </w:pPr>
            <w:r>
              <w:t xml:space="preserve">Ausbrüche in Schulen: 37 Ausbrüche in KW 44/45 (Ausbruchsermittlung verzögert); Weiterhin sollten konsequent Maßnahmen in Schulen umgesetzt werden um Ausbrüche zu verhindern z.B. die Verkleinerung der Klassen wird noch zu selten umgesetzt, dies führt womöglich dazu das </w:t>
            </w:r>
            <w:proofErr w:type="spellStart"/>
            <w:r>
              <w:t>KiTa‘s</w:t>
            </w:r>
            <w:proofErr w:type="spellEnd"/>
            <w:r>
              <w:t xml:space="preserve"> und Schulen nicht mehr lange offengehalten werden können.</w:t>
            </w:r>
          </w:p>
          <w:p>
            <w:pPr>
              <w:pStyle w:val="Listenabsatz"/>
              <w:numPr>
                <w:ilvl w:val="0"/>
                <w:numId w:val="27"/>
              </w:numPr>
            </w:pPr>
            <w:r>
              <w:t xml:space="preserve">Diskussion: Anzahl der Ausbrüche nimmt nicht zu, allerdings die Fallzahlen in den Ausbrüchen. Infektion erfolgt nicht außerhalb des Settings, sondern im Setting mit einer hohen Dichte und vielen Kontakten. Möglicherweise werden nicht mehr alle Ausbrüche aufgrund des Fallzahlanstiegs in den GÄ dokumentiert. </w:t>
            </w:r>
          </w:p>
        </w:tc>
        <w:tc>
          <w:tcPr>
            <w:tcW w:w="1492" w:type="dxa"/>
          </w:tcPr>
          <w:p>
            <w:pPr>
              <w:rPr>
                <w:szCs w:val="22"/>
              </w:rPr>
            </w:pPr>
          </w:p>
          <w:p>
            <w:pPr>
              <w:rPr>
                <w:szCs w:val="22"/>
              </w:rPr>
            </w:pPr>
            <w:r>
              <w:rPr>
                <w:szCs w:val="22"/>
              </w:rPr>
              <w:t>INIG</w:t>
            </w:r>
          </w:p>
          <w:p>
            <w:pPr>
              <w:rPr>
                <w:szCs w:val="22"/>
              </w:rPr>
            </w:pPr>
            <w:r>
              <w:rPr>
                <w:szCs w:val="22"/>
              </w:rPr>
              <w:t xml:space="preserve">S. </w:t>
            </w:r>
            <w:proofErr w:type="spellStart"/>
            <w:r>
              <w:rPr>
                <w:szCs w:val="22"/>
              </w:rPr>
              <w:t>MacFarland</w:t>
            </w:r>
            <w:proofErr w:type="spellEnd"/>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
          <w:p/>
          <w:p/>
          <w:p/>
          <w:p/>
          <w:p/>
          <w:p/>
          <w:p/>
          <w:p/>
          <w:p/>
          <w:p/>
          <w:p/>
          <w:p/>
          <w:p/>
          <w:p/>
          <w:p/>
          <w:p/>
          <w:p/>
          <w:p/>
          <w:p/>
          <w:p/>
          <w:p/>
          <w:p/>
          <w:p/>
          <w:p/>
          <w:p/>
          <w:p/>
          <w:p/>
          <w:p/>
          <w:p/>
          <w:p/>
          <w:p/>
          <w:p/>
          <w:p/>
          <w:p/>
          <w:p/>
          <w:p/>
          <w:p/>
          <w:p/>
          <w:p/>
          <w:p/>
          <w:p/>
          <w:p/>
          <w:p/>
          <w:p/>
          <w:p/>
          <w:p/>
          <w:p/>
          <w:p/>
          <w:p/>
          <w:p/>
          <w:p>
            <w:r>
              <w:t>FG32</w:t>
            </w:r>
          </w:p>
          <w:p>
            <w:r>
              <w:t>M. Diercke</w:t>
            </w:r>
          </w:p>
          <w:p/>
          <w:p/>
          <w:p/>
          <w:p/>
          <w:p/>
          <w:p/>
          <w:p/>
          <w:p/>
          <w:p/>
          <w:p/>
          <w:p/>
          <w:p/>
          <w:p/>
          <w:p/>
          <w:p/>
          <w:p/>
          <w:p/>
          <w:p/>
          <w:p/>
          <w:p/>
          <w:p/>
          <w:p/>
          <w:p/>
          <w:p/>
          <w:p/>
          <w:p/>
          <w:p/>
          <w:p/>
          <w:p/>
          <w:p/>
          <w:p/>
          <w:p/>
          <w:p/>
          <w:p/>
          <w:p/>
          <w:p/>
          <w:p/>
          <w:p/>
          <w:p/>
          <w:p/>
          <w:p/>
          <w:p/>
          <w:p>
            <w:r>
              <w:t>FG36</w:t>
            </w:r>
          </w:p>
          <w:p>
            <w:pPr>
              <w:rPr>
                <w:sz w:val="22"/>
                <w:szCs w:val="22"/>
              </w:rPr>
            </w:pPr>
            <w:r>
              <w:t>W. Haas</w:t>
            </w:r>
          </w:p>
        </w:tc>
      </w:tr>
      <w:tr>
        <w:tc>
          <w:tcPr>
            <w:tcW w:w="684" w:type="dxa"/>
          </w:tcPr>
          <w:p>
            <w:r>
              <w:rPr>
                <w:b/>
              </w:rPr>
              <w:lastRenderedPageBreak/>
              <w:t>2</w:t>
            </w:r>
          </w:p>
        </w:tc>
        <w:tc>
          <w:tcPr>
            <w:tcW w:w="6795" w:type="dxa"/>
          </w:tcPr>
          <w:p>
            <w:pPr>
              <w:rPr>
                <w:b/>
                <w:color w:val="FF0000"/>
                <w:sz w:val="28"/>
              </w:rPr>
            </w:pPr>
            <w:r>
              <w:rPr>
                <w:b/>
                <w:sz w:val="28"/>
              </w:rPr>
              <w:t xml:space="preserve">Internationales </w:t>
            </w:r>
            <w:r>
              <w:rPr>
                <w:b/>
                <w:color w:val="FF0000"/>
                <w:sz w:val="28"/>
              </w:rPr>
              <w:t>(nur freitags)</w:t>
            </w:r>
          </w:p>
          <w:p>
            <w:pPr>
              <w:pStyle w:val="Listenabsatz"/>
              <w:numPr>
                <w:ilvl w:val="0"/>
                <w:numId w:val="28"/>
              </w:numPr>
            </w:pPr>
          </w:p>
        </w:tc>
        <w:tc>
          <w:tcPr>
            <w:tcW w:w="1492" w:type="dxa"/>
          </w:tcPr>
          <w:p>
            <w:r>
              <w:t>ZIG</w:t>
            </w:r>
          </w:p>
        </w:tc>
      </w:tr>
      <w:tr>
        <w:tc>
          <w:tcPr>
            <w:tcW w:w="684" w:type="dxa"/>
          </w:tcPr>
          <w:p>
            <w:r>
              <w:rPr>
                <w:b/>
              </w:rPr>
              <w:t>3</w:t>
            </w:r>
          </w:p>
        </w:tc>
        <w:tc>
          <w:tcPr>
            <w:tcW w:w="6795" w:type="dxa"/>
          </w:tcPr>
          <w:p>
            <w:pPr>
              <w:rPr>
                <w:b/>
                <w:color w:val="FF0000"/>
                <w:sz w:val="28"/>
              </w:rPr>
            </w:pPr>
            <w:r>
              <w:rPr>
                <w:b/>
                <w:sz w:val="28"/>
              </w:rPr>
              <w:t xml:space="preserve">Update Digitale Projekte </w:t>
            </w:r>
            <w:r>
              <w:rPr>
                <w:b/>
                <w:color w:val="FF0000"/>
                <w:sz w:val="28"/>
              </w:rPr>
              <w:t>(nur montags)</w:t>
            </w:r>
          </w:p>
          <w:p>
            <w:pPr>
              <w:pStyle w:val="Listenabsatz"/>
              <w:numPr>
                <w:ilvl w:val="0"/>
                <w:numId w:val="28"/>
              </w:numPr>
            </w:pPr>
            <w:r>
              <w:t>CWA: es fanden Vorstellungsgespräche für eine CWA Koordinationsstelle in der letzten Woche statt</w:t>
            </w:r>
          </w:p>
          <w:p>
            <w:pPr>
              <w:pStyle w:val="Listenabsatz"/>
              <w:numPr>
                <w:ilvl w:val="1"/>
                <w:numId w:val="32"/>
              </w:numPr>
              <w:ind w:left="924" w:hanging="357"/>
            </w:pPr>
            <w:r>
              <w:lastRenderedPageBreak/>
              <w:t xml:space="preserve">Viele Labore und GA konnten in die CWA eingebunden werden. </w:t>
            </w:r>
          </w:p>
          <w:p>
            <w:pPr>
              <w:pStyle w:val="Listenabsatz"/>
              <w:numPr>
                <w:ilvl w:val="1"/>
                <w:numId w:val="32"/>
              </w:numPr>
              <w:ind w:left="924" w:hanging="357"/>
            </w:pPr>
            <w:r>
              <w:t xml:space="preserve">Es wurde eine Zunahme der täglichen Nutzung der CWA festgestellt. </w:t>
            </w:r>
          </w:p>
          <w:p>
            <w:pPr>
              <w:pStyle w:val="Listenabsatz"/>
              <w:numPr>
                <w:ilvl w:val="1"/>
                <w:numId w:val="32"/>
              </w:numPr>
              <w:ind w:left="924" w:hanging="357"/>
            </w:pPr>
            <w:r>
              <w:t>Die Evaluation der CWA wurde vorangebracht</w:t>
            </w:r>
          </w:p>
          <w:p>
            <w:pPr>
              <w:pStyle w:val="Listenabsatz"/>
              <w:numPr>
                <w:ilvl w:val="1"/>
                <w:numId w:val="32"/>
              </w:numPr>
              <w:ind w:left="924" w:hanging="357"/>
            </w:pPr>
            <w:r>
              <w:t xml:space="preserve">SAP erstellt ein </w:t>
            </w:r>
            <w:proofErr w:type="spellStart"/>
            <w:r>
              <w:t>Dashbord</w:t>
            </w:r>
            <w:proofErr w:type="spellEnd"/>
            <w:r>
              <w:t xml:space="preserve">, dass auch vom RKI für die Evaluation genutzt werden soll </w:t>
            </w:r>
          </w:p>
          <w:p>
            <w:pPr>
              <w:pStyle w:val="Listenabsatz"/>
              <w:numPr>
                <w:ilvl w:val="0"/>
                <w:numId w:val="28"/>
              </w:numPr>
            </w:pPr>
            <w:r>
              <w:t xml:space="preserve">Datenspende App: Ergebnisse aus App wurden in den Lagebericht integriert und werden nun jeden Donnerstag veröffentlicht. </w:t>
            </w:r>
          </w:p>
          <w:p>
            <w:pPr>
              <w:pStyle w:val="Listenabsatz"/>
              <w:numPr>
                <w:ilvl w:val="1"/>
                <w:numId w:val="32"/>
              </w:numPr>
              <w:ind w:left="924" w:hanging="357"/>
            </w:pPr>
            <w:r>
              <w:t>Es fand ein Treffen mit interessierten zur weiteren Nutzung der Datenspende App statt, die u.a. für zukünftige Projekte der Abt.2 genutzt werden könnte</w:t>
            </w:r>
          </w:p>
          <w:p>
            <w:pPr>
              <w:pStyle w:val="Listenabsatz"/>
              <w:numPr>
                <w:ilvl w:val="1"/>
                <w:numId w:val="32"/>
              </w:numPr>
              <w:ind w:left="924" w:hanging="357"/>
            </w:pPr>
            <w:r>
              <w:t>Diskussion: Gibt es Erfahrungen zum Umgang mit den Warnmeldungen aus der CWA? Ist geplant pos. Antigentests aufzunehmen?</w:t>
            </w:r>
          </w:p>
          <w:p>
            <w:pPr>
              <w:pStyle w:val="Listenabsatz"/>
              <w:numPr>
                <w:ilvl w:val="1"/>
                <w:numId w:val="32"/>
              </w:numPr>
              <w:ind w:left="924" w:hanging="357"/>
            </w:pPr>
            <w:r>
              <w:t>Dies soll in der nächsten AG Diagnostik zusammen mit S. Beermann besprochen werden. Dort soll u.a. auch die Evaluation der CWA besprochen werden. Aktuell kann man jedoch nicht sagen, wie viele Warnungen zu einem Test geführt haben</w:t>
            </w:r>
          </w:p>
          <w:p>
            <w:pPr>
              <w:pStyle w:val="Listenabsatz"/>
              <w:numPr>
                <w:ilvl w:val="0"/>
                <w:numId w:val="28"/>
              </w:numPr>
            </w:pPr>
            <w:r>
              <w:t xml:space="preserve">Aktuelle Testkriterien gehen von symptomatischen Fällen aus. Asymptomatische Fälle (inkl. Meldungen der CWA) sind nicht enthalten. Wie Fälle mit einer CWA Warnung umgehen sollen wurde seit Mai nicht mehr den Empfehlungen angepasst, daher sollte das </w:t>
            </w:r>
            <w:proofErr w:type="spellStart"/>
            <w:r>
              <w:t>Flußschema</w:t>
            </w:r>
            <w:proofErr w:type="spellEnd"/>
            <w:r>
              <w:t xml:space="preserve"> geprüft werden und ggf. angepasst werden</w:t>
            </w:r>
          </w:p>
          <w:p>
            <w:pPr>
              <w:rPr>
                <w:i/>
              </w:rPr>
            </w:pPr>
            <w:r>
              <w:rPr>
                <w:i/>
              </w:rPr>
              <w:t xml:space="preserve">TODO: </w:t>
            </w:r>
            <w:proofErr w:type="spellStart"/>
            <w:r>
              <w:rPr>
                <w:i/>
              </w:rPr>
              <w:t>Flußschema</w:t>
            </w:r>
            <w:proofErr w:type="spellEnd"/>
            <w:r>
              <w:rPr>
                <w:i/>
              </w:rPr>
              <w:t xml:space="preserve"> der CWA prüfen und ggf. an neue Testkriterien anpassen/aktualisieren [ID 2177]</w:t>
            </w:r>
          </w:p>
          <w:p/>
        </w:tc>
        <w:tc>
          <w:tcPr>
            <w:tcW w:w="1492" w:type="dxa"/>
          </w:tcPr>
          <w:p>
            <w:r>
              <w:lastRenderedPageBreak/>
              <w:t>FG 21</w:t>
            </w:r>
          </w:p>
          <w:p>
            <w:r>
              <w:t>P. Schmich</w:t>
            </w:r>
          </w:p>
        </w:tc>
      </w:tr>
      <w:tr>
        <w:tc>
          <w:tcPr>
            <w:tcW w:w="684" w:type="dxa"/>
          </w:tcPr>
          <w:p>
            <w:pPr>
              <w:rPr>
                <w:b/>
              </w:rPr>
            </w:pPr>
            <w:r>
              <w:rPr>
                <w:b/>
              </w:rPr>
              <w:t>4</w:t>
            </w:r>
          </w:p>
        </w:tc>
        <w:tc>
          <w:tcPr>
            <w:tcW w:w="6795" w:type="dxa"/>
          </w:tcPr>
          <w:p>
            <w:pPr>
              <w:rPr>
                <w:b/>
              </w:rPr>
            </w:pPr>
            <w:r>
              <w:rPr>
                <w:b/>
              </w:rPr>
              <w:t>Aktuelle Risikobewertung</w:t>
            </w:r>
          </w:p>
          <w:p>
            <w:pPr>
              <w:pStyle w:val="Listenabsatz"/>
              <w:numPr>
                <w:ilvl w:val="0"/>
                <w:numId w:val="28"/>
              </w:numPr>
            </w:pPr>
            <w:r>
              <w:t>Besteht Änderungsbedarf an der aktuellen Risikobewertung?</w:t>
            </w:r>
          </w:p>
          <w:p>
            <w:pPr>
              <w:pStyle w:val="Listenabsatz"/>
              <w:numPr>
                <w:ilvl w:val="0"/>
                <w:numId w:val="28"/>
              </w:numPr>
            </w:pPr>
            <w:r>
              <w:t>Vorschlag: man sollte prüfen welche Entwicklung zu einer Überlastung führt: Ausmaß der Übertagung in der Bevölkerung? Entwicklung der Medizinsysteme? Entwicklung in den Intensivstationen? Anschließend sollte die Risikobewertung adaptiert werden. Dies könnte mithilfe eines neuen Prognose Tools betrachtet werden. MF4 soll diese Aufgabe übernehmen. Bis dieses Tool vorhanden ist, soll dies Aufgabe weiterhin von FG37 (FF T. Eckmanns) übernommen werden; L. Schaade hält mit L. Grabenhenrich zu dem Thema Rücksprache und meldet sich anschließend bei T. Eckmanns.</w:t>
            </w:r>
          </w:p>
          <w:p>
            <w:pPr>
              <w:pStyle w:val="Listenabsatz"/>
              <w:numPr>
                <w:ilvl w:val="0"/>
                <w:numId w:val="28"/>
              </w:numPr>
            </w:pPr>
            <w:r>
              <w:t xml:space="preserve">Die Textpassagen zu den Intensivpatienten sollten in der nächsten Krisenstabsitzung geprüft werden. Handelt es sich bei den DIVI Angaben tatsächlich um betreibbare </w:t>
            </w:r>
            <w:r>
              <w:lastRenderedPageBreak/>
              <w:t xml:space="preserve">Betten (inkl. Personal)? Laut DIVI ja, allerdings kann sich die Auffassung je Krankenhaus unterschieden. Eine gewisse Unschärfe ist daher bei den Angaben nicht auszuschließen. Es wird bei DIVI aktuell eine einheitliche Definition entwickelt. </w:t>
            </w:r>
          </w:p>
          <w:p>
            <w:pPr>
              <w:rPr>
                <w:i/>
              </w:rPr>
            </w:pPr>
          </w:p>
          <w:p>
            <w:pPr>
              <w:rPr>
                <w:i/>
              </w:rPr>
            </w:pPr>
            <w:r>
              <w:rPr>
                <w:i/>
              </w:rPr>
              <w:t>TODO: Vorstellung des Prognose Tools im Krisenstab und Klärung welche Daten dafür genutzt werden sollen; Sicherstellung eines möglichen Datentransfers von FG37 zu MF4 (FF FG37 / MF4)</w:t>
            </w:r>
          </w:p>
          <w:p>
            <w:pPr>
              <w:rPr>
                <w:i/>
              </w:rPr>
            </w:pPr>
            <w:r>
              <w:rPr>
                <w:i/>
              </w:rPr>
              <w:t>[ID 2178]</w:t>
            </w:r>
          </w:p>
          <w:p>
            <w:pPr>
              <w:rPr>
                <w:i/>
              </w:rPr>
            </w:pPr>
            <w:r>
              <w:rPr>
                <w:i/>
              </w:rPr>
              <w:t>TODO: Prüfung der Textpassagen zu Intensivpatienten (FF Krisenstab) [ID 2179]</w:t>
            </w:r>
          </w:p>
          <w:p>
            <w:pPr>
              <w:rPr>
                <w:highlight w:val="yellow"/>
              </w:rPr>
            </w:pPr>
          </w:p>
          <w:p>
            <w:pPr>
              <w:pStyle w:val="Listenabsatz"/>
              <w:numPr>
                <w:ilvl w:val="0"/>
                <w:numId w:val="28"/>
              </w:numPr>
              <w:rPr>
                <w:b/>
              </w:rPr>
            </w:pPr>
            <w:r>
              <w:rPr>
                <w:b/>
              </w:rPr>
              <w:t xml:space="preserve">Evaluation Schwankung R-Wert (Vortrag </w:t>
            </w:r>
            <w:hyperlink r:id="rId10" w:history="1">
              <w:r>
                <w:rPr>
                  <w:rStyle w:val="Hyperlink"/>
                  <w:b/>
                </w:rPr>
                <w:t>hier</w:t>
              </w:r>
            </w:hyperlink>
            <w:r>
              <w:rPr>
                <w:b/>
              </w:rPr>
              <w:t>)</w:t>
            </w:r>
          </w:p>
          <w:p>
            <w:pPr>
              <w:pStyle w:val="Listenabsatz"/>
              <w:numPr>
                <w:ilvl w:val="0"/>
                <w:numId w:val="28"/>
              </w:numPr>
            </w:pPr>
            <w:r>
              <w:t xml:space="preserve">Grafische Darstellung des Vergleichs von für einen Tag berichteten R-Werten (siehe Lagebericht) mit den im Zeitverlauf korrigierten R-Werten für diesen Tag. </w:t>
            </w:r>
          </w:p>
          <w:p>
            <w:pPr>
              <w:pStyle w:val="Listenabsatz"/>
              <w:numPr>
                <w:ilvl w:val="0"/>
                <w:numId w:val="28"/>
              </w:numPr>
            </w:pPr>
            <w:r>
              <w:t xml:space="preserve">Die täglichen 7 Tages-R-Werte werden tendenziell etwas zu niedrig geschätzt was aktuell zu einer systematischen Unterschätzung führen kann, allerdings gleicht sich das zum Wochenende etwas aus (Wocheneffekt). Diese Unterschätzung könnte u.a. am Meldeverzug zwischen Erkrankungsbeginn und Übermittlung an das RKI liegen. </w:t>
            </w:r>
          </w:p>
          <w:p>
            <w:pPr>
              <w:pStyle w:val="Listenabsatz"/>
              <w:numPr>
                <w:ilvl w:val="0"/>
                <w:numId w:val="28"/>
              </w:numPr>
            </w:pPr>
            <w:r>
              <w:t>Diskussion: Wie soll das bewertet und kommuniziert werden?</w:t>
            </w:r>
          </w:p>
          <w:p>
            <w:pPr>
              <w:pStyle w:val="Listenabsatz"/>
              <w:numPr>
                <w:ilvl w:val="1"/>
                <w:numId w:val="28"/>
              </w:numPr>
            </w:pPr>
            <w:r>
              <w:t xml:space="preserve">Dieser Verzug sollte in die Modellierungen eingearbeitet und dafür korrigiert werden. Dies sollte auch in die Limitationen der Modellierungen aufgenommen werden. Matthias </w:t>
            </w:r>
            <w:proofErr w:type="gramStart"/>
            <w:r>
              <w:t>an der Heiden</w:t>
            </w:r>
            <w:proofErr w:type="gramEnd"/>
            <w:r>
              <w:t xml:space="preserve"> schlägt einen entsprechenden Text u.a. für den Lagebericht bis morgen Mittag vor. </w:t>
            </w:r>
          </w:p>
          <w:p>
            <w:pPr>
              <w:rPr>
                <w:i/>
              </w:rPr>
            </w:pPr>
            <w:r>
              <w:rPr>
                <w:i/>
              </w:rPr>
              <w:t xml:space="preserve">TODO: Textvorschlag für Lagebericht zu Erweiterung der Limitationen für die Modellierung des R-Wertes (FF Matthias </w:t>
            </w:r>
            <w:proofErr w:type="gramStart"/>
            <w:r>
              <w:rPr>
                <w:i/>
              </w:rPr>
              <w:t>an der Heiden</w:t>
            </w:r>
            <w:proofErr w:type="gramEnd"/>
            <w:r>
              <w:rPr>
                <w:i/>
              </w:rPr>
              <w:t>). [ID 2182]</w:t>
            </w:r>
          </w:p>
          <w:p/>
        </w:tc>
        <w:tc>
          <w:tcPr>
            <w:tcW w:w="1492" w:type="dxa"/>
          </w:tcPr>
          <w:p/>
          <w:p>
            <w:r>
              <w:t>Alle</w:t>
            </w:r>
          </w:p>
          <w:p/>
          <w:p/>
          <w:p/>
          <w:p/>
          <w:p/>
          <w:p/>
          <w:p/>
          <w:p/>
          <w:p/>
          <w:p/>
          <w:p/>
          <w:p/>
          <w:p/>
          <w:p/>
          <w:p/>
          <w:p/>
          <w:p/>
          <w:p/>
          <w:p/>
          <w:p/>
          <w:p/>
          <w:p/>
          <w:p/>
          <w:p/>
          <w:p/>
          <w:p/>
          <w:p/>
          <w:p/>
          <w:p/>
          <w:p>
            <w:r>
              <w:t xml:space="preserve">FG34 </w:t>
            </w:r>
          </w:p>
          <w:p>
            <w:r>
              <w:t xml:space="preserve">M. </w:t>
            </w:r>
            <w:proofErr w:type="gramStart"/>
            <w:r>
              <w:t>an der Heiden</w:t>
            </w:r>
            <w:proofErr w:type="gramEnd"/>
          </w:p>
          <w:p/>
          <w:p/>
          <w:p/>
          <w:p/>
          <w:p/>
          <w:p/>
          <w:p/>
          <w:p/>
          <w:p/>
          <w:p/>
          <w:p/>
          <w:p/>
          <w:p/>
          <w:p/>
          <w:p/>
          <w:p/>
        </w:tc>
      </w:tr>
      <w:tr>
        <w:trPr>
          <w:trHeight w:val="518"/>
        </w:trPr>
        <w:tc>
          <w:tcPr>
            <w:tcW w:w="684" w:type="dxa"/>
          </w:tcPr>
          <w:p>
            <w:pPr>
              <w:rPr>
                <w:b/>
              </w:rPr>
            </w:pPr>
            <w:r>
              <w:rPr>
                <w:b/>
              </w:rPr>
              <w:lastRenderedPageBreak/>
              <w:t>5</w:t>
            </w:r>
          </w:p>
        </w:tc>
        <w:tc>
          <w:tcPr>
            <w:tcW w:w="6795" w:type="dxa"/>
          </w:tcPr>
          <w:p>
            <w:pPr>
              <w:rPr>
                <w:b/>
                <w:sz w:val="28"/>
                <w:szCs w:val="28"/>
              </w:rPr>
            </w:pPr>
            <w:r>
              <w:rPr>
                <w:b/>
                <w:sz w:val="28"/>
                <w:szCs w:val="28"/>
              </w:rPr>
              <w:t>Kommunikation</w:t>
            </w:r>
          </w:p>
          <w:p>
            <w:pPr>
              <w:pStyle w:val="Listenabsatz"/>
              <w:numPr>
                <w:ilvl w:val="0"/>
                <w:numId w:val="28"/>
              </w:numPr>
              <w:rPr>
                <w:sz w:val="22"/>
                <w:szCs w:val="22"/>
              </w:rPr>
            </w:pPr>
            <w:r>
              <w:rPr>
                <w:szCs w:val="22"/>
              </w:rPr>
              <w:t>BZgA: Dank an RKI für die schnelle Beantwortung der Fragen zu FFP2 Masken</w:t>
            </w:r>
          </w:p>
          <w:p>
            <w:pPr>
              <w:pStyle w:val="Listenabsatz"/>
              <w:numPr>
                <w:ilvl w:val="1"/>
                <w:numId w:val="28"/>
              </w:numPr>
              <w:rPr>
                <w:sz w:val="22"/>
                <w:szCs w:val="22"/>
              </w:rPr>
            </w:pPr>
            <w:r>
              <w:rPr>
                <w:szCs w:val="22"/>
              </w:rPr>
              <w:t>Aktuell Beschwerden der Bevölkerung wegen mangelndem Influenza-Impfstoff;</w:t>
            </w:r>
          </w:p>
          <w:p>
            <w:pPr>
              <w:pStyle w:val="Listenabsatz"/>
              <w:numPr>
                <w:ilvl w:val="1"/>
                <w:numId w:val="28"/>
              </w:numPr>
              <w:rPr>
                <w:sz w:val="22"/>
                <w:szCs w:val="22"/>
              </w:rPr>
            </w:pPr>
            <w:r>
              <w:rPr>
                <w:szCs w:val="22"/>
              </w:rPr>
              <w:t xml:space="preserve">Es besteht Unsicherheit darüber was man als KP1 bzw. KP2 zu tun hat. Telefonhotlines des ÖGD bzw. Ärztehotline sind gerade überlastet. Ein Entwurf einer Orientierungshilfe wurde im Krisenstab geprüft. Diese Orientierungshilfe sollte </w:t>
            </w:r>
            <w:r>
              <w:rPr>
                <w:szCs w:val="22"/>
              </w:rPr>
              <w:lastRenderedPageBreak/>
              <w:t>noch grafisch aufbereitet werden. Dazu stand P1 in Kontakt mit FG36, FF Fr. Antao</w:t>
            </w:r>
          </w:p>
          <w:p>
            <w:pPr>
              <w:pStyle w:val="Listenabsatz"/>
              <w:rPr>
                <w:sz w:val="22"/>
                <w:szCs w:val="22"/>
              </w:rPr>
            </w:pPr>
          </w:p>
          <w:p>
            <w:pPr>
              <w:rPr>
                <w:i/>
                <w:szCs w:val="22"/>
              </w:rPr>
            </w:pPr>
            <w:r>
              <w:rPr>
                <w:i/>
                <w:szCs w:val="22"/>
              </w:rPr>
              <w:t>TODO: Lagezentrum soll prüfen wie der aktuelle Stand der grafischen Aufbereitung ist</w:t>
            </w:r>
          </w:p>
          <w:p>
            <w:pPr>
              <w:rPr>
                <w:i/>
                <w:szCs w:val="22"/>
              </w:rPr>
            </w:pPr>
          </w:p>
          <w:p>
            <w:pPr>
              <w:pStyle w:val="Listenabsatz"/>
              <w:numPr>
                <w:ilvl w:val="0"/>
                <w:numId w:val="28"/>
              </w:numPr>
              <w:rPr>
                <w:szCs w:val="22"/>
              </w:rPr>
            </w:pPr>
            <w:r>
              <w:rPr>
                <w:szCs w:val="22"/>
              </w:rPr>
              <w:t>Pressestelle: Hr. Wieler veranstaltet am Donnerstag ein Pressebriefing. Heute fand eine Bundespressekonferenz zusammen mit Hr. Mertens und der Leopoldina statt.</w:t>
            </w:r>
          </w:p>
          <w:p>
            <w:pPr>
              <w:pStyle w:val="Listenabsatz"/>
              <w:rPr>
                <w:szCs w:val="22"/>
              </w:rPr>
            </w:pPr>
          </w:p>
          <w:p>
            <w:pPr>
              <w:pStyle w:val="Listenabsatz"/>
              <w:numPr>
                <w:ilvl w:val="0"/>
                <w:numId w:val="28"/>
              </w:numPr>
              <w:rPr>
                <w:sz w:val="22"/>
                <w:szCs w:val="22"/>
              </w:rPr>
            </w:pPr>
            <w:r>
              <w:rPr>
                <w:szCs w:val="22"/>
              </w:rPr>
              <w:t>FG14 erhält aktuell viele Anfragen zu Nebenwirkungen von Masken. Sind dem Krisenstab Studien bei der Allgemeinbevölkerung zu dem Thema bekannt? Falls bekannt, bitte die Literatur dazu an FG14 weiterleiten.</w:t>
            </w:r>
          </w:p>
          <w:p>
            <w:pPr>
              <w:rPr>
                <w:sz w:val="22"/>
                <w:szCs w:val="22"/>
              </w:rPr>
            </w:pPr>
          </w:p>
          <w:p>
            <w:pPr>
              <w:rPr>
                <w:sz w:val="22"/>
                <w:szCs w:val="22"/>
              </w:rPr>
            </w:pPr>
          </w:p>
          <w:p>
            <w:pPr>
              <w:rPr>
                <w:sz w:val="22"/>
                <w:szCs w:val="22"/>
              </w:rPr>
            </w:pPr>
          </w:p>
        </w:tc>
        <w:tc>
          <w:tcPr>
            <w:tcW w:w="1492" w:type="dxa"/>
          </w:tcPr>
          <w:p>
            <w:pPr>
              <w:rPr>
                <w:sz w:val="22"/>
                <w:szCs w:val="22"/>
              </w:rPr>
            </w:pPr>
          </w:p>
          <w:p>
            <w:pPr>
              <w:rPr>
                <w:sz w:val="22"/>
                <w:szCs w:val="22"/>
              </w:rPr>
            </w:pPr>
            <w:r>
              <w:rPr>
                <w:sz w:val="22"/>
                <w:szCs w:val="22"/>
              </w:rPr>
              <w:t>BZgA</w:t>
            </w:r>
          </w:p>
          <w:p>
            <w:pPr>
              <w:rPr>
                <w:sz w:val="22"/>
                <w:szCs w:val="22"/>
              </w:rPr>
            </w:pPr>
            <w:r>
              <w:rPr>
                <w:sz w:val="22"/>
                <w:szCs w:val="22"/>
              </w:rPr>
              <w:t>H. Thais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Pressestelle</w:t>
            </w:r>
          </w:p>
          <w:p>
            <w:pPr>
              <w:rPr>
                <w:sz w:val="22"/>
                <w:szCs w:val="22"/>
              </w:rPr>
            </w:pPr>
            <w:r>
              <w:rPr>
                <w:sz w:val="22"/>
                <w:szCs w:val="22"/>
              </w:rPr>
              <w:t>S. Glasmacher</w:t>
            </w:r>
          </w:p>
          <w:p>
            <w:pPr>
              <w:rPr>
                <w:sz w:val="22"/>
                <w:szCs w:val="22"/>
              </w:rPr>
            </w:pPr>
          </w:p>
          <w:p>
            <w:pPr>
              <w:rPr>
                <w:sz w:val="22"/>
                <w:szCs w:val="22"/>
              </w:rPr>
            </w:pPr>
          </w:p>
          <w:p>
            <w:pPr>
              <w:rPr>
                <w:sz w:val="22"/>
                <w:szCs w:val="22"/>
              </w:rPr>
            </w:pPr>
            <w:r>
              <w:rPr>
                <w:sz w:val="22"/>
                <w:szCs w:val="22"/>
              </w:rPr>
              <w:t>FG 14</w:t>
            </w:r>
          </w:p>
          <w:p>
            <w:pPr>
              <w:rPr>
                <w:sz w:val="22"/>
                <w:szCs w:val="22"/>
              </w:rPr>
            </w:pPr>
            <w:r>
              <w:rPr>
                <w:sz w:val="22"/>
                <w:szCs w:val="22"/>
              </w:rPr>
              <w:t>M. Brunke</w:t>
            </w:r>
          </w:p>
        </w:tc>
      </w:tr>
      <w:tr>
        <w:tc>
          <w:tcPr>
            <w:tcW w:w="684" w:type="dxa"/>
          </w:tcPr>
          <w:p>
            <w:pPr>
              <w:rPr>
                <w:b/>
              </w:rPr>
            </w:pPr>
            <w:r>
              <w:rPr>
                <w:b/>
              </w:rPr>
              <w:lastRenderedPageBreak/>
              <w:t>6</w:t>
            </w:r>
          </w:p>
        </w:tc>
        <w:tc>
          <w:tcPr>
            <w:tcW w:w="6795" w:type="dxa"/>
          </w:tcPr>
          <w:p>
            <w:pPr>
              <w:rPr>
                <w:b/>
              </w:rPr>
            </w:pPr>
            <w:r>
              <w:rPr>
                <w:b/>
                <w:sz w:val="28"/>
              </w:rPr>
              <w:t>Neues aus dem BMG</w:t>
            </w:r>
          </w:p>
          <w:p>
            <w:pPr>
              <w:pStyle w:val="Listenabsatz"/>
              <w:numPr>
                <w:ilvl w:val="0"/>
                <w:numId w:val="29"/>
              </w:numPr>
            </w:pPr>
            <w:r>
              <w:t>nicht anwesend</w:t>
            </w:r>
          </w:p>
        </w:tc>
        <w:tc>
          <w:tcPr>
            <w:tcW w:w="1492" w:type="dxa"/>
          </w:tcPr>
          <w:p>
            <w:r>
              <w:t>BMG</w:t>
            </w:r>
          </w:p>
        </w:tc>
      </w:tr>
      <w:tr>
        <w:tc>
          <w:tcPr>
            <w:tcW w:w="684" w:type="dxa"/>
          </w:tcPr>
          <w:p>
            <w:pPr>
              <w:rPr>
                <w:b/>
              </w:rPr>
            </w:pPr>
            <w:r>
              <w:rPr>
                <w:b/>
              </w:rPr>
              <w:t>7</w:t>
            </w:r>
          </w:p>
        </w:tc>
        <w:tc>
          <w:tcPr>
            <w:tcW w:w="6795" w:type="dxa"/>
          </w:tcPr>
          <w:p>
            <w:pPr>
              <w:rPr>
                <w:b/>
                <w:sz w:val="28"/>
              </w:rPr>
            </w:pPr>
            <w:r>
              <w:rPr>
                <w:b/>
                <w:sz w:val="28"/>
              </w:rPr>
              <w:t>Strategie Fragen</w:t>
            </w:r>
          </w:p>
          <w:p>
            <w:pPr>
              <w:pStyle w:val="Listenabsatz"/>
              <w:numPr>
                <w:ilvl w:val="0"/>
                <w:numId w:val="31"/>
              </w:numPr>
              <w:rPr>
                <w:b/>
              </w:rPr>
            </w:pPr>
            <w:r>
              <w:rPr>
                <w:b/>
              </w:rPr>
              <w:t>Allgemein</w:t>
            </w:r>
          </w:p>
          <w:p>
            <w:pPr>
              <w:pStyle w:val="Listenabsatz"/>
              <w:numPr>
                <w:ilvl w:val="0"/>
                <w:numId w:val="24"/>
              </w:numPr>
            </w:pPr>
            <w:r>
              <w:t>nicht besprochen</w:t>
            </w:r>
          </w:p>
          <w:p>
            <w:pPr>
              <w:pStyle w:val="Listenabsatz"/>
              <w:numPr>
                <w:ilvl w:val="0"/>
                <w:numId w:val="31"/>
              </w:numPr>
              <w:rPr>
                <w:b/>
              </w:rPr>
            </w:pPr>
            <w:r>
              <w:rPr>
                <w:b/>
              </w:rPr>
              <w:t>RKI-intern</w:t>
            </w:r>
          </w:p>
          <w:p>
            <w:pPr>
              <w:pStyle w:val="Listenabsatz"/>
              <w:numPr>
                <w:ilvl w:val="0"/>
                <w:numId w:val="24"/>
              </w:numPr>
            </w:pPr>
            <w:r>
              <w:t>nicht besprochen</w:t>
            </w:r>
          </w:p>
          <w:p>
            <w:pPr>
              <w:rPr>
                <w:b/>
              </w:rPr>
            </w:pPr>
          </w:p>
        </w:tc>
        <w:tc>
          <w:tcPr>
            <w:tcW w:w="1492" w:type="dxa"/>
          </w:tcPr>
          <w:p>
            <w:r>
              <w:t>Alle</w:t>
            </w:r>
          </w:p>
        </w:tc>
      </w:tr>
      <w:tr>
        <w:tc>
          <w:tcPr>
            <w:tcW w:w="684" w:type="dxa"/>
          </w:tcPr>
          <w:p>
            <w:pPr>
              <w:rPr>
                <w:b/>
              </w:rPr>
            </w:pPr>
            <w:r>
              <w:rPr>
                <w:b/>
              </w:rPr>
              <w:t>8</w:t>
            </w:r>
          </w:p>
        </w:tc>
        <w:tc>
          <w:tcPr>
            <w:tcW w:w="6795" w:type="dxa"/>
          </w:tcPr>
          <w:p>
            <w:pPr>
              <w:rPr>
                <w:b/>
                <w:sz w:val="28"/>
              </w:rPr>
            </w:pPr>
            <w:r>
              <w:rPr>
                <w:b/>
                <w:sz w:val="28"/>
              </w:rPr>
              <w:t>Dokumente</w:t>
            </w:r>
          </w:p>
          <w:p>
            <w:pPr>
              <w:pStyle w:val="Listenabsatz"/>
              <w:numPr>
                <w:ilvl w:val="0"/>
                <w:numId w:val="24"/>
              </w:numPr>
            </w:pPr>
            <w:r>
              <w:rPr>
                <w:bCs/>
              </w:rPr>
              <w:t xml:space="preserve">Online seit Sonntag: Digitale Einreiseanmeldung (DEA), Regelungen für Einreisende nach Deutschland im Zusammenhang mit COVID-19 (siehe auch </w:t>
            </w:r>
            <w:hyperlink r:id="rId11" w:history="1">
              <w:r>
                <w:rPr>
                  <w:rStyle w:val="Hyperlink"/>
                  <w:bCs/>
                </w:rPr>
                <w:t>https://www.einreiseanmeldung.de/</w:t>
              </w:r>
            </w:hyperlink>
            <w:r>
              <w:rPr>
                <w:bCs/>
              </w:rPr>
              <w:t>)</w:t>
            </w:r>
          </w:p>
          <w:p>
            <w:pPr>
              <w:pStyle w:val="Listenabsatz"/>
              <w:numPr>
                <w:ilvl w:val="0"/>
                <w:numId w:val="24"/>
              </w:numPr>
              <w:rPr>
                <w:bCs/>
              </w:rPr>
            </w:pPr>
            <w:r>
              <w:rPr>
                <w:bCs/>
              </w:rPr>
              <w:t xml:space="preserve">Am RKI wurde eine Clearing Stelle dafür eingerichtet, für die Fr. </w:t>
            </w:r>
            <w:proofErr w:type="gramStart"/>
            <w:r>
              <w:rPr>
                <w:bCs/>
              </w:rPr>
              <w:t>an der Heiden</w:t>
            </w:r>
            <w:proofErr w:type="gramEnd"/>
            <w:r>
              <w:rPr>
                <w:bCs/>
              </w:rPr>
              <w:t xml:space="preserve"> zuständig ist. Sie arbeitet sich in das Thema ein, es ist allerdings unklar wie viele Anfragen eintreffen werden. FG 31 ist dafür zuständig Zertifikate zu erstellen. Das Thema ist ein Großprojekt das leicht zur technischen, personellen und fachlichen Überforderung des RKI führen könnte. Die Clearingstelle soll inhaltlich prüfen, welches Gesundheitsamt für die Einreisenden zuständig ist. Ein Outsourcing der Clearingstelle wird angestrebt.</w:t>
            </w:r>
          </w:p>
          <w:p>
            <w:pPr>
              <w:rPr>
                <w:i/>
                <w:sz w:val="22"/>
                <w:szCs w:val="22"/>
              </w:rPr>
            </w:pPr>
          </w:p>
        </w:tc>
        <w:tc>
          <w:tcPr>
            <w:tcW w:w="1492" w:type="dxa"/>
          </w:tcPr>
          <w:p>
            <w:pPr>
              <w:rPr>
                <w:sz w:val="22"/>
                <w:szCs w:val="22"/>
              </w:rPr>
            </w:pPr>
          </w:p>
          <w:p>
            <w:pPr>
              <w:rPr>
                <w:sz w:val="22"/>
                <w:szCs w:val="22"/>
              </w:rPr>
            </w:pPr>
            <w:r>
              <w:rPr>
                <w:sz w:val="22"/>
                <w:szCs w:val="22"/>
              </w:rPr>
              <w:t>FG32</w:t>
            </w:r>
          </w:p>
          <w:p>
            <w:pPr>
              <w:rPr>
                <w:sz w:val="22"/>
                <w:szCs w:val="22"/>
              </w:rPr>
            </w:pPr>
            <w:r>
              <w:rPr>
                <w:sz w:val="22"/>
                <w:szCs w:val="22"/>
              </w:rPr>
              <w:t>U. Rexroth</w:t>
            </w:r>
          </w:p>
          <w:p>
            <w:pPr>
              <w:rPr>
                <w:sz w:val="22"/>
                <w:szCs w:val="22"/>
              </w:rPr>
            </w:pPr>
          </w:p>
        </w:tc>
      </w:tr>
      <w:tr>
        <w:tc>
          <w:tcPr>
            <w:tcW w:w="684" w:type="dxa"/>
          </w:tcPr>
          <w:p>
            <w:r>
              <w:t>9</w:t>
            </w:r>
          </w:p>
        </w:tc>
        <w:tc>
          <w:tcPr>
            <w:tcW w:w="6795" w:type="dxa"/>
          </w:tcPr>
          <w:p>
            <w:pPr>
              <w:rPr>
                <w:b/>
                <w:sz w:val="28"/>
              </w:rPr>
            </w:pPr>
            <w:r>
              <w:rPr>
                <w:b/>
                <w:sz w:val="28"/>
              </w:rPr>
              <w:t>Update Impfen (nur freitags)</w:t>
            </w:r>
          </w:p>
          <w:p>
            <w:pPr>
              <w:pStyle w:val="Listenabsatz"/>
              <w:numPr>
                <w:ilvl w:val="0"/>
                <w:numId w:val="24"/>
              </w:numPr>
            </w:pPr>
            <w:r>
              <w:t>Nicht besprochen</w:t>
            </w:r>
          </w:p>
          <w:p/>
        </w:tc>
        <w:tc>
          <w:tcPr>
            <w:tcW w:w="1492" w:type="dxa"/>
          </w:tcPr>
          <w:p>
            <w:r>
              <w:t>FG33</w:t>
            </w:r>
          </w:p>
        </w:tc>
      </w:tr>
      <w:tr>
        <w:tc>
          <w:tcPr>
            <w:tcW w:w="684" w:type="dxa"/>
          </w:tcPr>
          <w:p>
            <w:pPr>
              <w:rPr>
                <w:b/>
              </w:rPr>
            </w:pPr>
            <w:r>
              <w:rPr>
                <w:b/>
              </w:rPr>
              <w:t>10</w:t>
            </w:r>
          </w:p>
        </w:tc>
        <w:tc>
          <w:tcPr>
            <w:tcW w:w="6795" w:type="dxa"/>
          </w:tcPr>
          <w:p>
            <w:pPr>
              <w:rPr>
                <w:b/>
                <w:sz w:val="28"/>
              </w:rPr>
            </w:pPr>
            <w:r>
              <w:rPr>
                <w:b/>
                <w:sz w:val="28"/>
              </w:rPr>
              <w:t>Labordiagnostik</w:t>
            </w:r>
          </w:p>
          <w:p>
            <w:pPr>
              <w:pStyle w:val="Listenabsatz"/>
              <w:numPr>
                <w:ilvl w:val="0"/>
                <w:numId w:val="24"/>
              </w:numPr>
            </w:pPr>
            <w:r>
              <w:lastRenderedPageBreak/>
              <w:t xml:space="preserve">innerhalb von 2 Wochen erfolgten 110 Einsendungen, 49 wurden positiv auf </w:t>
            </w:r>
            <w:proofErr w:type="spellStart"/>
            <w:r>
              <w:t>Rhinoviren</w:t>
            </w:r>
            <w:proofErr w:type="spellEnd"/>
            <w:r>
              <w:t xml:space="preserve"> und 7 auf SARS-CoV-2 getestet. Aktuell ist wie im Sentinel ein Anstieg zu beobachten.</w:t>
            </w:r>
          </w:p>
          <w:p>
            <w:pPr>
              <w:pStyle w:val="Listenabsatz"/>
              <w:numPr>
                <w:ilvl w:val="0"/>
                <w:numId w:val="24"/>
              </w:numPr>
              <w:rPr>
                <w:sz w:val="22"/>
              </w:rPr>
            </w:pPr>
            <w:r>
              <w:t>In der KW 45 wurden bei ZBS</w:t>
            </w:r>
            <w:r>
              <w:rPr>
                <w:b/>
              </w:rPr>
              <w:t xml:space="preserve"> </w:t>
            </w:r>
            <w:r>
              <w:rPr>
                <w:rStyle w:val="style-chat-msg-3pazj"/>
              </w:rPr>
              <w:t xml:space="preserve">1.840 Proben von GA untersucht, davon 403 positiv. Zusätzlich wurden ca. 1.400 Como Proben mit vereinzelten positiven untersucht. Die Untersuchung ist noch nicht ganz abgeschlossen, da viele Proben erst am Wochenende eingetroffen </w:t>
            </w:r>
            <w:proofErr w:type="gramStart"/>
            <w:r>
              <w:rPr>
                <w:rStyle w:val="style-chat-msg-3pazj"/>
              </w:rPr>
              <w:t>sind</w:t>
            </w:r>
            <w:proofErr w:type="gramEnd"/>
            <w:r>
              <w:rPr>
                <w:rStyle w:val="style-chat-msg-3pazj"/>
              </w:rPr>
              <w:t>.</w:t>
            </w:r>
          </w:p>
        </w:tc>
        <w:tc>
          <w:tcPr>
            <w:tcW w:w="1492" w:type="dxa"/>
          </w:tcPr>
          <w:p>
            <w:pPr>
              <w:rPr>
                <w:szCs w:val="22"/>
              </w:rPr>
            </w:pPr>
          </w:p>
          <w:p>
            <w:pPr>
              <w:rPr>
                <w:szCs w:val="22"/>
              </w:rPr>
            </w:pPr>
            <w:r>
              <w:rPr>
                <w:szCs w:val="22"/>
              </w:rPr>
              <w:t>FG14</w:t>
            </w:r>
          </w:p>
          <w:p>
            <w:pPr>
              <w:rPr>
                <w:szCs w:val="22"/>
              </w:rPr>
            </w:pPr>
            <w:r>
              <w:rPr>
                <w:szCs w:val="22"/>
              </w:rPr>
              <w:lastRenderedPageBreak/>
              <w:t>M. Brunke</w:t>
            </w:r>
          </w:p>
          <w:p>
            <w:pPr>
              <w:rPr>
                <w:szCs w:val="22"/>
              </w:rPr>
            </w:pPr>
          </w:p>
          <w:p>
            <w:pPr>
              <w:rPr>
                <w:szCs w:val="22"/>
              </w:rPr>
            </w:pPr>
          </w:p>
          <w:p>
            <w:pPr>
              <w:rPr>
                <w:szCs w:val="22"/>
              </w:rPr>
            </w:pPr>
            <w:r>
              <w:rPr>
                <w:szCs w:val="22"/>
              </w:rPr>
              <w:t xml:space="preserve">ZBS1 </w:t>
            </w:r>
          </w:p>
          <w:p>
            <w:pPr>
              <w:rPr>
                <w:szCs w:val="22"/>
              </w:rPr>
            </w:pPr>
            <w:r>
              <w:rPr>
                <w:szCs w:val="22"/>
              </w:rPr>
              <w:t xml:space="preserve">L. </w:t>
            </w:r>
            <w:r>
              <w:t>Schrick</w:t>
            </w:r>
          </w:p>
          <w:p>
            <w:pPr>
              <w:rPr>
                <w:sz w:val="22"/>
                <w:szCs w:val="22"/>
              </w:rPr>
            </w:pPr>
          </w:p>
        </w:tc>
      </w:tr>
      <w:tr>
        <w:tc>
          <w:tcPr>
            <w:tcW w:w="684" w:type="dxa"/>
          </w:tcPr>
          <w:p>
            <w:pPr>
              <w:rPr>
                <w:b/>
              </w:rPr>
            </w:pPr>
            <w:r>
              <w:rPr>
                <w:b/>
              </w:rPr>
              <w:lastRenderedPageBreak/>
              <w:t>11</w:t>
            </w:r>
          </w:p>
        </w:tc>
        <w:tc>
          <w:tcPr>
            <w:tcW w:w="6795" w:type="dxa"/>
          </w:tcPr>
          <w:p>
            <w:pPr>
              <w:rPr>
                <w:b/>
              </w:rPr>
            </w:pPr>
            <w:r>
              <w:rPr>
                <w:b/>
              </w:rPr>
              <w:t>Klinisches Management/Entlassungsmanagement</w:t>
            </w:r>
          </w:p>
          <w:p>
            <w:pPr>
              <w:pStyle w:val="Listenabsatz"/>
              <w:numPr>
                <w:ilvl w:val="0"/>
                <w:numId w:val="24"/>
              </w:numPr>
            </w:pPr>
            <w:r>
              <w:t xml:space="preserve">Letztes Wochenende wurde 1 Patient aus Frankreich nach Deutschland verlegt, heute folgen weitere 2 Patienten (alle stabil). Weitere 30 geplante Verlegungen nach Deutschland werden nun innerhalb Frankreichs verlegt. </w:t>
            </w:r>
          </w:p>
        </w:tc>
        <w:tc>
          <w:tcPr>
            <w:tcW w:w="1492" w:type="dxa"/>
          </w:tcPr>
          <w:p>
            <w:r>
              <w:t>IBBS</w:t>
            </w:r>
          </w:p>
          <w:p>
            <w:r>
              <w:t>C. Herzog</w:t>
            </w:r>
          </w:p>
        </w:tc>
      </w:tr>
      <w:tr>
        <w:tc>
          <w:tcPr>
            <w:tcW w:w="684" w:type="dxa"/>
          </w:tcPr>
          <w:p>
            <w:pPr>
              <w:rPr>
                <w:b/>
              </w:rPr>
            </w:pPr>
            <w:r>
              <w:rPr>
                <w:b/>
              </w:rPr>
              <w:t>12</w:t>
            </w:r>
          </w:p>
        </w:tc>
        <w:tc>
          <w:tcPr>
            <w:tcW w:w="6795" w:type="dxa"/>
          </w:tcPr>
          <w:p>
            <w:pPr>
              <w:rPr>
                <w:b/>
              </w:rPr>
            </w:pPr>
            <w:r>
              <w:rPr>
                <w:b/>
              </w:rPr>
              <w:t>Maßnahmen zum Infektionsschutz</w:t>
            </w:r>
          </w:p>
          <w:p>
            <w:pPr>
              <w:pStyle w:val="Listenabsatz"/>
              <w:numPr>
                <w:ilvl w:val="0"/>
                <w:numId w:val="24"/>
              </w:numPr>
            </w:pPr>
            <w:r>
              <w:t xml:space="preserve">Der Pflegebevollmächtigte der Bundesregierung </w:t>
            </w:r>
            <w:proofErr w:type="gramStart"/>
            <w:r>
              <w:t>hat</w:t>
            </w:r>
            <w:proofErr w:type="gramEnd"/>
            <w:r>
              <w:t xml:space="preserve"> ein Papier zu Besuchern von Pflegeheimen erarbeitet. Diesen Mittwoch findet dazu ein Austausch mit dem RKI statt. </w:t>
            </w:r>
          </w:p>
          <w:p>
            <w:pPr>
              <w:pStyle w:val="Listenabsatz"/>
              <w:numPr>
                <w:ilvl w:val="0"/>
                <w:numId w:val="24"/>
              </w:numPr>
            </w:pPr>
            <w:r>
              <w:t xml:space="preserve">Die Ärztekammer Berlin hat eine Stellungnahme zur Teststrategie geschrieben in der u.a. zu seriellen Testungen von Mitarbeitern mittels Antigentests in Pflegeheimen Stellung gezogen wird. Bei dem Papier zu Besuchern in Pflegeheimen sollte darauf geachtet </w:t>
            </w:r>
            <w:proofErr w:type="gramStart"/>
            <w:r>
              <w:t>werden</w:t>
            </w:r>
            <w:proofErr w:type="gramEnd"/>
            <w:r>
              <w:t xml:space="preserve"> dass auch andere Maßnahmen außer Antigentests betrachtet werden. Wichtig ist hier vor allem auch der Schutz Dritter.</w:t>
            </w:r>
          </w:p>
        </w:tc>
        <w:tc>
          <w:tcPr>
            <w:tcW w:w="1492" w:type="dxa"/>
          </w:tcPr>
          <w:p>
            <w:r>
              <w:t>Alle</w:t>
            </w:r>
          </w:p>
          <w:p>
            <w:r>
              <w:t>FG37</w:t>
            </w:r>
          </w:p>
          <w:p/>
          <w:p/>
          <w:p/>
          <w:p>
            <w:r>
              <w:t>Abt.1</w:t>
            </w:r>
          </w:p>
          <w:p>
            <w:r>
              <w:t>M. Mielke</w:t>
            </w:r>
          </w:p>
        </w:tc>
      </w:tr>
      <w:tr>
        <w:tc>
          <w:tcPr>
            <w:tcW w:w="684" w:type="dxa"/>
          </w:tcPr>
          <w:p>
            <w:pPr>
              <w:rPr>
                <w:b/>
              </w:rPr>
            </w:pPr>
            <w:r>
              <w:rPr>
                <w:b/>
              </w:rPr>
              <w:t>13</w:t>
            </w:r>
          </w:p>
        </w:tc>
        <w:tc>
          <w:tcPr>
            <w:tcW w:w="6795" w:type="dxa"/>
          </w:tcPr>
          <w:p>
            <w:pPr>
              <w:rPr>
                <w:b/>
              </w:rPr>
            </w:pPr>
            <w:r>
              <w:rPr>
                <w:b/>
              </w:rPr>
              <w:t>Surveillance</w:t>
            </w:r>
          </w:p>
          <w:p>
            <w:pPr>
              <w:pStyle w:val="Listenabsatz"/>
              <w:numPr>
                <w:ilvl w:val="0"/>
                <w:numId w:val="24"/>
              </w:numPr>
            </w:pPr>
            <w:r>
              <w:t xml:space="preserve">Corona-KiTa-Studie </w:t>
            </w:r>
            <w:r>
              <w:rPr>
                <w:b/>
                <w:color w:val="FF0000"/>
              </w:rPr>
              <w:t>(nur montags)</w:t>
            </w:r>
            <w:r>
              <w:t>: siehe aktuelle Lage</w:t>
            </w:r>
          </w:p>
        </w:tc>
        <w:tc>
          <w:tcPr>
            <w:tcW w:w="1492" w:type="dxa"/>
          </w:tcPr>
          <w:p>
            <w:r>
              <w:t>FG32</w:t>
            </w:r>
            <w:r>
              <w:br/>
              <w:t>FG36</w:t>
            </w:r>
          </w:p>
        </w:tc>
      </w:tr>
      <w:tr>
        <w:tc>
          <w:tcPr>
            <w:tcW w:w="684" w:type="dxa"/>
          </w:tcPr>
          <w:p>
            <w:pPr>
              <w:rPr>
                <w:b/>
              </w:rPr>
            </w:pPr>
            <w:r>
              <w:rPr>
                <w:b/>
              </w:rPr>
              <w:t>14</w:t>
            </w:r>
          </w:p>
        </w:tc>
        <w:tc>
          <w:tcPr>
            <w:tcW w:w="6795" w:type="dxa"/>
          </w:tcPr>
          <w:p>
            <w:pPr>
              <w:rPr>
                <w:b/>
              </w:rPr>
            </w:pPr>
            <w:r>
              <w:rPr>
                <w:b/>
              </w:rPr>
              <w:t xml:space="preserve">Transport und Grenzübergangsstellen </w:t>
            </w:r>
            <w:r>
              <w:rPr>
                <w:b/>
                <w:color w:val="FF0000"/>
              </w:rPr>
              <w:t>(nur freitags)</w:t>
            </w:r>
          </w:p>
          <w:p>
            <w:pPr>
              <w:pStyle w:val="Listenabsatz"/>
              <w:numPr>
                <w:ilvl w:val="0"/>
                <w:numId w:val="24"/>
              </w:numPr>
            </w:pPr>
          </w:p>
        </w:tc>
        <w:tc>
          <w:tcPr>
            <w:tcW w:w="1492" w:type="dxa"/>
          </w:tcPr>
          <w:p>
            <w:r>
              <w:t>FG38</w:t>
            </w:r>
          </w:p>
        </w:tc>
      </w:tr>
      <w:tr>
        <w:tc>
          <w:tcPr>
            <w:tcW w:w="684" w:type="dxa"/>
          </w:tcPr>
          <w:p>
            <w:pPr>
              <w:rPr>
                <w:b/>
              </w:rPr>
            </w:pPr>
            <w:r>
              <w:rPr>
                <w:b/>
              </w:rPr>
              <w:t>15</w:t>
            </w:r>
          </w:p>
        </w:tc>
        <w:tc>
          <w:tcPr>
            <w:tcW w:w="6795" w:type="dxa"/>
          </w:tcPr>
          <w:p>
            <w:pPr>
              <w:rPr>
                <w:b/>
              </w:rPr>
            </w:pPr>
            <w:r>
              <w:rPr>
                <w:b/>
              </w:rPr>
              <w:t xml:space="preserve">Information aus dem Lagezentrum </w:t>
            </w:r>
            <w:r>
              <w:rPr>
                <w:b/>
                <w:color w:val="FF0000"/>
              </w:rPr>
              <w:t>(nur freitags)</w:t>
            </w:r>
          </w:p>
          <w:p>
            <w:pPr>
              <w:pStyle w:val="Listenabsatz"/>
              <w:numPr>
                <w:ilvl w:val="0"/>
                <w:numId w:val="24"/>
              </w:numPr>
            </w:pPr>
          </w:p>
        </w:tc>
        <w:tc>
          <w:tcPr>
            <w:tcW w:w="1492" w:type="dxa"/>
          </w:tcPr>
          <w:p>
            <w:r>
              <w:t>FG38</w:t>
            </w:r>
          </w:p>
        </w:tc>
      </w:tr>
      <w:tr>
        <w:tc>
          <w:tcPr>
            <w:tcW w:w="684" w:type="dxa"/>
          </w:tcPr>
          <w:p>
            <w:pPr>
              <w:rPr>
                <w:b/>
              </w:rPr>
            </w:pPr>
            <w:r>
              <w:rPr>
                <w:b/>
              </w:rPr>
              <w:t>16</w:t>
            </w:r>
          </w:p>
        </w:tc>
        <w:tc>
          <w:tcPr>
            <w:tcW w:w="6795" w:type="dxa"/>
          </w:tcPr>
          <w:p>
            <w:pPr>
              <w:rPr>
                <w:b/>
              </w:rPr>
            </w:pPr>
            <w:r>
              <w:rPr>
                <w:b/>
              </w:rPr>
              <w:t>Wichtige Termine</w:t>
            </w:r>
          </w:p>
          <w:p>
            <w:pPr>
              <w:pStyle w:val="Listenabsatz"/>
              <w:numPr>
                <w:ilvl w:val="0"/>
                <w:numId w:val="24"/>
              </w:numPr>
              <w:rPr>
                <w:b/>
              </w:rPr>
            </w:pPr>
            <w:r>
              <w:t>ZIG: Fr. Hahnefeld erinnert an den geplanten Austausch mit der französischen Regierung. In dem Rahmen sollen Interviews mit Mitarbeitern des RKI geführt werden. Entsprechende Einladungen erfolgten für den 12.11. von 16:00-17:30 Uhr an verschiedene Personen. Viele haben abgesagt, daher die Bitte an den Krisenstab an den Interviews teilzunehmen. Die entsprechende Einladung wird nochmal an den Krisenstab verschickt. U. Rexroth kann eventuell daran teilnehmen.</w:t>
            </w:r>
          </w:p>
        </w:tc>
        <w:tc>
          <w:tcPr>
            <w:tcW w:w="1492" w:type="dxa"/>
          </w:tcPr>
          <w:p>
            <w:r>
              <w:t>Alle</w:t>
            </w:r>
          </w:p>
        </w:tc>
      </w:tr>
    </w:tbl>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                                                                                                                              </w:t>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sz w:val="16"/>
      </w:rPr>
    </w:pPr>
    <w:r>
      <w:rPr>
        <w:color w:val="1F497D" w:themeColor="text2"/>
        <w:sz w:val="16"/>
      </w:rPr>
      <w:t>VS - NUR FÜR DEN DIENSTGEBRAUCH</w:t>
    </w:r>
    <w:r>
      <w:rPr>
        <w:color w:val="1F497D" w:themeColor="text2"/>
        <w:sz w:val="16"/>
      </w:rPr>
      <w:tab/>
    </w:r>
    <w:r>
      <w:rPr>
        <w:color w:val="1F497D" w:themeColor="text2"/>
        <w:sz w:val="16"/>
      </w:rPr>
      <w:tab/>
    </w:r>
    <w:r>
      <w:rPr>
        <w:noProof/>
        <w:color w:val="1F497D" w:themeColor="text2"/>
        <w:sz w:val="16"/>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8AF"/>
    <w:multiLevelType w:val="hybridMultilevel"/>
    <w:tmpl w:val="56186E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A35E7A"/>
    <w:multiLevelType w:val="hybridMultilevel"/>
    <w:tmpl w:val="8446F1D6"/>
    <w:lvl w:ilvl="0" w:tplc="66C86DBC">
      <w:start w:val="1"/>
      <w:numFmt w:val="bullet"/>
      <w:lvlText w:val="•"/>
      <w:lvlJc w:val="left"/>
      <w:pPr>
        <w:tabs>
          <w:tab w:val="num" w:pos="720"/>
        </w:tabs>
        <w:ind w:left="720" w:hanging="360"/>
      </w:pPr>
      <w:rPr>
        <w:rFonts w:ascii="Arial" w:hAnsi="Arial" w:hint="default"/>
      </w:rPr>
    </w:lvl>
    <w:lvl w:ilvl="1" w:tplc="3846569E" w:tentative="1">
      <w:start w:val="1"/>
      <w:numFmt w:val="bullet"/>
      <w:lvlText w:val="•"/>
      <w:lvlJc w:val="left"/>
      <w:pPr>
        <w:tabs>
          <w:tab w:val="num" w:pos="1440"/>
        </w:tabs>
        <w:ind w:left="1440" w:hanging="360"/>
      </w:pPr>
      <w:rPr>
        <w:rFonts w:ascii="Arial" w:hAnsi="Arial" w:hint="default"/>
      </w:rPr>
    </w:lvl>
    <w:lvl w:ilvl="2" w:tplc="4F02730E" w:tentative="1">
      <w:start w:val="1"/>
      <w:numFmt w:val="bullet"/>
      <w:lvlText w:val="•"/>
      <w:lvlJc w:val="left"/>
      <w:pPr>
        <w:tabs>
          <w:tab w:val="num" w:pos="2160"/>
        </w:tabs>
        <w:ind w:left="2160" w:hanging="360"/>
      </w:pPr>
      <w:rPr>
        <w:rFonts w:ascii="Arial" w:hAnsi="Arial" w:hint="default"/>
      </w:rPr>
    </w:lvl>
    <w:lvl w:ilvl="3" w:tplc="4AF4BFCC" w:tentative="1">
      <w:start w:val="1"/>
      <w:numFmt w:val="bullet"/>
      <w:lvlText w:val="•"/>
      <w:lvlJc w:val="left"/>
      <w:pPr>
        <w:tabs>
          <w:tab w:val="num" w:pos="2880"/>
        </w:tabs>
        <w:ind w:left="2880" w:hanging="360"/>
      </w:pPr>
      <w:rPr>
        <w:rFonts w:ascii="Arial" w:hAnsi="Arial" w:hint="default"/>
      </w:rPr>
    </w:lvl>
    <w:lvl w:ilvl="4" w:tplc="6C2C55FA" w:tentative="1">
      <w:start w:val="1"/>
      <w:numFmt w:val="bullet"/>
      <w:lvlText w:val="•"/>
      <w:lvlJc w:val="left"/>
      <w:pPr>
        <w:tabs>
          <w:tab w:val="num" w:pos="3600"/>
        </w:tabs>
        <w:ind w:left="3600" w:hanging="360"/>
      </w:pPr>
      <w:rPr>
        <w:rFonts w:ascii="Arial" w:hAnsi="Arial" w:hint="default"/>
      </w:rPr>
    </w:lvl>
    <w:lvl w:ilvl="5" w:tplc="E4925254" w:tentative="1">
      <w:start w:val="1"/>
      <w:numFmt w:val="bullet"/>
      <w:lvlText w:val="•"/>
      <w:lvlJc w:val="left"/>
      <w:pPr>
        <w:tabs>
          <w:tab w:val="num" w:pos="4320"/>
        </w:tabs>
        <w:ind w:left="4320" w:hanging="360"/>
      </w:pPr>
      <w:rPr>
        <w:rFonts w:ascii="Arial" w:hAnsi="Arial" w:hint="default"/>
      </w:rPr>
    </w:lvl>
    <w:lvl w:ilvl="6" w:tplc="DBDAB23A" w:tentative="1">
      <w:start w:val="1"/>
      <w:numFmt w:val="bullet"/>
      <w:lvlText w:val="•"/>
      <w:lvlJc w:val="left"/>
      <w:pPr>
        <w:tabs>
          <w:tab w:val="num" w:pos="5040"/>
        </w:tabs>
        <w:ind w:left="5040" w:hanging="360"/>
      </w:pPr>
      <w:rPr>
        <w:rFonts w:ascii="Arial" w:hAnsi="Arial" w:hint="default"/>
      </w:rPr>
    </w:lvl>
    <w:lvl w:ilvl="7" w:tplc="0C9E8F00" w:tentative="1">
      <w:start w:val="1"/>
      <w:numFmt w:val="bullet"/>
      <w:lvlText w:val="•"/>
      <w:lvlJc w:val="left"/>
      <w:pPr>
        <w:tabs>
          <w:tab w:val="num" w:pos="5760"/>
        </w:tabs>
        <w:ind w:left="5760" w:hanging="360"/>
      </w:pPr>
      <w:rPr>
        <w:rFonts w:ascii="Arial" w:hAnsi="Arial" w:hint="default"/>
      </w:rPr>
    </w:lvl>
    <w:lvl w:ilvl="8" w:tplc="926247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B81D02"/>
    <w:multiLevelType w:val="hybridMultilevel"/>
    <w:tmpl w:val="0BF6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8756EDB"/>
    <w:multiLevelType w:val="hybridMultilevel"/>
    <w:tmpl w:val="3BBAB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015383"/>
    <w:multiLevelType w:val="hybridMultilevel"/>
    <w:tmpl w:val="274C18AE"/>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25893374"/>
    <w:multiLevelType w:val="hybridMultilevel"/>
    <w:tmpl w:val="3BA6B364"/>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181420"/>
    <w:multiLevelType w:val="hybridMultilevel"/>
    <w:tmpl w:val="1E28660C"/>
    <w:lvl w:ilvl="0" w:tplc="30B051F8">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397807"/>
    <w:multiLevelType w:val="hybridMultilevel"/>
    <w:tmpl w:val="8A38F1E6"/>
    <w:lvl w:ilvl="0" w:tplc="B970B082">
      <w:start w:val="1"/>
      <w:numFmt w:val="bullet"/>
      <w:lvlText w:val=""/>
      <w:lvlJc w:val="left"/>
      <w:pPr>
        <w:ind w:left="1080" w:hanging="360"/>
      </w:pPr>
      <w:rPr>
        <w:rFonts w:ascii="Symbol" w:hAnsi="Symbol" w:hint="default"/>
        <w:color w:val="auto"/>
        <w:sz w:val="24"/>
        <w:szCs w:val="24"/>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C3E1197"/>
    <w:multiLevelType w:val="hybridMultilevel"/>
    <w:tmpl w:val="C80E5A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C47693C"/>
    <w:multiLevelType w:val="hybridMultilevel"/>
    <w:tmpl w:val="234A4544"/>
    <w:lvl w:ilvl="0" w:tplc="D302866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CC196C"/>
    <w:multiLevelType w:val="hybridMultilevel"/>
    <w:tmpl w:val="FB6615B0"/>
    <w:lvl w:ilvl="0" w:tplc="51523FA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D514EE"/>
    <w:multiLevelType w:val="hybridMultilevel"/>
    <w:tmpl w:val="5504EDDC"/>
    <w:lvl w:ilvl="0" w:tplc="30B051F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6B7E01"/>
    <w:multiLevelType w:val="hybridMultilevel"/>
    <w:tmpl w:val="99A6DB46"/>
    <w:lvl w:ilvl="0" w:tplc="04070003">
      <w:start w:val="1"/>
      <w:numFmt w:val="bullet"/>
      <w:lvlText w:val="o"/>
      <w:lvlJc w:val="left"/>
      <w:pPr>
        <w:ind w:left="915" w:hanging="360"/>
      </w:pPr>
      <w:rPr>
        <w:rFonts w:ascii="Courier New" w:hAnsi="Courier New" w:cs="Courier New" w:hint="default"/>
      </w:rPr>
    </w:lvl>
    <w:lvl w:ilvl="1" w:tplc="04070003" w:tentative="1">
      <w:start w:val="1"/>
      <w:numFmt w:val="bullet"/>
      <w:lvlText w:val="o"/>
      <w:lvlJc w:val="left"/>
      <w:pPr>
        <w:ind w:left="1635" w:hanging="360"/>
      </w:pPr>
      <w:rPr>
        <w:rFonts w:ascii="Courier New" w:hAnsi="Courier New" w:cs="Courier New" w:hint="default"/>
      </w:rPr>
    </w:lvl>
    <w:lvl w:ilvl="2" w:tplc="04070005" w:tentative="1">
      <w:start w:val="1"/>
      <w:numFmt w:val="bullet"/>
      <w:lvlText w:val=""/>
      <w:lvlJc w:val="left"/>
      <w:pPr>
        <w:ind w:left="2355" w:hanging="360"/>
      </w:pPr>
      <w:rPr>
        <w:rFonts w:ascii="Wingdings" w:hAnsi="Wingdings" w:hint="default"/>
      </w:rPr>
    </w:lvl>
    <w:lvl w:ilvl="3" w:tplc="04070001" w:tentative="1">
      <w:start w:val="1"/>
      <w:numFmt w:val="bullet"/>
      <w:lvlText w:val=""/>
      <w:lvlJc w:val="left"/>
      <w:pPr>
        <w:ind w:left="3075" w:hanging="360"/>
      </w:pPr>
      <w:rPr>
        <w:rFonts w:ascii="Symbol" w:hAnsi="Symbol" w:hint="default"/>
      </w:rPr>
    </w:lvl>
    <w:lvl w:ilvl="4" w:tplc="04070003" w:tentative="1">
      <w:start w:val="1"/>
      <w:numFmt w:val="bullet"/>
      <w:lvlText w:val="o"/>
      <w:lvlJc w:val="left"/>
      <w:pPr>
        <w:ind w:left="3795" w:hanging="360"/>
      </w:pPr>
      <w:rPr>
        <w:rFonts w:ascii="Courier New" w:hAnsi="Courier New" w:cs="Courier New" w:hint="default"/>
      </w:rPr>
    </w:lvl>
    <w:lvl w:ilvl="5" w:tplc="04070005" w:tentative="1">
      <w:start w:val="1"/>
      <w:numFmt w:val="bullet"/>
      <w:lvlText w:val=""/>
      <w:lvlJc w:val="left"/>
      <w:pPr>
        <w:ind w:left="4515" w:hanging="360"/>
      </w:pPr>
      <w:rPr>
        <w:rFonts w:ascii="Wingdings" w:hAnsi="Wingdings" w:hint="default"/>
      </w:rPr>
    </w:lvl>
    <w:lvl w:ilvl="6" w:tplc="04070001" w:tentative="1">
      <w:start w:val="1"/>
      <w:numFmt w:val="bullet"/>
      <w:lvlText w:val=""/>
      <w:lvlJc w:val="left"/>
      <w:pPr>
        <w:ind w:left="5235" w:hanging="360"/>
      </w:pPr>
      <w:rPr>
        <w:rFonts w:ascii="Symbol" w:hAnsi="Symbol" w:hint="default"/>
      </w:rPr>
    </w:lvl>
    <w:lvl w:ilvl="7" w:tplc="04070003" w:tentative="1">
      <w:start w:val="1"/>
      <w:numFmt w:val="bullet"/>
      <w:lvlText w:val="o"/>
      <w:lvlJc w:val="left"/>
      <w:pPr>
        <w:ind w:left="5955" w:hanging="360"/>
      </w:pPr>
      <w:rPr>
        <w:rFonts w:ascii="Courier New" w:hAnsi="Courier New" w:cs="Courier New" w:hint="default"/>
      </w:rPr>
    </w:lvl>
    <w:lvl w:ilvl="8" w:tplc="04070005" w:tentative="1">
      <w:start w:val="1"/>
      <w:numFmt w:val="bullet"/>
      <w:lvlText w:val=""/>
      <w:lvlJc w:val="left"/>
      <w:pPr>
        <w:ind w:left="6675" w:hanging="360"/>
      </w:pPr>
      <w:rPr>
        <w:rFonts w:ascii="Wingdings" w:hAnsi="Wingdings" w:hint="default"/>
      </w:rPr>
    </w:lvl>
  </w:abstractNum>
  <w:abstractNum w:abstractNumId="17"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2EA5E8B"/>
    <w:multiLevelType w:val="hybridMultilevel"/>
    <w:tmpl w:val="783878C6"/>
    <w:lvl w:ilvl="0" w:tplc="C720A0A0">
      <w:start w:val="1"/>
      <w:numFmt w:val="bullet"/>
      <w:lvlText w:val=""/>
      <w:lvlJc w:val="left"/>
      <w:pPr>
        <w:tabs>
          <w:tab w:val="num" w:pos="720"/>
        </w:tabs>
        <w:ind w:left="720" w:hanging="360"/>
      </w:pPr>
      <w:rPr>
        <w:rFonts w:ascii="Wingdings" w:hAnsi="Wingdings" w:hint="default"/>
      </w:rPr>
    </w:lvl>
    <w:lvl w:ilvl="1" w:tplc="B8121BCA" w:tentative="1">
      <w:start w:val="1"/>
      <w:numFmt w:val="bullet"/>
      <w:lvlText w:val=""/>
      <w:lvlJc w:val="left"/>
      <w:pPr>
        <w:tabs>
          <w:tab w:val="num" w:pos="1440"/>
        </w:tabs>
        <w:ind w:left="1440" w:hanging="360"/>
      </w:pPr>
      <w:rPr>
        <w:rFonts w:ascii="Wingdings" w:hAnsi="Wingdings" w:hint="default"/>
      </w:rPr>
    </w:lvl>
    <w:lvl w:ilvl="2" w:tplc="54A84C86" w:tentative="1">
      <w:start w:val="1"/>
      <w:numFmt w:val="bullet"/>
      <w:lvlText w:val=""/>
      <w:lvlJc w:val="left"/>
      <w:pPr>
        <w:tabs>
          <w:tab w:val="num" w:pos="2160"/>
        </w:tabs>
        <w:ind w:left="2160" w:hanging="360"/>
      </w:pPr>
      <w:rPr>
        <w:rFonts w:ascii="Wingdings" w:hAnsi="Wingdings" w:hint="default"/>
      </w:rPr>
    </w:lvl>
    <w:lvl w:ilvl="3" w:tplc="00901294" w:tentative="1">
      <w:start w:val="1"/>
      <w:numFmt w:val="bullet"/>
      <w:lvlText w:val=""/>
      <w:lvlJc w:val="left"/>
      <w:pPr>
        <w:tabs>
          <w:tab w:val="num" w:pos="2880"/>
        </w:tabs>
        <w:ind w:left="2880" w:hanging="360"/>
      </w:pPr>
      <w:rPr>
        <w:rFonts w:ascii="Wingdings" w:hAnsi="Wingdings" w:hint="default"/>
      </w:rPr>
    </w:lvl>
    <w:lvl w:ilvl="4" w:tplc="FD94DBFC" w:tentative="1">
      <w:start w:val="1"/>
      <w:numFmt w:val="bullet"/>
      <w:lvlText w:val=""/>
      <w:lvlJc w:val="left"/>
      <w:pPr>
        <w:tabs>
          <w:tab w:val="num" w:pos="3600"/>
        </w:tabs>
        <w:ind w:left="3600" w:hanging="360"/>
      </w:pPr>
      <w:rPr>
        <w:rFonts w:ascii="Wingdings" w:hAnsi="Wingdings" w:hint="default"/>
      </w:rPr>
    </w:lvl>
    <w:lvl w:ilvl="5" w:tplc="E676C06E" w:tentative="1">
      <w:start w:val="1"/>
      <w:numFmt w:val="bullet"/>
      <w:lvlText w:val=""/>
      <w:lvlJc w:val="left"/>
      <w:pPr>
        <w:tabs>
          <w:tab w:val="num" w:pos="4320"/>
        </w:tabs>
        <w:ind w:left="4320" w:hanging="360"/>
      </w:pPr>
      <w:rPr>
        <w:rFonts w:ascii="Wingdings" w:hAnsi="Wingdings" w:hint="default"/>
      </w:rPr>
    </w:lvl>
    <w:lvl w:ilvl="6" w:tplc="C7E4F3F2" w:tentative="1">
      <w:start w:val="1"/>
      <w:numFmt w:val="bullet"/>
      <w:lvlText w:val=""/>
      <w:lvlJc w:val="left"/>
      <w:pPr>
        <w:tabs>
          <w:tab w:val="num" w:pos="5040"/>
        </w:tabs>
        <w:ind w:left="5040" w:hanging="360"/>
      </w:pPr>
      <w:rPr>
        <w:rFonts w:ascii="Wingdings" w:hAnsi="Wingdings" w:hint="default"/>
      </w:rPr>
    </w:lvl>
    <w:lvl w:ilvl="7" w:tplc="1DB4FFAC" w:tentative="1">
      <w:start w:val="1"/>
      <w:numFmt w:val="bullet"/>
      <w:lvlText w:val=""/>
      <w:lvlJc w:val="left"/>
      <w:pPr>
        <w:tabs>
          <w:tab w:val="num" w:pos="5760"/>
        </w:tabs>
        <w:ind w:left="5760" w:hanging="360"/>
      </w:pPr>
      <w:rPr>
        <w:rFonts w:ascii="Wingdings" w:hAnsi="Wingdings" w:hint="default"/>
      </w:rPr>
    </w:lvl>
    <w:lvl w:ilvl="8" w:tplc="16C2779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F21567"/>
    <w:multiLevelType w:val="hybridMultilevel"/>
    <w:tmpl w:val="3EDE31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708305E"/>
    <w:multiLevelType w:val="hybridMultilevel"/>
    <w:tmpl w:val="A4A84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7D3A41"/>
    <w:multiLevelType w:val="hybridMultilevel"/>
    <w:tmpl w:val="7632C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96456F5"/>
    <w:multiLevelType w:val="hybridMultilevel"/>
    <w:tmpl w:val="41CCC46C"/>
    <w:lvl w:ilvl="0" w:tplc="DA929ADE">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3F0A78"/>
    <w:multiLevelType w:val="hybridMultilevel"/>
    <w:tmpl w:val="8F366D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3FD59C2"/>
    <w:multiLevelType w:val="hybridMultilevel"/>
    <w:tmpl w:val="BD5623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5F0180D"/>
    <w:multiLevelType w:val="hybridMultilevel"/>
    <w:tmpl w:val="27D6C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77E3D10"/>
    <w:multiLevelType w:val="hybridMultilevel"/>
    <w:tmpl w:val="B1325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AC0447"/>
    <w:multiLevelType w:val="hybridMultilevel"/>
    <w:tmpl w:val="3CA4B3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DA0D9F"/>
    <w:multiLevelType w:val="hybridMultilevel"/>
    <w:tmpl w:val="83168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2D07176"/>
    <w:multiLevelType w:val="hybridMultilevel"/>
    <w:tmpl w:val="56EC2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26"/>
  </w:num>
  <w:num w:numId="4">
    <w:abstractNumId w:val="2"/>
  </w:num>
  <w:num w:numId="5">
    <w:abstractNumId w:val="25"/>
  </w:num>
  <w:num w:numId="6">
    <w:abstractNumId w:val="7"/>
  </w:num>
  <w:num w:numId="7">
    <w:abstractNumId w:val="27"/>
  </w:num>
  <w:num w:numId="8">
    <w:abstractNumId w:val="23"/>
  </w:num>
  <w:num w:numId="9">
    <w:abstractNumId w:val="32"/>
  </w:num>
  <w:num w:numId="10">
    <w:abstractNumId w:val="10"/>
  </w:num>
  <w:num w:numId="11">
    <w:abstractNumId w:val="1"/>
  </w:num>
  <w:num w:numId="12">
    <w:abstractNumId w:val="5"/>
  </w:num>
  <w:num w:numId="13">
    <w:abstractNumId w:val="29"/>
  </w:num>
  <w:num w:numId="14">
    <w:abstractNumId w:val="19"/>
  </w:num>
  <w:num w:numId="15">
    <w:abstractNumId w:val="4"/>
  </w:num>
  <w:num w:numId="16">
    <w:abstractNumId w:val="8"/>
  </w:num>
  <w:num w:numId="17">
    <w:abstractNumId w:val="0"/>
  </w:num>
  <w:num w:numId="18">
    <w:abstractNumId w:val="14"/>
  </w:num>
  <w:num w:numId="19">
    <w:abstractNumId w:val="9"/>
  </w:num>
  <w:num w:numId="20">
    <w:abstractNumId w:val="31"/>
  </w:num>
  <w:num w:numId="21">
    <w:abstractNumId w:val="15"/>
  </w:num>
  <w:num w:numId="22">
    <w:abstractNumId w:val="6"/>
  </w:num>
  <w:num w:numId="23">
    <w:abstractNumId w:val="13"/>
  </w:num>
  <w:num w:numId="24">
    <w:abstractNumId w:val="20"/>
  </w:num>
  <w:num w:numId="25">
    <w:abstractNumId w:val="22"/>
  </w:num>
  <w:num w:numId="26">
    <w:abstractNumId w:val="24"/>
  </w:num>
  <w:num w:numId="27">
    <w:abstractNumId w:val="33"/>
  </w:num>
  <w:num w:numId="28">
    <w:abstractNumId w:val="30"/>
  </w:num>
  <w:num w:numId="29">
    <w:abstractNumId w:val="21"/>
  </w:num>
  <w:num w:numId="30">
    <w:abstractNumId w:val="28"/>
  </w:num>
  <w:num w:numId="31">
    <w:abstractNumId w:val="12"/>
  </w:num>
  <w:num w:numId="32">
    <w:abstractNumId w:val="11"/>
  </w:num>
  <w:num w:numId="33">
    <w:abstractNumId w:val="16"/>
  </w:num>
  <w:num w:numId="34">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5:docId w15:val="{165CB502-15C7-4AAD-974D-B6D894FE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paragraph" w:styleId="StandardWeb">
    <w:name w:val="Normal (Web)"/>
    <w:basedOn w:val="Standard"/>
    <w:uiPriority w:val="99"/>
    <w:unhideWhenUsed/>
    <w:pPr>
      <w:spacing w:before="100" w:beforeAutospacing="1" w:after="100" w:afterAutospacing="1"/>
    </w:pPr>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 w:type="character" w:customStyle="1" w:styleId="style-chat-msg-3pazj">
    <w:name w:val="style-chat-msg-3pazj"/>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550070">
      <w:bodyDiv w:val="1"/>
      <w:marLeft w:val="0"/>
      <w:marRight w:val="0"/>
      <w:marTop w:val="0"/>
      <w:marBottom w:val="0"/>
      <w:divBdr>
        <w:top w:val="none" w:sz="0" w:space="0" w:color="auto"/>
        <w:left w:val="none" w:sz="0" w:space="0" w:color="auto"/>
        <w:bottom w:val="none" w:sz="0" w:space="0" w:color="auto"/>
        <w:right w:val="none" w:sz="0" w:space="0" w:color="auto"/>
      </w:divBdr>
      <w:divsChild>
        <w:div w:id="1311788953">
          <w:marLeft w:val="547"/>
          <w:marRight w:val="0"/>
          <w:marTop w:val="86"/>
          <w:marBottom w:val="0"/>
          <w:divBdr>
            <w:top w:val="none" w:sz="0" w:space="0" w:color="auto"/>
            <w:left w:val="none" w:sz="0" w:space="0" w:color="auto"/>
            <w:bottom w:val="none" w:sz="0" w:space="0" w:color="auto"/>
            <w:right w:val="none" w:sz="0" w:space="0" w:color="auto"/>
          </w:divBdr>
        </w:div>
        <w:div w:id="1036272128">
          <w:marLeft w:val="547"/>
          <w:marRight w:val="0"/>
          <w:marTop w:val="86"/>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876358292">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52209692">
      <w:bodyDiv w:val="1"/>
      <w:marLeft w:val="0"/>
      <w:marRight w:val="0"/>
      <w:marTop w:val="0"/>
      <w:marBottom w:val="0"/>
      <w:divBdr>
        <w:top w:val="none" w:sz="0" w:space="0" w:color="auto"/>
        <w:left w:val="none" w:sz="0" w:space="0" w:color="auto"/>
        <w:bottom w:val="none" w:sz="0" w:space="0" w:color="auto"/>
        <w:right w:val="none" w:sz="0" w:space="0" w:color="auto"/>
      </w:divBdr>
    </w:div>
    <w:div w:id="1169906391">
      <w:bodyDiv w:val="1"/>
      <w:marLeft w:val="0"/>
      <w:marRight w:val="0"/>
      <w:marTop w:val="0"/>
      <w:marBottom w:val="0"/>
      <w:divBdr>
        <w:top w:val="none" w:sz="0" w:space="0" w:color="auto"/>
        <w:left w:val="none" w:sz="0" w:space="0" w:color="auto"/>
        <w:bottom w:val="none" w:sz="0" w:space="0" w:color="auto"/>
        <w:right w:val="none" w:sz="0" w:space="0" w:color="auto"/>
      </w:divBdr>
      <w:divsChild>
        <w:div w:id="1250382489">
          <w:marLeft w:val="0"/>
          <w:marRight w:val="0"/>
          <w:marTop w:val="0"/>
          <w:marBottom w:val="0"/>
          <w:divBdr>
            <w:top w:val="none" w:sz="0" w:space="0" w:color="auto"/>
            <w:left w:val="none" w:sz="0" w:space="0" w:color="auto"/>
            <w:bottom w:val="none" w:sz="0" w:space="0" w:color="auto"/>
            <w:right w:val="none" w:sz="0" w:space="0" w:color="auto"/>
          </w:divBdr>
        </w:div>
      </w:divsChild>
    </w:div>
    <w:div w:id="1245215523">
      <w:bodyDiv w:val="1"/>
      <w:marLeft w:val="0"/>
      <w:marRight w:val="0"/>
      <w:marTop w:val="0"/>
      <w:marBottom w:val="0"/>
      <w:divBdr>
        <w:top w:val="none" w:sz="0" w:space="0" w:color="auto"/>
        <w:left w:val="none" w:sz="0" w:space="0" w:color="auto"/>
        <w:bottom w:val="none" w:sz="0" w:space="0" w:color="auto"/>
        <w:right w:val="none" w:sz="0" w:space="0" w:color="auto"/>
      </w:divBdr>
    </w:div>
    <w:div w:id="1373268384">
      <w:bodyDiv w:val="1"/>
      <w:marLeft w:val="0"/>
      <w:marRight w:val="0"/>
      <w:marTop w:val="0"/>
      <w:marBottom w:val="0"/>
      <w:divBdr>
        <w:top w:val="none" w:sz="0" w:space="0" w:color="auto"/>
        <w:left w:val="none" w:sz="0" w:space="0" w:color="auto"/>
        <w:bottom w:val="none" w:sz="0" w:space="0" w:color="auto"/>
        <w:right w:val="none" w:sz="0" w:space="0" w:color="auto"/>
      </w:divBdr>
      <w:divsChild>
        <w:div w:id="523712638">
          <w:marLeft w:val="0"/>
          <w:marRight w:val="0"/>
          <w:marTop w:val="0"/>
          <w:marBottom w:val="0"/>
          <w:divBdr>
            <w:top w:val="none" w:sz="0" w:space="0" w:color="auto"/>
            <w:left w:val="none" w:sz="0" w:space="0" w:color="auto"/>
            <w:bottom w:val="none" w:sz="0" w:space="0" w:color="auto"/>
            <w:right w:val="none" w:sz="0" w:space="0" w:color="auto"/>
          </w:divBdr>
          <w:divsChild>
            <w:div w:id="127163326">
              <w:marLeft w:val="0"/>
              <w:marRight w:val="0"/>
              <w:marTop w:val="0"/>
              <w:marBottom w:val="0"/>
              <w:divBdr>
                <w:top w:val="none" w:sz="0" w:space="0" w:color="auto"/>
                <w:left w:val="none" w:sz="0" w:space="0" w:color="auto"/>
                <w:bottom w:val="none" w:sz="0" w:space="0" w:color="auto"/>
                <w:right w:val="none" w:sz="0" w:space="0" w:color="auto"/>
              </w:divBdr>
            </w:div>
          </w:divsChild>
        </w:div>
        <w:div w:id="1165701289">
          <w:marLeft w:val="0"/>
          <w:marRight w:val="0"/>
          <w:marTop w:val="0"/>
          <w:marBottom w:val="0"/>
          <w:divBdr>
            <w:top w:val="none" w:sz="0" w:space="0" w:color="auto"/>
            <w:left w:val="none" w:sz="0" w:space="0" w:color="auto"/>
            <w:bottom w:val="none" w:sz="0" w:space="0" w:color="auto"/>
            <w:right w:val="none" w:sz="0" w:space="0" w:color="auto"/>
          </w:divBdr>
          <w:divsChild>
            <w:div w:id="15779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79">
      <w:bodyDiv w:val="1"/>
      <w:marLeft w:val="0"/>
      <w:marRight w:val="0"/>
      <w:marTop w:val="0"/>
      <w:marBottom w:val="0"/>
      <w:divBdr>
        <w:top w:val="none" w:sz="0" w:space="0" w:color="auto"/>
        <w:left w:val="none" w:sz="0" w:space="0" w:color="auto"/>
        <w:bottom w:val="none" w:sz="0" w:space="0" w:color="auto"/>
        <w:right w:val="none" w:sz="0" w:space="0" w:color="auto"/>
      </w:divBdr>
      <w:divsChild>
        <w:div w:id="1562253569">
          <w:marLeft w:val="547"/>
          <w:marRight w:val="0"/>
          <w:marTop w:val="86"/>
          <w:marBottom w:val="0"/>
          <w:divBdr>
            <w:top w:val="none" w:sz="0" w:space="0" w:color="auto"/>
            <w:left w:val="none" w:sz="0" w:space="0" w:color="auto"/>
            <w:bottom w:val="none" w:sz="0" w:space="0" w:color="auto"/>
            <w:right w:val="none" w:sz="0" w:space="0" w:color="auto"/>
          </w:divBdr>
        </w:div>
      </w:divsChild>
    </w:div>
    <w:div w:id="145995256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112629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e_Lage_2020-11-09.ppt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inreiseanmeldung.d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Abb_Evaluation_R-Wert.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Lage-National_2020_11_09_draft.pptx"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BA9F3-7CC0-4071-A29A-FDB0C3E84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1982</Words>
  <Characters>12488</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15</cp:revision>
  <dcterms:created xsi:type="dcterms:W3CDTF">2020-11-09T10:13:00Z</dcterms:created>
  <dcterms:modified xsi:type="dcterms:W3CDTF">2021-05-06T13:33:00Z</dcterms:modified>
</cp:coreProperties>
</file>