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11.11.2020,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highlight w:val="yellow"/>
        </w:rPr>
      </w:pPr>
      <w:r>
        <w:rPr>
          <w:b/>
          <w:sz w:val="22"/>
        </w:rPr>
        <w:t>Moderation: Lars Schaade</w:t>
      </w:r>
    </w:p>
    <w:p>
      <w:pPr>
        <w:spacing w:after="0"/>
        <w:rPr>
          <w:b/>
          <w:sz w:val="22"/>
        </w:rPr>
      </w:pPr>
      <w:r>
        <w:rPr>
          <w:b/>
          <w:sz w:val="22"/>
        </w:rPr>
        <w:t xml:space="preserve">Teilnehmende: </w:t>
      </w:r>
    </w:p>
    <w:p>
      <w:pPr>
        <w:spacing w:after="0"/>
        <w:rPr>
          <w:sz w:val="22"/>
        </w:rPr>
      </w:pP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8"/>
        </w:numPr>
        <w:spacing w:after="0" w:line="233" w:lineRule="auto"/>
        <w:rPr>
          <w:sz w:val="22"/>
        </w:rPr>
      </w:pPr>
      <w:r>
        <w:rPr>
          <w:sz w:val="22"/>
        </w:rPr>
        <w:t>Abt. 3</w:t>
      </w:r>
    </w:p>
    <w:p>
      <w:pPr>
        <w:pStyle w:val="Listenabsatz"/>
        <w:numPr>
          <w:ilvl w:val="0"/>
          <w:numId w:val="9"/>
        </w:numPr>
        <w:spacing w:after="0" w:line="233" w:lineRule="auto"/>
        <w:rPr>
          <w:sz w:val="22"/>
        </w:rPr>
      </w:pPr>
      <w:r>
        <w:rPr>
          <w:sz w:val="22"/>
        </w:rPr>
        <w:t>Tanja Jung-Sendzik</w:t>
      </w:r>
    </w:p>
    <w:p>
      <w:pPr>
        <w:pStyle w:val="Listenabsatz"/>
        <w:numPr>
          <w:ilvl w:val="0"/>
          <w:numId w:val="9"/>
        </w:numPr>
        <w:spacing w:after="0" w:line="233" w:lineRule="auto"/>
        <w:rPr>
          <w:sz w:val="22"/>
        </w:rPr>
      </w:pPr>
      <w:r>
        <w:rPr>
          <w:sz w:val="22"/>
        </w:rPr>
        <w:t>Janna Seifried</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1"/>
          <w:numId w:val="2"/>
        </w:numPr>
        <w:spacing w:after="0" w:line="233" w:lineRule="auto"/>
        <w:contextualSpacing w:val="0"/>
        <w:rPr>
          <w:sz w:val="22"/>
        </w:rPr>
      </w:pPr>
      <w:r>
        <w:rPr>
          <w:sz w:val="22"/>
        </w:rPr>
        <w:t>Iris Andernach</w:t>
      </w:r>
    </w:p>
    <w:p>
      <w:pPr>
        <w:pStyle w:val="Listenabsatz"/>
        <w:numPr>
          <w:ilvl w:val="1"/>
          <w:numId w:val="2"/>
        </w:numPr>
        <w:spacing w:after="0" w:line="233" w:lineRule="auto"/>
        <w:contextualSpacing w:val="0"/>
        <w:rPr>
          <w:sz w:val="22"/>
        </w:rPr>
      </w:pPr>
      <w:r>
        <w:rPr>
          <w:sz w:val="22"/>
        </w:rPr>
        <w:t xml:space="preserve">Eugenia </w:t>
      </w:r>
      <w:proofErr w:type="spellStart"/>
      <w:r>
        <w:rPr>
          <w:sz w:val="22"/>
        </w:rPr>
        <w:t>Romo</w:t>
      </w:r>
      <w:proofErr w:type="spellEnd"/>
      <w:r>
        <w:rPr>
          <w:sz w:val="22"/>
        </w:rPr>
        <w:t xml:space="preserve"> Ventura</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Ralf Dürrwald</w:t>
      </w:r>
    </w:p>
    <w:p>
      <w:pPr>
        <w:pStyle w:val="Listenabsatz"/>
        <w:numPr>
          <w:ilvl w:val="0"/>
          <w:numId w:val="12"/>
        </w:numPr>
        <w:spacing w:after="0"/>
        <w:rPr>
          <w:sz w:val="22"/>
        </w:rPr>
      </w:pPr>
      <w:r>
        <w:rPr>
          <w:sz w:val="22"/>
        </w:rPr>
        <w:t>FG21</w:t>
      </w:r>
    </w:p>
    <w:p>
      <w:pPr>
        <w:pStyle w:val="Listenabsatz"/>
        <w:numPr>
          <w:ilvl w:val="1"/>
          <w:numId w:val="12"/>
        </w:numPr>
        <w:spacing w:after="0"/>
        <w:rPr>
          <w:sz w:val="22"/>
        </w:rPr>
      </w:pPr>
      <w:r>
        <w:rPr>
          <w:sz w:val="22"/>
        </w:rPr>
        <w:t>Patrick Schmich</w:t>
      </w:r>
    </w:p>
    <w:p>
      <w:pPr>
        <w:pStyle w:val="Listenabsatz"/>
        <w:numPr>
          <w:ilvl w:val="0"/>
          <w:numId w:val="12"/>
        </w:numPr>
        <w:spacing w:after="0"/>
        <w:rPr>
          <w:sz w:val="22"/>
        </w:rPr>
      </w:pPr>
      <w:r>
        <w:rPr>
          <w:sz w:val="22"/>
        </w:rPr>
        <w:t>FG32</w:t>
      </w:r>
    </w:p>
    <w:p>
      <w:pPr>
        <w:pStyle w:val="Listenabsatz"/>
        <w:numPr>
          <w:ilvl w:val="1"/>
          <w:numId w:val="12"/>
        </w:numPr>
        <w:spacing w:after="0"/>
        <w:rPr>
          <w:sz w:val="22"/>
        </w:rPr>
      </w:pPr>
      <w:r>
        <w:rPr>
          <w:sz w:val="22"/>
        </w:rPr>
        <w:t>Michaela Diercke</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Kristin Tolksdorf</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Susanne Glasmacher</w:t>
      </w:r>
    </w:p>
    <w:p>
      <w:pPr>
        <w:pStyle w:val="Listenabsatz"/>
        <w:numPr>
          <w:ilvl w:val="1"/>
          <w:numId w:val="3"/>
        </w:numPr>
        <w:spacing w:after="0"/>
        <w:contextualSpacing w:val="0"/>
        <w:rPr>
          <w:sz w:val="22"/>
        </w:rPr>
      </w:pPr>
      <w:r>
        <w:rPr>
          <w:sz w:val="22"/>
        </w:rPr>
        <w:t xml:space="preserve">Ronja Wenchel </w:t>
      </w:r>
    </w:p>
    <w:p>
      <w:pPr>
        <w:pStyle w:val="Listenabsatz"/>
        <w:numPr>
          <w:ilvl w:val="0"/>
          <w:numId w:val="2"/>
        </w:numPr>
        <w:spacing w:after="0"/>
        <w:contextualSpacing w:val="0"/>
        <w:rPr>
          <w:sz w:val="22"/>
        </w:rPr>
      </w:pPr>
      <w:r>
        <w:rPr>
          <w:sz w:val="22"/>
        </w:rPr>
        <w:t>IBBS</w:t>
      </w:r>
    </w:p>
    <w:p>
      <w:pPr>
        <w:pStyle w:val="Listenabsatz"/>
        <w:numPr>
          <w:ilvl w:val="1"/>
          <w:numId w:val="2"/>
        </w:numPr>
        <w:spacing w:after="0"/>
        <w:contextualSpacing w:val="0"/>
        <w:rPr>
          <w:sz w:val="22"/>
        </w:rPr>
      </w:pPr>
      <w:r>
        <w:rPr>
          <w:sz w:val="22"/>
        </w:rPr>
        <w:t>Michaela Niebank</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numPr>
          <w:ilvl w:val="0"/>
          <w:numId w:val="2"/>
        </w:numPr>
        <w:spacing w:after="0"/>
        <w:contextualSpacing w:val="0"/>
        <w:rPr>
          <w:sz w:val="22"/>
        </w:rPr>
      </w:pPr>
      <w:r>
        <w:rPr>
          <w:sz w:val="22"/>
        </w:rPr>
        <w:t>P4</w:t>
      </w:r>
    </w:p>
    <w:p>
      <w:pPr>
        <w:pStyle w:val="Listenabsatz"/>
        <w:numPr>
          <w:ilvl w:val="1"/>
          <w:numId w:val="2"/>
        </w:numPr>
        <w:spacing w:after="0"/>
        <w:contextualSpacing w:val="0"/>
        <w:rPr>
          <w:sz w:val="22"/>
        </w:rPr>
      </w:pPr>
      <w:r>
        <w:rPr>
          <w:sz w:val="22"/>
        </w:rPr>
        <w:lastRenderedPageBreak/>
        <w:t>Dirk Brockmann</w:t>
      </w:r>
    </w:p>
    <w:p>
      <w:pPr>
        <w:pStyle w:val="Listenabsatz"/>
        <w:numPr>
          <w:ilvl w:val="0"/>
          <w:numId w:val="2"/>
        </w:numPr>
        <w:spacing w:after="0"/>
        <w:contextualSpacing w:val="0"/>
        <w:rPr>
          <w:sz w:val="22"/>
        </w:rPr>
      </w:pPr>
      <w:r>
        <w:rPr>
          <w:sz w:val="22"/>
        </w:rPr>
        <w:t>Bundeswehr</w:t>
      </w:r>
    </w:p>
    <w:p>
      <w:pPr>
        <w:pStyle w:val="Listenabsatz"/>
        <w:numPr>
          <w:ilvl w:val="1"/>
          <w:numId w:val="2"/>
        </w:numPr>
        <w:spacing w:after="0"/>
        <w:contextualSpacing w:val="0"/>
        <w:rPr>
          <w:sz w:val="22"/>
        </w:rPr>
      </w:pPr>
      <w:proofErr w:type="spellStart"/>
      <w:r>
        <w:rPr>
          <w:sz w:val="22"/>
        </w:rPr>
        <w:t>Katalyn</w:t>
      </w:r>
      <w:proofErr w:type="spellEnd"/>
      <w:r>
        <w:rPr>
          <w:sz w:val="22"/>
        </w:rPr>
        <w:t xml:space="preserve"> Roßmann</w:t>
      </w:r>
    </w:p>
    <w:p>
      <w:pPr>
        <w:pStyle w:val="Listenabsatz"/>
        <w:numPr>
          <w:ilvl w:val="0"/>
          <w:numId w:val="2"/>
        </w:numPr>
        <w:spacing w:after="0"/>
        <w:contextualSpacing w:val="0"/>
        <w:rPr>
          <w:sz w:val="22"/>
        </w:rPr>
      </w:pPr>
      <w:r>
        <w:rPr>
          <w:sz w:val="22"/>
        </w:rPr>
        <w:t>MF1</w:t>
      </w:r>
    </w:p>
    <w:p>
      <w:pPr>
        <w:pStyle w:val="Listenabsatz"/>
        <w:numPr>
          <w:ilvl w:val="1"/>
          <w:numId w:val="2"/>
        </w:numPr>
        <w:spacing w:after="0"/>
        <w:contextualSpacing w:val="0"/>
        <w:rPr>
          <w:sz w:val="22"/>
        </w:rPr>
      </w:pPr>
      <w:r>
        <w:rPr>
          <w:sz w:val="22"/>
        </w:rPr>
        <w:t>Stephan Fuchs</w:t>
      </w:r>
    </w:p>
    <w:p>
      <w:pPr>
        <w:pStyle w:val="Listenabsatz"/>
        <w:numPr>
          <w:ilvl w:val="0"/>
          <w:numId w:val="2"/>
        </w:numPr>
        <w:spacing w:after="0"/>
        <w:contextualSpacing w:val="0"/>
        <w:rPr>
          <w:sz w:val="22"/>
        </w:rPr>
      </w:pPr>
      <w:r>
        <w:rPr>
          <w:sz w:val="22"/>
        </w:rPr>
        <w:t>MF3</w:t>
      </w:r>
    </w:p>
    <w:p>
      <w:pPr>
        <w:pStyle w:val="Listenabsatz"/>
        <w:numPr>
          <w:ilvl w:val="1"/>
          <w:numId w:val="2"/>
        </w:numPr>
        <w:spacing w:after="0"/>
        <w:contextualSpacing w:val="0"/>
        <w:rPr>
          <w:sz w:val="22"/>
        </w:rPr>
      </w:pPr>
      <w:r>
        <w:rPr>
          <w:sz w:val="22"/>
        </w:rPr>
        <w:t>Nancy Erickson (Protokoll)</w:t>
      </w:r>
    </w:p>
    <w:p>
      <w:pPr>
        <w:pStyle w:val="Listenabsatz"/>
        <w:numPr>
          <w:ilvl w:val="0"/>
          <w:numId w:val="2"/>
        </w:numPr>
        <w:spacing w:after="0"/>
        <w:contextualSpacing w:val="0"/>
        <w:rPr>
          <w:sz w:val="22"/>
        </w:rPr>
      </w:pPr>
      <w:r>
        <w:rPr>
          <w:sz w:val="22"/>
        </w:rPr>
        <w:t>MF4</w:t>
      </w:r>
    </w:p>
    <w:p>
      <w:pPr>
        <w:pStyle w:val="Listenabsatz"/>
        <w:numPr>
          <w:ilvl w:val="0"/>
          <w:numId w:val="10"/>
        </w:numPr>
        <w:spacing w:after="0"/>
        <w:contextualSpacing w:val="0"/>
        <w:rPr>
          <w:sz w:val="22"/>
        </w:rPr>
      </w:pPr>
      <w:r>
        <w:rPr>
          <w:sz w:val="22"/>
        </w:rPr>
        <w:t>Linus Grabenhenrich</w:t>
      </w:r>
    </w:p>
    <w:p>
      <w:pPr>
        <w:pStyle w:val="Listenabsatz"/>
        <w:spacing w:after="0"/>
        <w:ind w:left="714"/>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Über 50 Mio. Fälle und fast 1,3 Mio. Verstorbene (2,48 %)</w:t>
            </w:r>
          </w:p>
          <w:p>
            <w:pPr>
              <w:pStyle w:val="Listenabsatz"/>
              <w:numPr>
                <w:ilvl w:val="0"/>
                <w:numId w:val="5"/>
              </w:numPr>
              <w:ind w:left="453" w:hanging="340"/>
              <w:rPr>
                <w:sz w:val="22"/>
                <w:szCs w:val="22"/>
              </w:rPr>
            </w:pPr>
            <w:r>
              <w:rPr>
                <w:sz w:val="22"/>
                <w:szCs w:val="22"/>
              </w:rPr>
              <w:t xml:space="preserve">Top 10 Länder nach Anzahl neuer Fälle in den letzten 7 Tagen: </w:t>
            </w:r>
          </w:p>
          <w:p>
            <w:pPr>
              <w:pStyle w:val="Listenabsatz"/>
              <w:numPr>
                <w:ilvl w:val="1"/>
                <w:numId w:val="5"/>
              </w:numPr>
              <w:ind w:left="907" w:hanging="340"/>
              <w:rPr>
                <w:sz w:val="22"/>
                <w:szCs w:val="22"/>
              </w:rPr>
            </w:pPr>
            <w:r>
              <w:rPr>
                <w:sz w:val="22"/>
                <w:szCs w:val="22"/>
              </w:rPr>
              <w:t>Statt Tschechien (Montag) Brasilien auf Platz 10;</w:t>
            </w:r>
          </w:p>
          <w:p>
            <w:pPr>
              <w:pStyle w:val="Listenabsatz"/>
              <w:numPr>
                <w:ilvl w:val="1"/>
                <w:numId w:val="5"/>
              </w:numPr>
              <w:ind w:left="907" w:hanging="340"/>
              <w:rPr>
                <w:sz w:val="22"/>
                <w:szCs w:val="22"/>
              </w:rPr>
            </w:pPr>
            <w:r>
              <w:rPr>
                <w:sz w:val="22"/>
                <w:szCs w:val="22"/>
              </w:rPr>
              <w:t>Top3: USA, Frankreich, Indien;</w:t>
            </w:r>
          </w:p>
          <w:p>
            <w:pPr>
              <w:pStyle w:val="Listenabsatz"/>
              <w:numPr>
                <w:ilvl w:val="1"/>
                <w:numId w:val="5"/>
              </w:numPr>
              <w:ind w:left="907" w:hanging="340"/>
              <w:rPr>
                <w:sz w:val="22"/>
                <w:szCs w:val="22"/>
              </w:rPr>
            </w:pPr>
            <w:r>
              <w:rPr>
                <w:sz w:val="22"/>
                <w:szCs w:val="22"/>
              </w:rPr>
              <w:t>Deutschland weiterhin auf Platz 9;</w:t>
            </w:r>
          </w:p>
          <w:p>
            <w:pPr>
              <w:pStyle w:val="Listenabsatz"/>
              <w:numPr>
                <w:ilvl w:val="1"/>
                <w:numId w:val="5"/>
              </w:numPr>
              <w:ind w:left="907" w:hanging="340"/>
              <w:rPr>
                <w:sz w:val="22"/>
                <w:szCs w:val="22"/>
              </w:rPr>
            </w:pPr>
            <w:r>
              <w:rPr>
                <w:sz w:val="22"/>
                <w:szCs w:val="22"/>
              </w:rPr>
              <w:t>Rückläufig sind nur Spanien und Brasilien;</w:t>
            </w:r>
          </w:p>
          <w:p>
            <w:pPr>
              <w:pStyle w:val="Listenabsatz"/>
              <w:numPr>
                <w:ilvl w:val="0"/>
                <w:numId w:val="5"/>
              </w:numPr>
              <w:ind w:left="453" w:hanging="340"/>
              <w:rPr>
                <w:sz w:val="22"/>
                <w:szCs w:val="22"/>
              </w:rPr>
            </w:pPr>
            <w:r>
              <w:rPr>
                <w:sz w:val="22"/>
                <w:szCs w:val="22"/>
              </w:rPr>
              <w:t>7-Tages-Inzidenz pro 100.000 Einwohner</w:t>
            </w:r>
          </w:p>
          <w:p>
            <w:pPr>
              <w:pStyle w:val="Listenabsatz"/>
              <w:numPr>
                <w:ilvl w:val="1"/>
                <w:numId w:val="5"/>
              </w:numPr>
              <w:ind w:left="907" w:hanging="340"/>
              <w:rPr>
                <w:sz w:val="22"/>
                <w:szCs w:val="22"/>
              </w:rPr>
            </w:pPr>
            <w:r>
              <w:rPr>
                <w:sz w:val="22"/>
                <w:szCs w:val="22"/>
              </w:rPr>
              <w:t xml:space="preserve">83 Länder auf der Liste über 50/100.000 </w:t>
            </w:r>
            <w:proofErr w:type="spellStart"/>
            <w:r>
              <w:rPr>
                <w:sz w:val="22"/>
                <w:szCs w:val="22"/>
              </w:rPr>
              <w:t>Ew</w:t>
            </w:r>
            <w:proofErr w:type="spellEnd"/>
            <w:r>
              <w:rPr>
                <w:sz w:val="22"/>
                <w:szCs w:val="22"/>
              </w:rPr>
              <w:t>.;</w:t>
            </w:r>
          </w:p>
          <w:p>
            <w:pPr>
              <w:pStyle w:val="Listenabsatz"/>
              <w:numPr>
                <w:ilvl w:val="0"/>
                <w:numId w:val="5"/>
              </w:numPr>
              <w:ind w:left="453" w:hanging="340"/>
              <w:rPr>
                <w:sz w:val="22"/>
                <w:szCs w:val="22"/>
              </w:rPr>
            </w:pPr>
            <w:r>
              <w:rPr>
                <w:sz w:val="22"/>
                <w:szCs w:val="22"/>
              </w:rPr>
              <w:t>7-Tages-Inzidenz pro 100.000 Einwohner – EU/EWR/UK/CH</w:t>
            </w:r>
          </w:p>
          <w:p>
            <w:pPr>
              <w:pStyle w:val="Listenabsatz"/>
              <w:numPr>
                <w:ilvl w:val="0"/>
                <w:numId w:val="11"/>
              </w:numPr>
              <w:rPr>
                <w:sz w:val="22"/>
                <w:szCs w:val="22"/>
              </w:rPr>
            </w:pPr>
            <w:r>
              <w:rPr>
                <w:sz w:val="22"/>
                <w:szCs w:val="22"/>
              </w:rPr>
              <w:t xml:space="preserve">Finnland und Island als letzte Länder &lt; 50 Fälle/100.000 </w:t>
            </w:r>
            <w:proofErr w:type="spellStart"/>
            <w:r>
              <w:rPr>
                <w:sz w:val="22"/>
                <w:szCs w:val="22"/>
              </w:rPr>
              <w:t>Ew</w:t>
            </w:r>
            <w:proofErr w:type="spellEnd"/>
            <w:r>
              <w:rPr>
                <w:sz w:val="22"/>
                <w:szCs w:val="22"/>
              </w:rPr>
              <w:t>.;</w:t>
            </w:r>
          </w:p>
          <w:p>
            <w:pPr>
              <w:pStyle w:val="Listenabsatz"/>
              <w:numPr>
                <w:ilvl w:val="1"/>
                <w:numId w:val="5"/>
              </w:numPr>
              <w:ind w:left="907" w:hanging="340"/>
              <w:rPr>
                <w:sz w:val="22"/>
                <w:szCs w:val="22"/>
              </w:rPr>
            </w:pPr>
            <w:r>
              <w:rPr>
                <w:sz w:val="22"/>
                <w:szCs w:val="22"/>
              </w:rPr>
              <w:t xml:space="preserve">Alle anderen EU/EWR/UK/CH Staaten &gt;50 Fälle/100.000 </w:t>
            </w:r>
            <w:proofErr w:type="spellStart"/>
            <w:r>
              <w:rPr>
                <w:sz w:val="22"/>
                <w:szCs w:val="22"/>
              </w:rPr>
              <w:t>Ew</w:t>
            </w:r>
            <w:proofErr w:type="spellEnd"/>
            <w:r>
              <w:rPr>
                <w:sz w:val="22"/>
                <w:szCs w:val="22"/>
              </w:rPr>
              <w:t>.;</w:t>
            </w:r>
          </w:p>
          <w:p>
            <w:pPr>
              <w:pStyle w:val="Listenabsatz"/>
              <w:numPr>
                <w:ilvl w:val="0"/>
                <w:numId w:val="5"/>
              </w:numPr>
              <w:ind w:left="453" w:hanging="340"/>
              <w:rPr>
                <w:sz w:val="22"/>
                <w:szCs w:val="22"/>
              </w:rPr>
            </w:pPr>
            <w:r>
              <w:rPr>
                <w:sz w:val="22"/>
                <w:szCs w:val="22"/>
              </w:rPr>
              <w:t>Zusammenfassung und News</w:t>
            </w:r>
          </w:p>
          <w:p>
            <w:pPr>
              <w:pStyle w:val="Listenabsatz"/>
              <w:numPr>
                <w:ilvl w:val="1"/>
                <w:numId w:val="5"/>
              </w:numPr>
              <w:ind w:left="907" w:hanging="340"/>
              <w:rPr>
                <w:sz w:val="22"/>
                <w:szCs w:val="22"/>
              </w:rPr>
            </w:pPr>
            <w:r>
              <w:rPr>
                <w:sz w:val="22"/>
                <w:szCs w:val="22"/>
              </w:rPr>
              <w:t>Afrika: 2,3 % der neuen Fälle und 3,9 % der Todesfälle der vergangenen 7 Tage</w:t>
            </w:r>
          </w:p>
          <w:p>
            <w:pPr>
              <w:pStyle w:val="Listenabsatz"/>
              <w:numPr>
                <w:ilvl w:val="2"/>
                <w:numId w:val="5"/>
              </w:numPr>
              <w:ind w:left="1491" w:hanging="357"/>
              <w:rPr>
                <w:sz w:val="22"/>
                <w:szCs w:val="22"/>
              </w:rPr>
            </w:pPr>
            <w:r>
              <w:rPr>
                <w:sz w:val="22"/>
                <w:szCs w:val="22"/>
              </w:rPr>
              <w:t>Zahl der neuen Fälle nimmt weiterhin langsam zu</w:t>
            </w:r>
          </w:p>
          <w:p>
            <w:pPr>
              <w:pStyle w:val="Listenabsatz"/>
              <w:numPr>
                <w:ilvl w:val="2"/>
                <w:numId w:val="5"/>
              </w:numPr>
              <w:ind w:left="1491" w:hanging="357"/>
              <w:rPr>
                <w:sz w:val="22"/>
                <w:szCs w:val="22"/>
              </w:rPr>
            </w:pPr>
            <w:r>
              <w:rPr>
                <w:sz w:val="22"/>
                <w:szCs w:val="22"/>
              </w:rPr>
              <w:t>Zahl der neuen Todesfälle um 30% höher als in Vorwoche (hauptsächlich auf Anstieg in Südafrika, Kenia und Uganda zurückzuführen)</w:t>
            </w:r>
          </w:p>
          <w:p>
            <w:pPr>
              <w:pStyle w:val="Listenabsatz"/>
              <w:numPr>
                <w:ilvl w:val="1"/>
                <w:numId w:val="5"/>
              </w:numPr>
              <w:ind w:left="907" w:hanging="340"/>
              <w:rPr>
                <w:sz w:val="22"/>
                <w:szCs w:val="22"/>
              </w:rPr>
            </w:pPr>
            <w:r>
              <w:rPr>
                <w:sz w:val="22"/>
                <w:szCs w:val="22"/>
              </w:rPr>
              <w:t>Amerika: 30,4 % der neuen Fälle und 30,5 % der Todesfälle der vergangenen 7 Tagen</w:t>
            </w:r>
          </w:p>
          <w:p>
            <w:pPr>
              <w:pStyle w:val="Listenabsatz"/>
              <w:numPr>
                <w:ilvl w:val="2"/>
                <w:numId w:val="5"/>
              </w:numPr>
              <w:ind w:left="1491" w:hanging="357"/>
              <w:rPr>
                <w:sz w:val="22"/>
                <w:szCs w:val="22"/>
              </w:rPr>
            </w:pPr>
            <w:r>
              <w:rPr>
                <w:sz w:val="22"/>
                <w:szCs w:val="22"/>
              </w:rPr>
              <w:t>Größte Anstiege seit Vorwoche in Haiti, Saint Lucia, Belize, Kanada und USA</w:t>
            </w:r>
          </w:p>
          <w:p>
            <w:pPr>
              <w:pStyle w:val="Listenabsatz"/>
              <w:numPr>
                <w:ilvl w:val="1"/>
                <w:numId w:val="5"/>
              </w:numPr>
              <w:ind w:left="907" w:hanging="340"/>
              <w:rPr>
                <w:sz w:val="22"/>
                <w:szCs w:val="22"/>
              </w:rPr>
            </w:pPr>
            <w:r>
              <w:rPr>
                <w:sz w:val="22"/>
                <w:szCs w:val="22"/>
              </w:rPr>
              <w:t>Asien: 16,1% der neuen Fälle und 18,7 % der Todesfälle der vergangenen 7 Tagen</w:t>
            </w:r>
          </w:p>
          <w:p>
            <w:pPr>
              <w:pStyle w:val="Listenabsatz"/>
              <w:numPr>
                <w:ilvl w:val="2"/>
                <w:numId w:val="5"/>
              </w:numPr>
              <w:ind w:left="1491" w:hanging="357"/>
              <w:rPr>
                <w:sz w:val="22"/>
                <w:szCs w:val="22"/>
              </w:rPr>
            </w:pPr>
            <w:r>
              <w:rPr>
                <w:sz w:val="22"/>
                <w:szCs w:val="22"/>
              </w:rPr>
              <w:t>China hat aus Deutschland (Bremen) importiertes Schweinefleisch aus Auslöser für neuen SARS-CoV-2-Fall in Tianjin ausgemacht</w:t>
            </w:r>
          </w:p>
          <w:p>
            <w:pPr>
              <w:pStyle w:val="Listenabsatz"/>
              <w:numPr>
                <w:ilvl w:val="2"/>
                <w:numId w:val="5"/>
              </w:numPr>
              <w:ind w:left="1491" w:hanging="357"/>
              <w:rPr>
                <w:sz w:val="22"/>
                <w:szCs w:val="22"/>
              </w:rPr>
            </w:pPr>
            <w:r>
              <w:rPr>
                <w:sz w:val="22"/>
                <w:szCs w:val="22"/>
              </w:rPr>
              <w:t>Laut BfR PM keine Infektionen mit SARS-CoV-2 über den Verzehr von Fleischwaren oder Kontakt mit kontaminierten Fleischprodukten oder Oberflächen bekannt</w:t>
            </w:r>
          </w:p>
          <w:p>
            <w:pPr>
              <w:pStyle w:val="Listenabsatz"/>
              <w:numPr>
                <w:ilvl w:val="2"/>
                <w:numId w:val="5"/>
              </w:numPr>
              <w:ind w:left="1491" w:hanging="357"/>
              <w:rPr>
                <w:sz w:val="22"/>
                <w:szCs w:val="22"/>
              </w:rPr>
            </w:pPr>
            <w:r>
              <w:rPr>
                <w:sz w:val="22"/>
                <w:szCs w:val="22"/>
              </w:rPr>
              <w:t>Coronaviren können sich nicht in oder auf Lebens-</w:t>
            </w:r>
            <w:proofErr w:type="spellStart"/>
            <w:r>
              <w:rPr>
                <w:sz w:val="22"/>
                <w:szCs w:val="22"/>
              </w:rPr>
              <w:t>mitteln</w:t>
            </w:r>
            <w:proofErr w:type="spellEnd"/>
            <w:r>
              <w:rPr>
                <w:sz w:val="22"/>
                <w:szCs w:val="22"/>
              </w:rPr>
              <w:t xml:space="preserve"> vermehren. Grundsätzlich können sie von einer infizierten Person auf Wurst und Fleisch übertragen werden.</w:t>
            </w:r>
          </w:p>
          <w:p>
            <w:pPr>
              <w:pStyle w:val="Listenabsatz"/>
              <w:numPr>
                <w:ilvl w:val="1"/>
                <w:numId w:val="5"/>
              </w:numPr>
              <w:ind w:left="907" w:hanging="340"/>
              <w:rPr>
                <w:sz w:val="22"/>
                <w:szCs w:val="22"/>
              </w:rPr>
            </w:pPr>
            <w:r>
              <w:rPr>
                <w:sz w:val="22"/>
                <w:szCs w:val="22"/>
              </w:rPr>
              <w:lastRenderedPageBreak/>
              <w:t>Europa: weiterhin starke Zunahme neuer Fälle. 51,1% der neuen Fälle und 46,7 % der Todesfälle der vergangenen 7 Tagen</w:t>
            </w:r>
          </w:p>
          <w:p>
            <w:pPr>
              <w:pStyle w:val="Listenabsatz"/>
              <w:numPr>
                <w:ilvl w:val="2"/>
                <w:numId w:val="5"/>
              </w:numPr>
              <w:ind w:left="1491" w:hanging="357"/>
              <w:rPr>
                <w:sz w:val="22"/>
                <w:szCs w:val="22"/>
              </w:rPr>
            </w:pPr>
            <w:r>
              <w:rPr>
                <w:sz w:val="22"/>
                <w:szCs w:val="22"/>
              </w:rPr>
              <w:t xml:space="preserve">ECDC Round-Table-Report (RTR): Belgien und Frankreich berichten über deutlichen Anstieg der Häufigkeit von Ausbrüchen und Todesfällen unter Bewohnern von Langzeitpflegeeinrichtungen in den letzten 1-3 Wochen. </w:t>
            </w:r>
          </w:p>
          <w:p>
            <w:pPr>
              <w:pStyle w:val="Listenabsatz"/>
              <w:numPr>
                <w:ilvl w:val="1"/>
                <w:numId w:val="5"/>
              </w:numPr>
              <w:ind w:left="907" w:hanging="340"/>
              <w:rPr>
                <w:sz w:val="22"/>
                <w:szCs w:val="22"/>
              </w:rPr>
            </w:pPr>
            <w:r>
              <w:rPr>
                <w:sz w:val="22"/>
                <w:szCs w:val="22"/>
              </w:rPr>
              <w:t>Ozeanien: 0,09 % der neuen Fälle und 0,04 % der Todesfälle der vergangenen 7 Tagen</w:t>
            </w:r>
          </w:p>
          <w:p>
            <w:pPr>
              <w:pStyle w:val="Listenabsatz"/>
              <w:numPr>
                <w:ilvl w:val="1"/>
                <w:numId w:val="5"/>
              </w:numPr>
              <w:ind w:left="907" w:hanging="340"/>
              <w:rPr>
                <w:sz w:val="22"/>
                <w:szCs w:val="22"/>
              </w:rPr>
            </w:pPr>
            <w:proofErr w:type="spellStart"/>
            <w:r>
              <w:rPr>
                <w:sz w:val="22"/>
                <w:szCs w:val="22"/>
                <w:lang w:val="en-US"/>
              </w:rPr>
              <w:t>Impfung</w:t>
            </w:r>
            <w:proofErr w:type="spellEnd"/>
            <w:r>
              <w:rPr>
                <w:sz w:val="22"/>
                <w:szCs w:val="22"/>
                <w:lang w:val="en-US"/>
              </w:rPr>
              <w:t xml:space="preserve">: „What Pfizer’s landmark COVID vaccine results mean for the pandemic” (Nature). </w:t>
            </w:r>
            <w:r>
              <w:rPr>
                <w:sz w:val="22"/>
                <w:szCs w:val="22"/>
              </w:rPr>
              <w:t>Es fehlen Details über die Art der Infektionen, gegen die der Impfstoff schützen kann, wie lange die Wirksamkeit des Impfstoffs anhält oder wie gut der Impfstoff in verschiedenen Gruppen von Studienteilnehmern wirkt.</w:t>
            </w:r>
          </w:p>
          <w:p>
            <w:pPr>
              <w:pStyle w:val="Listenabsatz"/>
              <w:numPr>
                <w:ilvl w:val="1"/>
                <w:numId w:val="5"/>
              </w:numPr>
              <w:ind w:left="907" w:hanging="340"/>
              <w:rPr>
                <w:sz w:val="22"/>
                <w:szCs w:val="22"/>
              </w:rPr>
            </w:pPr>
            <w:hyperlink r:id="rId9" w:history="1">
              <w:r>
                <w:rPr>
                  <w:rStyle w:val="Hyperlink"/>
                  <w:sz w:val="22"/>
                  <w:szCs w:val="22"/>
                </w:rPr>
                <w:t>https://www.nature.com/articles/d41586-020-03166-8</w:t>
              </w:r>
            </w:hyperlink>
            <w:r>
              <w:rPr>
                <w:sz w:val="22"/>
                <w:szCs w:val="22"/>
              </w:rPr>
              <w:t xml:space="preserve"> </w:t>
            </w:r>
          </w:p>
          <w:p>
            <w:pPr>
              <w:pStyle w:val="Listenabsatz"/>
              <w:numPr>
                <w:ilvl w:val="1"/>
                <w:numId w:val="5"/>
              </w:numPr>
              <w:ind w:left="907" w:hanging="340"/>
              <w:rPr>
                <w:sz w:val="22"/>
                <w:szCs w:val="22"/>
              </w:rPr>
            </w:pPr>
            <w:hyperlink r:id="rId10" w:history="1">
              <w:r>
                <w:rPr>
                  <w:rStyle w:val="Hyperlink"/>
                  <w:sz w:val="22"/>
                  <w:szCs w:val="22"/>
                </w:rPr>
                <w:t>https://www.deutschlandfunk.de/newsblog-zum-coronavirus-13-363-neuinfektionen-in.2852.de.html?dram:article_id=472514</w:t>
              </w:r>
            </w:hyperlink>
          </w:p>
          <w:p>
            <w:pPr>
              <w:pStyle w:val="Listenabsatz"/>
              <w:numPr>
                <w:ilvl w:val="1"/>
                <w:numId w:val="5"/>
              </w:numPr>
              <w:ind w:left="907" w:hanging="340"/>
              <w:rPr>
                <w:sz w:val="22"/>
                <w:szCs w:val="22"/>
              </w:rPr>
            </w:pPr>
            <w:r>
              <w:rPr>
                <w:sz w:val="22"/>
                <w:szCs w:val="22"/>
              </w:rPr>
              <w:t>Anm.: die Daten hätten peer-</w:t>
            </w:r>
            <w:proofErr w:type="spellStart"/>
            <w:r>
              <w:rPr>
                <w:sz w:val="22"/>
                <w:szCs w:val="22"/>
              </w:rPr>
              <w:t>reviewed</w:t>
            </w:r>
            <w:proofErr w:type="spellEnd"/>
            <w:r>
              <w:rPr>
                <w:sz w:val="22"/>
                <w:szCs w:val="22"/>
              </w:rPr>
              <w:t xml:space="preserve"> publiziert werden und nicht press-</w:t>
            </w:r>
            <w:proofErr w:type="spellStart"/>
            <w:r>
              <w:rPr>
                <w:sz w:val="22"/>
                <w:szCs w:val="22"/>
              </w:rPr>
              <w:t>released</w:t>
            </w:r>
            <w:proofErr w:type="spellEnd"/>
            <w:r>
              <w:rPr>
                <w:sz w:val="22"/>
                <w:szCs w:val="22"/>
              </w:rPr>
              <w:t xml:space="preserve"> werden sollen. </w:t>
            </w:r>
          </w:p>
          <w:p>
            <w:pPr>
              <w:rPr>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b/>
                <w:sz w:val="22"/>
                <w:szCs w:val="22"/>
              </w:rPr>
              <w:t>Fallzahlen, Todesfälle, Trend</w:t>
            </w:r>
            <w:r>
              <w:rPr>
                <w:sz w:val="22"/>
                <w:szCs w:val="22"/>
              </w:rPr>
              <w:t xml:space="preserve"> (Folien </w:t>
            </w:r>
            <w:hyperlink r:id="rId11" w:history="1">
              <w:r>
                <w:rPr>
                  <w:rStyle w:val="Hyperlink"/>
                  <w:sz w:val="22"/>
                  <w:szCs w:val="22"/>
                </w:rPr>
                <w:t>hier</w:t>
              </w:r>
            </w:hyperlink>
            <w:r>
              <w:rPr>
                <w:sz w:val="22"/>
                <w:szCs w:val="22"/>
              </w:rPr>
              <w:t xml:space="preserve">) </w:t>
            </w:r>
          </w:p>
          <w:p>
            <w:pPr>
              <w:pStyle w:val="Listenabsatz"/>
              <w:numPr>
                <w:ilvl w:val="1"/>
                <w:numId w:val="7"/>
              </w:numPr>
              <w:ind w:left="907" w:hanging="340"/>
              <w:rPr>
                <w:sz w:val="22"/>
                <w:szCs w:val="22"/>
              </w:rPr>
            </w:pPr>
            <w:proofErr w:type="spellStart"/>
            <w:r>
              <w:rPr>
                <w:sz w:val="22"/>
                <w:szCs w:val="22"/>
              </w:rPr>
              <w:t>SurvNet</w:t>
            </w:r>
            <w:proofErr w:type="spellEnd"/>
            <w:r>
              <w:rPr>
                <w:sz w:val="22"/>
                <w:szCs w:val="22"/>
              </w:rPr>
              <w:t xml:space="preserve"> übermittelt: 705.687 (+18.487), davon 11.767 (1,7 %) Todesfälle (+261), 7-Tages-Inzidenz 138,1/100.000 </w:t>
            </w:r>
            <w:proofErr w:type="spellStart"/>
            <w:r>
              <w:rPr>
                <w:sz w:val="22"/>
                <w:szCs w:val="22"/>
              </w:rPr>
              <w:t>Ew</w:t>
            </w:r>
            <w:proofErr w:type="spellEnd"/>
            <w:r>
              <w:rPr>
                <w:sz w:val="22"/>
                <w:szCs w:val="22"/>
              </w:rPr>
              <w:t>.</w:t>
            </w:r>
          </w:p>
          <w:p>
            <w:pPr>
              <w:pStyle w:val="Listenabsatz"/>
              <w:numPr>
                <w:ilvl w:val="1"/>
                <w:numId w:val="7"/>
              </w:numPr>
              <w:ind w:left="907" w:hanging="340"/>
              <w:rPr>
                <w:sz w:val="22"/>
                <w:szCs w:val="22"/>
              </w:rPr>
            </w:pPr>
            <w:r>
              <w:rPr>
                <w:sz w:val="22"/>
                <w:szCs w:val="22"/>
              </w:rPr>
              <w:t>R-Wert deutlich unter 1</w:t>
            </w:r>
          </w:p>
          <w:p>
            <w:pPr>
              <w:pStyle w:val="Listenabsatz"/>
              <w:numPr>
                <w:ilvl w:val="1"/>
                <w:numId w:val="7"/>
              </w:numPr>
              <w:ind w:left="907" w:hanging="340"/>
              <w:rPr>
                <w:sz w:val="22"/>
                <w:szCs w:val="22"/>
              </w:rPr>
            </w:pPr>
            <w:r>
              <w:rPr>
                <w:sz w:val="22"/>
                <w:szCs w:val="22"/>
              </w:rPr>
              <w:t>ITS nimmt weiter deutlich zu</w:t>
            </w:r>
          </w:p>
          <w:p>
            <w:pPr>
              <w:pStyle w:val="Listenabsatz"/>
              <w:numPr>
                <w:ilvl w:val="1"/>
                <w:numId w:val="7"/>
              </w:numPr>
              <w:ind w:left="907" w:hanging="340"/>
              <w:rPr>
                <w:sz w:val="22"/>
                <w:szCs w:val="22"/>
              </w:rPr>
            </w:pPr>
            <w:r>
              <w:rPr>
                <w:sz w:val="22"/>
                <w:szCs w:val="22"/>
              </w:rPr>
              <w:t xml:space="preserve">4-Tage-R=0,88; 7-Tage-R=0,92 (10.11.2020) </w:t>
            </w:r>
          </w:p>
          <w:p>
            <w:pPr>
              <w:pStyle w:val="Listenabsatz"/>
              <w:numPr>
                <w:ilvl w:val="1"/>
                <w:numId w:val="5"/>
              </w:numPr>
              <w:ind w:left="924" w:hanging="357"/>
              <w:rPr>
                <w:sz w:val="22"/>
                <w:szCs w:val="22"/>
              </w:rPr>
            </w:pPr>
            <w:r>
              <w:rPr>
                <w:sz w:val="22"/>
                <w:szCs w:val="22"/>
              </w:rPr>
              <w:t>7-Tages-Inzidenz der Bundesländer nach Berichtsdatum</w:t>
            </w:r>
          </w:p>
          <w:p>
            <w:pPr>
              <w:pStyle w:val="Listenabsatz"/>
              <w:numPr>
                <w:ilvl w:val="2"/>
                <w:numId w:val="5"/>
              </w:numPr>
              <w:ind w:left="1491" w:hanging="357"/>
              <w:rPr>
                <w:sz w:val="22"/>
                <w:szCs w:val="22"/>
              </w:rPr>
            </w:pPr>
            <w:r>
              <w:rPr>
                <w:sz w:val="22"/>
                <w:szCs w:val="22"/>
              </w:rPr>
              <w:t>In meisten BL derzeit auf Plateau</w:t>
            </w:r>
          </w:p>
          <w:p>
            <w:pPr>
              <w:rPr>
                <w:i/>
                <w:sz w:val="22"/>
                <w:szCs w:val="22"/>
              </w:rPr>
            </w:pPr>
            <w:proofErr w:type="spellStart"/>
            <w:r>
              <w:rPr>
                <w:i/>
                <w:sz w:val="22"/>
                <w:szCs w:val="22"/>
              </w:rPr>
              <w:t>To</w:t>
            </w:r>
            <w:proofErr w:type="spellEnd"/>
            <w:r>
              <w:rPr>
                <w:i/>
                <w:sz w:val="22"/>
                <w:szCs w:val="22"/>
              </w:rPr>
              <w:t xml:space="preserve"> Do: Ggf. morgen im Lagebericht auf mögliches Plateau eingehen</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Norden und Osten weniger stark betroffen</w:t>
            </w:r>
          </w:p>
          <w:p>
            <w:pPr>
              <w:pStyle w:val="Listenabsatz"/>
              <w:numPr>
                <w:ilvl w:val="2"/>
                <w:numId w:val="5"/>
              </w:numPr>
              <w:ind w:left="1491" w:hanging="357"/>
              <w:rPr>
                <w:sz w:val="22"/>
                <w:szCs w:val="22"/>
              </w:rPr>
            </w:pPr>
            <w:r>
              <w:rPr>
                <w:sz w:val="22"/>
                <w:szCs w:val="22"/>
              </w:rPr>
              <w:t>Einige (teils kleine) LK mit sehr hoher 7-Tage-Inz.</w:t>
            </w:r>
          </w:p>
          <w:p>
            <w:pPr>
              <w:pStyle w:val="Listenabsatz"/>
              <w:numPr>
                <w:ilvl w:val="2"/>
                <w:numId w:val="5"/>
              </w:numPr>
              <w:ind w:left="1491" w:hanging="357"/>
              <w:rPr>
                <w:sz w:val="22"/>
                <w:szCs w:val="22"/>
              </w:rPr>
            </w:pPr>
            <w:r>
              <w:rPr>
                <w:sz w:val="22"/>
                <w:szCs w:val="22"/>
              </w:rPr>
              <w:t>V.a. Großstädte stark betroffen</w:t>
            </w:r>
          </w:p>
          <w:p>
            <w:pPr>
              <w:pStyle w:val="Listenabsatz"/>
              <w:numPr>
                <w:ilvl w:val="2"/>
                <w:numId w:val="5"/>
              </w:numPr>
              <w:ind w:left="1491" w:hanging="357"/>
              <w:rPr>
                <w:sz w:val="22"/>
                <w:szCs w:val="22"/>
              </w:rPr>
            </w:pPr>
            <w:r>
              <w:rPr>
                <w:sz w:val="22"/>
                <w:szCs w:val="22"/>
              </w:rPr>
              <w:t>Diffuse Ereignisse</w:t>
            </w:r>
          </w:p>
          <w:p>
            <w:pPr>
              <w:pStyle w:val="Listenabsatz"/>
              <w:numPr>
                <w:ilvl w:val="2"/>
                <w:numId w:val="5"/>
              </w:numPr>
              <w:ind w:left="1491" w:hanging="357"/>
              <w:rPr>
                <w:sz w:val="22"/>
                <w:szCs w:val="22"/>
              </w:rPr>
            </w:pPr>
            <w:r>
              <w:rPr>
                <w:sz w:val="22"/>
                <w:szCs w:val="22"/>
              </w:rPr>
              <w:t xml:space="preserve">Neue Kategorie mit </w:t>
            </w:r>
            <w:proofErr w:type="spellStart"/>
            <w:r>
              <w:rPr>
                <w:sz w:val="22"/>
                <w:szCs w:val="22"/>
              </w:rPr>
              <w:t>Inz</w:t>
            </w:r>
            <w:proofErr w:type="spellEnd"/>
            <w:r>
              <w:rPr>
                <w:sz w:val="22"/>
                <w:szCs w:val="22"/>
              </w:rPr>
              <w:t xml:space="preserve">. über 250 Fällen/100.000 </w:t>
            </w:r>
            <w:proofErr w:type="spellStart"/>
            <w:r>
              <w:rPr>
                <w:sz w:val="22"/>
                <w:szCs w:val="22"/>
              </w:rPr>
              <w:t>Ew</w:t>
            </w:r>
            <w:proofErr w:type="spellEnd"/>
            <w:r>
              <w:rPr>
                <w:sz w:val="22"/>
                <w:szCs w:val="22"/>
              </w:rPr>
              <w:t>. (16 LK)</w:t>
            </w:r>
          </w:p>
          <w:p>
            <w:pPr>
              <w:pStyle w:val="Listenabsatz"/>
              <w:numPr>
                <w:ilvl w:val="1"/>
                <w:numId w:val="5"/>
              </w:numPr>
              <w:ind w:left="924" w:hanging="357"/>
              <w:rPr>
                <w:sz w:val="22"/>
                <w:szCs w:val="22"/>
              </w:rPr>
            </w:pPr>
            <w:r>
              <w:rPr>
                <w:sz w:val="22"/>
                <w:szCs w:val="22"/>
              </w:rPr>
              <w:t xml:space="preserve">Anteil asymptomatischer Personen (lila) seit KW 33 mit 35 % deutlich abgesunken auf 15 % in KW 44/45 </w:t>
            </w:r>
            <w:r>
              <w:rPr>
                <w:sz w:val="22"/>
                <w:szCs w:val="22"/>
              </w:rPr>
              <w:sym w:font="Wingdings" w:char="F0E0"/>
            </w:r>
            <w:r>
              <w:rPr>
                <w:sz w:val="22"/>
                <w:szCs w:val="22"/>
              </w:rPr>
              <w:t xml:space="preserve"> Positiv-Getestete heute größtenteils auch symptomatisch</w:t>
            </w:r>
          </w:p>
          <w:p>
            <w:pPr>
              <w:pStyle w:val="Listenabsatz"/>
              <w:numPr>
                <w:ilvl w:val="1"/>
                <w:numId w:val="5"/>
              </w:numPr>
              <w:ind w:left="924" w:hanging="357"/>
              <w:rPr>
                <w:sz w:val="22"/>
                <w:szCs w:val="22"/>
              </w:rPr>
            </w:pPr>
            <w:r>
              <w:rPr>
                <w:sz w:val="22"/>
                <w:szCs w:val="22"/>
              </w:rPr>
              <w:t>Anteil hospitalisierter Personen (blau) z.Zt. ca. 5 % der Fälle, Untererfassung in Meldedaten möglich</w:t>
            </w:r>
          </w:p>
          <w:p>
            <w:pPr>
              <w:pStyle w:val="Listenabsatz"/>
              <w:numPr>
                <w:ilvl w:val="1"/>
                <w:numId w:val="5"/>
              </w:numPr>
              <w:ind w:left="924" w:hanging="357"/>
              <w:rPr>
                <w:sz w:val="22"/>
                <w:szCs w:val="22"/>
              </w:rPr>
            </w:pPr>
            <w:r>
              <w:rPr>
                <w:sz w:val="22"/>
                <w:szCs w:val="22"/>
              </w:rPr>
              <w:t xml:space="preserve">Anteil Verstorbener (grün): 6-7 % in KW 15 (Höhepunkt), Anteil Verstorbener weiterhin recht gering </w:t>
            </w:r>
          </w:p>
          <w:p>
            <w:pPr>
              <w:pStyle w:val="Listenabsatz"/>
              <w:numPr>
                <w:ilvl w:val="1"/>
                <w:numId w:val="5"/>
              </w:numPr>
              <w:ind w:left="924" w:hanging="357"/>
              <w:rPr>
                <w:sz w:val="22"/>
                <w:szCs w:val="22"/>
              </w:rPr>
            </w:pPr>
            <w:r>
              <w:rPr>
                <w:bCs/>
                <w:sz w:val="22"/>
                <w:szCs w:val="22"/>
              </w:rPr>
              <w:t>Verlauf der Anzahl Hospitalisierter nach Meldewoche und Altersgruppe (AG) (September bis November 2020):</w:t>
            </w:r>
            <w:r>
              <w:rPr>
                <w:b/>
                <w:bCs/>
                <w:sz w:val="22"/>
                <w:szCs w:val="22"/>
              </w:rPr>
              <w:t xml:space="preserve"> </w:t>
            </w:r>
            <w:r>
              <w:rPr>
                <w:sz w:val="22"/>
                <w:szCs w:val="22"/>
              </w:rPr>
              <w:t>Großteil der Hospitalisierten älter als 60 Jahre, jedoch zunehmend Personen unter 60 Jahren hospitalisiert</w:t>
            </w:r>
          </w:p>
          <w:p>
            <w:pPr>
              <w:pStyle w:val="Listenabsatz"/>
              <w:numPr>
                <w:ilvl w:val="1"/>
                <w:numId w:val="5"/>
              </w:numPr>
              <w:ind w:left="924" w:hanging="357"/>
              <w:rPr>
                <w:sz w:val="22"/>
                <w:szCs w:val="22"/>
              </w:rPr>
            </w:pPr>
            <w:r>
              <w:rPr>
                <w:bCs/>
                <w:sz w:val="22"/>
                <w:szCs w:val="22"/>
              </w:rPr>
              <w:lastRenderedPageBreak/>
              <w:t>Anzahl Todesfälle nach Sterbewoche und AG</w:t>
            </w:r>
            <w:r>
              <w:rPr>
                <w:bCs/>
                <w:sz w:val="22"/>
                <w:szCs w:val="22"/>
              </w:rPr>
              <w:br/>
              <w:t xml:space="preserve">(September-November 2020): </w:t>
            </w:r>
            <w:r>
              <w:rPr>
                <w:sz w:val="22"/>
                <w:szCs w:val="22"/>
              </w:rPr>
              <w:t xml:space="preserve">größtenteils weiterhin vornehmlich &gt; </w:t>
            </w:r>
            <w:proofErr w:type="gramStart"/>
            <w:r>
              <w:rPr>
                <w:sz w:val="22"/>
                <w:szCs w:val="22"/>
              </w:rPr>
              <w:t>80 Jährige</w:t>
            </w:r>
            <w:proofErr w:type="gramEnd"/>
            <w:r>
              <w:rPr>
                <w:sz w:val="22"/>
                <w:szCs w:val="22"/>
              </w:rPr>
              <w:t>, jedoch auch Fälle &lt; 60 Jahre</w:t>
            </w:r>
          </w:p>
          <w:p>
            <w:pPr>
              <w:pStyle w:val="Listenabsatz"/>
              <w:numPr>
                <w:ilvl w:val="1"/>
                <w:numId w:val="5"/>
              </w:numPr>
              <w:ind w:left="924" w:hanging="357"/>
              <w:rPr>
                <w:i/>
                <w:sz w:val="22"/>
                <w:szCs w:val="22"/>
              </w:rPr>
            </w:pPr>
            <w:r>
              <w:rPr>
                <w:sz w:val="22"/>
                <w:szCs w:val="22"/>
              </w:rPr>
              <w:t>Diskussion: Abbildung „Asymptomatisch“ scheint kontra-intuitiv, Darstellung wurde gewählt aufgrund der Screenings und der Vielzahl an Anfragen zu Asymptomatischen</w:t>
            </w:r>
          </w:p>
          <w:p>
            <w:pPr>
              <w:rPr>
                <w:i/>
                <w:sz w:val="22"/>
                <w:szCs w:val="22"/>
              </w:rPr>
            </w:pPr>
            <w:proofErr w:type="spellStart"/>
            <w:r>
              <w:rPr>
                <w:i/>
                <w:sz w:val="22"/>
                <w:szCs w:val="22"/>
              </w:rPr>
              <w:t>To</w:t>
            </w:r>
            <w:proofErr w:type="spellEnd"/>
            <w:r>
              <w:rPr>
                <w:i/>
                <w:sz w:val="22"/>
                <w:szCs w:val="22"/>
              </w:rPr>
              <w:t xml:space="preserve"> Do: Ggf. auch Anteil Symptomatischer darstellen </w:t>
            </w:r>
          </w:p>
          <w:p>
            <w:pPr>
              <w:pStyle w:val="Listenabsatz"/>
              <w:numPr>
                <w:ilvl w:val="1"/>
                <w:numId w:val="5"/>
              </w:numPr>
              <w:ind w:left="924" w:hanging="357"/>
              <w:rPr>
                <w:sz w:val="22"/>
                <w:szCs w:val="22"/>
              </w:rPr>
            </w:pPr>
            <w:r>
              <w:rPr>
                <w:sz w:val="22"/>
                <w:szCs w:val="22"/>
              </w:rPr>
              <w:t>Gestrige BMG-Konferenz: Interesse an Maßzahlen für Schwere, Ausbruchsituationen in Kitas und Schulen geäußert, aber: Ausbruchsgeschehen werden somit nur in geringem Umfang dargestellt, andere Infektionssettings werden möglicherweise untererfasst, Aussagekraft und Interpretationsmöglichkeit fraglich; BMG wünscht jedoch Daten dazu;</w:t>
            </w:r>
          </w:p>
          <w:p>
            <w:pPr>
              <w:pStyle w:val="Listenabsatz"/>
              <w:numPr>
                <w:ilvl w:val="1"/>
                <w:numId w:val="5"/>
              </w:numPr>
              <w:ind w:left="924" w:hanging="357"/>
              <w:rPr>
                <w:sz w:val="22"/>
                <w:szCs w:val="22"/>
              </w:rPr>
            </w:pPr>
            <w:r>
              <w:rPr>
                <w:sz w:val="22"/>
                <w:szCs w:val="22"/>
              </w:rPr>
              <w:t xml:space="preserve">Referenzdaten zum Vorjahr bspw. bezüglich </w:t>
            </w:r>
            <w:proofErr w:type="spellStart"/>
            <w:r>
              <w:rPr>
                <w:sz w:val="22"/>
                <w:szCs w:val="22"/>
              </w:rPr>
              <w:t>Übersterb-lichkeit</w:t>
            </w:r>
            <w:proofErr w:type="spellEnd"/>
            <w:r>
              <w:rPr>
                <w:sz w:val="22"/>
                <w:szCs w:val="22"/>
              </w:rPr>
              <w:t xml:space="preserve"> erwünscht, Daten jedoch ca. 4-wöchiger Verzug </w:t>
            </w:r>
          </w:p>
          <w:p>
            <w:pPr>
              <w:pStyle w:val="Listenabsatz"/>
              <w:numPr>
                <w:ilvl w:val="1"/>
                <w:numId w:val="5"/>
              </w:numPr>
              <w:ind w:left="924" w:hanging="357"/>
              <w:rPr>
                <w:sz w:val="22"/>
                <w:szCs w:val="22"/>
              </w:rPr>
            </w:pPr>
            <w:r>
              <w:rPr>
                <w:sz w:val="22"/>
                <w:szCs w:val="22"/>
              </w:rPr>
              <w:t>Cave: Selektions-Bias (Kapazitätsgrenze: vornehmlich Symptomatische getestet)</w:t>
            </w:r>
          </w:p>
          <w:p>
            <w:pPr>
              <w:rPr>
                <w:i/>
                <w:sz w:val="22"/>
                <w:szCs w:val="22"/>
              </w:rPr>
            </w:pPr>
            <w:proofErr w:type="spellStart"/>
            <w:r>
              <w:rPr>
                <w:i/>
                <w:sz w:val="22"/>
                <w:szCs w:val="22"/>
              </w:rPr>
              <w:t>To</w:t>
            </w:r>
            <w:proofErr w:type="spellEnd"/>
            <w:r>
              <w:rPr>
                <w:i/>
                <w:sz w:val="22"/>
                <w:szCs w:val="22"/>
              </w:rPr>
              <w:t xml:space="preserve"> Do: Bitte um Vorbereitung o.g. Daten</w:t>
            </w:r>
          </w:p>
          <w:p>
            <w:pPr>
              <w:rPr>
                <w:sz w:val="22"/>
                <w:szCs w:val="22"/>
                <w:highlight w:val="yellow"/>
              </w:rPr>
            </w:pPr>
          </w:p>
          <w:p>
            <w:pPr>
              <w:rPr>
                <w:sz w:val="22"/>
                <w:szCs w:val="22"/>
              </w:rPr>
            </w:pP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w:t>
            </w:r>
            <w:r>
              <w:rPr>
                <w:sz w:val="22"/>
                <w:szCs w:val="22"/>
              </w:rPr>
              <w:t xml:space="preserve"> (Folien </w:t>
            </w:r>
            <w:hyperlink r:id="rId12" w:history="1">
              <w:r>
                <w:rPr>
                  <w:rStyle w:val="Hyperlink"/>
                  <w:sz w:val="22"/>
                  <w:szCs w:val="22"/>
                </w:rPr>
                <w:t>hier</w:t>
              </w:r>
            </w:hyperlink>
            <w:r>
              <w:rPr>
                <w:sz w:val="22"/>
                <w:szCs w:val="22"/>
              </w:rPr>
              <w:t xml:space="preserve">) </w:t>
            </w:r>
          </w:p>
          <w:p>
            <w:pPr>
              <w:pStyle w:val="Listenabsatz"/>
              <w:numPr>
                <w:ilvl w:val="1"/>
                <w:numId w:val="7"/>
              </w:numPr>
              <w:ind w:left="907" w:hanging="340"/>
              <w:rPr>
                <w:sz w:val="22"/>
                <w:szCs w:val="22"/>
              </w:rPr>
            </w:pPr>
            <w:proofErr w:type="spellStart"/>
            <w:r>
              <w:rPr>
                <w:sz w:val="22"/>
                <w:szCs w:val="22"/>
              </w:rPr>
              <w:t>GrippeWeb</w:t>
            </w:r>
            <w:proofErr w:type="spellEnd"/>
            <w:r>
              <w:rPr>
                <w:sz w:val="22"/>
                <w:szCs w:val="22"/>
              </w:rPr>
              <w:t>: ARE-Raten bis 45. KW weiter gesunken</w:t>
            </w:r>
          </w:p>
          <w:p>
            <w:pPr>
              <w:pStyle w:val="Listenabsatz"/>
              <w:numPr>
                <w:ilvl w:val="1"/>
                <w:numId w:val="7"/>
              </w:numPr>
              <w:ind w:left="907" w:hanging="340"/>
              <w:rPr>
                <w:sz w:val="22"/>
                <w:szCs w:val="22"/>
              </w:rPr>
            </w:pPr>
            <w:r>
              <w:rPr>
                <w:sz w:val="22"/>
                <w:szCs w:val="22"/>
              </w:rPr>
              <w:t>AGI Konsultationsinzidenz: deutlicher Anstieg in letzten Wochen, Inzidenz jetzt wieder gesunken, insgesamt recht hohes Niveau im Vergleich zu Vorsaisons</w:t>
            </w:r>
          </w:p>
          <w:p>
            <w:pPr>
              <w:pStyle w:val="Listenabsatz"/>
              <w:numPr>
                <w:ilvl w:val="1"/>
                <w:numId w:val="7"/>
              </w:numPr>
              <w:ind w:left="907" w:hanging="340"/>
              <w:rPr>
                <w:sz w:val="22"/>
                <w:szCs w:val="22"/>
              </w:rPr>
            </w:pPr>
            <w:r>
              <w:rPr>
                <w:sz w:val="22"/>
                <w:szCs w:val="22"/>
              </w:rPr>
              <w:t>ICOSARI-KH-Surveillance – SARI-Fälle bis zur 44. KW: 35- bis 59-Jährige (hellblau bzw. rot Folie 7): weiter angestiegen, noch nicht auf Nivea der Grippewelle, bei &gt; 60-Jährigen (dunkelblau bzw. rot Folie 8) Anstieg derzeit steiler, Niveau in etwa wie zu Beginn der Grippewelle</w:t>
            </w:r>
          </w:p>
          <w:p>
            <w:pPr>
              <w:pStyle w:val="Listenabsatz"/>
              <w:numPr>
                <w:ilvl w:val="1"/>
                <w:numId w:val="7"/>
              </w:numPr>
              <w:ind w:left="907" w:hanging="340"/>
              <w:rPr>
                <w:sz w:val="22"/>
                <w:szCs w:val="22"/>
              </w:rPr>
            </w:pPr>
            <w:r>
              <w:rPr>
                <w:sz w:val="22"/>
                <w:szCs w:val="22"/>
              </w:rPr>
              <w:t>ICOSARI-KH-Surveillance – SARI-Fälle sowie Anteil SARI-Fälle mit COVID-Diagnose bis zur 44. KW (Folie 9): derzeit ca. 50 % COVID-19-positiv</w:t>
            </w:r>
          </w:p>
          <w:p>
            <w:pPr>
              <w:pStyle w:val="Listenabsatz"/>
              <w:numPr>
                <w:ilvl w:val="1"/>
                <w:numId w:val="7"/>
              </w:numPr>
              <w:ind w:left="907" w:hanging="340"/>
              <w:rPr>
                <w:sz w:val="22"/>
                <w:szCs w:val="22"/>
              </w:rPr>
            </w:pPr>
            <w:r>
              <w:rPr>
                <w:sz w:val="22"/>
                <w:szCs w:val="22"/>
              </w:rPr>
              <w:t xml:space="preserve">ICOSARI-KH-Surveillance – Anteil COVID-SARI-Fälle nach AG (Folie 10): teils vergleichbar zur Situation im Frühjahr, in allen AG ab 15 Jahren sehr hoch </w:t>
            </w:r>
          </w:p>
          <w:p>
            <w:pPr>
              <w:pStyle w:val="Listenabsatz"/>
              <w:numPr>
                <w:ilvl w:val="1"/>
                <w:numId w:val="7"/>
              </w:numPr>
              <w:ind w:left="907" w:hanging="340"/>
              <w:rPr>
                <w:sz w:val="22"/>
                <w:szCs w:val="22"/>
              </w:rPr>
            </w:pPr>
            <w:r>
              <w:rPr>
                <w:sz w:val="22"/>
                <w:szCs w:val="22"/>
              </w:rPr>
              <w:t>ICOSARI-KH-Surveillance – COVID-SARI-Fälle bis zur 44. KW (Folie 11): Absolute Anzahl der COVID-19-Fälle mit SARI im Sentinel: v.a. in AG 60 bis 79 Jahre steiler Anstieg und deutlich höhere Zahl im Gegensatz zum Frühjahr</w:t>
            </w:r>
          </w:p>
          <w:p>
            <w:pPr>
              <w:rPr>
                <w:sz w:val="22"/>
                <w:szCs w:val="22"/>
                <w:highlight w:val="yellow"/>
              </w:rPr>
            </w:pPr>
          </w:p>
          <w:p>
            <w:pPr>
              <w:rPr>
                <w:sz w:val="22"/>
                <w:szCs w:val="22"/>
                <w:highlight w:val="yellow"/>
              </w:rPr>
            </w:pPr>
          </w:p>
          <w:p>
            <w:pPr>
              <w:pStyle w:val="Listenabsatz"/>
              <w:numPr>
                <w:ilvl w:val="0"/>
                <w:numId w:val="5"/>
              </w:numPr>
              <w:ind w:left="453" w:hanging="340"/>
              <w:rPr>
                <w:sz w:val="22"/>
                <w:szCs w:val="22"/>
              </w:rPr>
            </w:pPr>
            <w:r>
              <w:rPr>
                <w:b/>
                <w:sz w:val="22"/>
                <w:szCs w:val="22"/>
              </w:rPr>
              <w:t>Testkapazität und Testungen</w:t>
            </w:r>
            <w:r>
              <w:rPr>
                <w:sz w:val="22"/>
                <w:szCs w:val="22"/>
              </w:rPr>
              <w:t xml:space="preserve"> (Folien </w:t>
            </w:r>
            <w:hyperlink r:id="rId13" w:history="1">
              <w:r>
                <w:rPr>
                  <w:rStyle w:val="Hyperlink"/>
                  <w:sz w:val="22"/>
                  <w:szCs w:val="22"/>
                </w:rPr>
                <w:t>hier</w:t>
              </w:r>
            </w:hyperlink>
            <w:r>
              <w:rPr>
                <w:sz w:val="22"/>
                <w:szCs w:val="22"/>
              </w:rPr>
              <w:t xml:space="preserve">) </w:t>
            </w:r>
          </w:p>
          <w:p>
            <w:pPr>
              <w:pStyle w:val="Listenabsatz"/>
              <w:numPr>
                <w:ilvl w:val="1"/>
                <w:numId w:val="7"/>
              </w:numPr>
              <w:ind w:left="907" w:hanging="340"/>
              <w:rPr>
                <w:sz w:val="22"/>
                <w:szCs w:val="22"/>
              </w:rPr>
            </w:pPr>
            <w:r>
              <w:rPr>
                <w:bCs/>
                <w:sz w:val="22"/>
                <w:szCs w:val="22"/>
              </w:rPr>
              <w:t xml:space="preserve">Anzahl der Testungen und </w:t>
            </w:r>
            <w:proofErr w:type="spellStart"/>
            <w:r>
              <w:rPr>
                <w:bCs/>
                <w:sz w:val="22"/>
                <w:szCs w:val="22"/>
              </w:rPr>
              <w:t>Positivenanteile</w:t>
            </w:r>
            <w:proofErr w:type="spellEnd"/>
            <w:r>
              <w:rPr>
                <w:bCs/>
                <w:sz w:val="22"/>
                <w:szCs w:val="22"/>
              </w:rPr>
              <w:t xml:space="preserve"> pro Woche – </w:t>
            </w:r>
            <w:proofErr w:type="spellStart"/>
            <w:r>
              <w:rPr>
                <w:bCs/>
                <w:sz w:val="22"/>
                <w:szCs w:val="22"/>
              </w:rPr>
              <w:t>Positivenanteil</w:t>
            </w:r>
            <w:proofErr w:type="spellEnd"/>
            <w:r>
              <w:rPr>
                <w:bCs/>
                <w:sz w:val="22"/>
                <w:szCs w:val="22"/>
              </w:rPr>
              <w:t xml:space="preserve"> bundesweit</w:t>
            </w:r>
            <w:r>
              <w:rPr>
                <w:sz w:val="22"/>
                <w:szCs w:val="22"/>
              </w:rPr>
              <w:t xml:space="preserve"> über 7,5 %, Kurvenanstieg flacht jedoch derzeit ab </w:t>
            </w:r>
          </w:p>
          <w:p>
            <w:pPr>
              <w:pStyle w:val="Listenabsatz"/>
              <w:numPr>
                <w:ilvl w:val="1"/>
                <w:numId w:val="7"/>
              </w:numPr>
              <w:ind w:left="907" w:hanging="340"/>
              <w:rPr>
                <w:sz w:val="22"/>
                <w:szCs w:val="22"/>
              </w:rPr>
            </w:pPr>
            <w:r>
              <w:rPr>
                <w:sz w:val="22"/>
                <w:szCs w:val="22"/>
              </w:rPr>
              <w:t xml:space="preserve">Testverzug nach </w:t>
            </w:r>
            <w:proofErr w:type="spellStart"/>
            <w:r>
              <w:rPr>
                <w:sz w:val="22"/>
                <w:szCs w:val="22"/>
              </w:rPr>
              <w:t>BuLa</w:t>
            </w:r>
            <w:proofErr w:type="spellEnd"/>
            <w:r>
              <w:rPr>
                <w:sz w:val="22"/>
                <w:szCs w:val="22"/>
              </w:rPr>
              <w:t xml:space="preserve">: Tage des Zeitverzuges zwischen </w:t>
            </w:r>
            <w:proofErr w:type="spellStart"/>
            <w:r>
              <w:rPr>
                <w:sz w:val="22"/>
                <w:szCs w:val="22"/>
              </w:rPr>
              <w:t>Pobennahme</w:t>
            </w:r>
            <w:proofErr w:type="spellEnd"/>
            <w:r>
              <w:rPr>
                <w:sz w:val="22"/>
                <w:szCs w:val="22"/>
              </w:rPr>
              <w:t xml:space="preserve"> und Labortest: vielfach 0 Tage Verzug, Bayern sehr stabil, SH wenig belastet, jedoch tendenziell leichte Zunahme, ggf. Anzeichen für Probenrückstau</w:t>
            </w:r>
          </w:p>
          <w:p>
            <w:pPr>
              <w:pStyle w:val="Listenabsatz"/>
              <w:numPr>
                <w:ilvl w:val="1"/>
                <w:numId w:val="7"/>
              </w:numPr>
              <w:ind w:left="907" w:hanging="340"/>
              <w:rPr>
                <w:sz w:val="22"/>
                <w:szCs w:val="22"/>
              </w:rPr>
            </w:pPr>
            <w:proofErr w:type="spellStart"/>
            <w:r>
              <w:rPr>
                <w:sz w:val="22"/>
                <w:szCs w:val="22"/>
              </w:rPr>
              <w:lastRenderedPageBreak/>
              <w:t>Positivenanteil</w:t>
            </w:r>
            <w:proofErr w:type="spellEnd"/>
            <w:r>
              <w:rPr>
                <w:sz w:val="22"/>
                <w:szCs w:val="22"/>
              </w:rPr>
              <w:t xml:space="preserve"> nach </w:t>
            </w:r>
            <w:proofErr w:type="spellStart"/>
            <w:r>
              <w:rPr>
                <w:sz w:val="22"/>
                <w:szCs w:val="22"/>
              </w:rPr>
              <w:t>BuLa</w:t>
            </w:r>
            <w:proofErr w:type="spellEnd"/>
            <w:r>
              <w:rPr>
                <w:sz w:val="22"/>
                <w:szCs w:val="22"/>
              </w:rPr>
              <w:t xml:space="preserve"> und KW: hier gesamter Zeitraum inkl. erster Welle dargestellt, derzeit in allen </w:t>
            </w:r>
            <w:proofErr w:type="spellStart"/>
            <w:r>
              <w:rPr>
                <w:sz w:val="22"/>
                <w:szCs w:val="22"/>
              </w:rPr>
              <w:t>BuLä</w:t>
            </w:r>
            <w:proofErr w:type="spellEnd"/>
            <w:r>
              <w:rPr>
                <w:sz w:val="22"/>
                <w:szCs w:val="22"/>
              </w:rPr>
              <w:t xml:space="preserve"> nahezu ähnlich hoch wie in erster Welle, teilweise </w:t>
            </w:r>
            <w:proofErr w:type="spellStart"/>
            <w:r>
              <w:rPr>
                <w:sz w:val="22"/>
                <w:szCs w:val="22"/>
              </w:rPr>
              <w:t>ggr</w:t>
            </w:r>
            <w:proofErr w:type="spellEnd"/>
            <w:r>
              <w:rPr>
                <w:sz w:val="22"/>
                <w:szCs w:val="22"/>
              </w:rPr>
              <w:t>. höher</w:t>
            </w:r>
          </w:p>
          <w:p>
            <w:pPr>
              <w:pStyle w:val="Listenabsatz"/>
              <w:numPr>
                <w:ilvl w:val="1"/>
                <w:numId w:val="7"/>
              </w:numPr>
              <w:ind w:left="907" w:hanging="340"/>
              <w:rPr>
                <w:sz w:val="22"/>
                <w:szCs w:val="22"/>
              </w:rPr>
            </w:pPr>
            <w:proofErr w:type="spellStart"/>
            <w:r>
              <w:rPr>
                <w:sz w:val="22"/>
                <w:szCs w:val="22"/>
              </w:rPr>
              <w:t>Positivenanteil</w:t>
            </w:r>
            <w:proofErr w:type="spellEnd"/>
            <w:r>
              <w:rPr>
                <w:sz w:val="22"/>
                <w:szCs w:val="22"/>
              </w:rPr>
              <w:t xml:space="preserve"> nach AG und KW: 0 bis 4-Jährige wenig </w:t>
            </w:r>
            <w:proofErr w:type="spellStart"/>
            <w:r>
              <w:rPr>
                <w:sz w:val="22"/>
                <w:szCs w:val="22"/>
              </w:rPr>
              <w:t>Positivenanteil</w:t>
            </w:r>
            <w:proofErr w:type="spellEnd"/>
            <w:r>
              <w:rPr>
                <w:sz w:val="22"/>
                <w:szCs w:val="22"/>
              </w:rPr>
              <w:t>, aber &gt; 80-Jährige jetzt wieder stark zunehmende Anteile wie zu Beginn der Pandemie</w:t>
            </w:r>
          </w:p>
          <w:p>
            <w:pPr>
              <w:pStyle w:val="Listenabsatz"/>
              <w:numPr>
                <w:ilvl w:val="1"/>
                <w:numId w:val="7"/>
              </w:numPr>
              <w:ind w:left="907" w:hanging="340"/>
              <w:rPr>
                <w:sz w:val="22"/>
                <w:szCs w:val="22"/>
              </w:rPr>
            </w:pPr>
            <w:proofErr w:type="spellStart"/>
            <w:r>
              <w:rPr>
                <w:sz w:val="22"/>
                <w:szCs w:val="22"/>
              </w:rPr>
              <w:t>Positivenanteil</w:t>
            </w:r>
            <w:proofErr w:type="spellEnd"/>
            <w:r>
              <w:rPr>
                <w:sz w:val="22"/>
                <w:szCs w:val="22"/>
              </w:rPr>
              <w:t xml:space="preserve"> nach Einsender und KW: Arztpraxen höchste Anteile, Krankenhaus vergleichsweise niedrig (Testung bei Aufnahme mutmaßlich rel. niedriger </w:t>
            </w:r>
            <w:proofErr w:type="spellStart"/>
            <w:r>
              <w:rPr>
                <w:sz w:val="22"/>
                <w:szCs w:val="22"/>
              </w:rPr>
              <w:t>Positivenanteil</w:t>
            </w:r>
            <w:proofErr w:type="spellEnd"/>
            <w:r>
              <w:rPr>
                <w:sz w:val="22"/>
                <w:szCs w:val="22"/>
              </w:rPr>
              <w:t xml:space="preserve"> im Vergleich zu Arztpraxen mit hohem Anteil Symptomatischer), „Andere“: div. Testzentren</w:t>
            </w:r>
          </w:p>
          <w:p>
            <w:pPr>
              <w:pStyle w:val="Listenabsatz"/>
              <w:numPr>
                <w:ilvl w:val="1"/>
                <w:numId w:val="7"/>
              </w:numPr>
              <w:ind w:left="907" w:hanging="340"/>
              <w:rPr>
                <w:sz w:val="22"/>
                <w:szCs w:val="22"/>
              </w:rPr>
            </w:pPr>
            <w:r>
              <w:rPr>
                <w:sz w:val="22"/>
                <w:szCs w:val="22"/>
              </w:rPr>
              <w:t xml:space="preserve">In Vorbereitung: Die dem Wochenbericht zugrundliegenden Daten werden als Excel Datei in einem bearbeiteten Format zum </w:t>
            </w:r>
            <w:proofErr w:type="spellStart"/>
            <w:r>
              <w:rPr>
                <w:sz w:val="22"/>
                <w:szCs w:val="22"/>
              </w:rPr>
              <w:t>download</w:t>
            </w:r>
            <w:proofErr w:type="spellEnd"/>
            <w:r>
              <w:rPr>
                <w:sz w:val="22"/>
                <w:szCs w:val="22"/>
              </w:rPr>
              <w:t xml:space="preserve"> auf der Webseite zur Verfügung gestellt</w:t>
            </w:r>
          </w:p>
          <w:p>
            <w:pPr>
              <w:pStyle w:val="Listenabsatz"/>
              <w:numPr>
                <w:ilvl w:val="1"/>
                <w:numId w:val="7"/>
              </w:numPr>
              <w:ind w:left="907" w:hanging="340"/>
              <w:rPr>
                <w:sz w:val="22"/>
                <w:szCs w:val="22"/>
              </w:rPr>
            </w:pPr>
            <w:r>
              <w:rPr>
                <w:sz w:val="22"/>
                <w:szCs w:val="22"/>
              </w:rPr>
              <w:t xml:space="preserve">Diskussion: </w:t>
            </w:r>
          </w:p>
          <w:p>
            <w:pPr>
              <w:pStyle w:val="Listenabsatz"/>
              <w:numPr>
                <w:ilvl w:val="0"/>
                <w:numId w:val="20"/>
              </w:numPr>
              <w:rPr>
                <w:sz w:val="22"/>
                <w:szCs w:val="22"/>
              </w:rPr>
            </w:pPr>
            <w:r>
              <w:rPr>
                <w:sz w:val="22"/>
                <w:szCs w:val="22"/>
              </w:rPr>
              <w:t xml:space="preserve">Rückgang Positivrate wäre sehr aussagekräftig hinsichtlich möglichen Erfolges des </w:t>
            </w:r>
            <w:proofErr w:type="spellStart"/>
            <w:r>
              <w:rPr>
                <w:sz w:val="22"/>
                <w:szCs w:val="22"/>
              </w:rPr>
              <w:t>Teillockdowns</w:t>
            </w:r>
            <w:proofErr w:type="spellEnd"/>
            <w:r>
              <w:rPr>
                <w:sz w:val="22"/>
                <w:szCs w:val="22"/>
              </w:rPr>
              <w:t xml:space="preserve">, sollte – ggf. auch pressetechnisch - berücksichtigt werden </w:t>
            </w:r>
          </w:p>
          <w:p>
            <w:pPr>
              <w:pStyle w:val="Listenabsatz"/>
              <w:numPr>
                <w:ilvl w:val="0"/>
                <w:numId w:val="20"/>
              </w:numPr>
              <w:rPr>
                <w:sz w:val="22"/>
                <w:szCs w:val="22"/>
              </w:rPr>
            </w:pPr>
            <w:r>
              <w:rPr>
                <w:sz w:val="22"/>
                <w:szCs w:val="22"/>
              </w:rPr>
              <w:t xml:space="preserve">Krankenhauseinweisung: typischerweise AG &gt; 50 Jahre, spiegelt große Teile der Allgemeinbevölkerung wieder, aber bei ARE nicht differenziert, ob Test bei Aufnahme oder während Aufenthalt </w:t>
            </w:r>
          </w:p>
          <w:p>
            <w:pPr>
              <w:pStyle w:val="Listenabsatz"/>
              <w:numPr>
                <w:ilvl w:val="0"/>
                <w:numId w:val="20"/>
              </w:numPr>
              <w:rPr>
                <w:sz w:val="22"/>
                <w:szCs w:val="22"/>
              </w:rPr>
            </w:pPr>
            <w:r>
              <w:rPr>
                <w:sz w:val="22"/>
                <w:szCs w:val="22"/>
              </w:rPr>
              <w:t xml:space="preserve">AG &gt; 80 Jahre: (prozentuale) Differenzierung zwischen Heimbewohner*innen und zu Hause lebenden Personen wünschenswert, Daten vorhanden, aber Bezug zu Meldedaten schwierig (Nachtrag von Frau </w:t>
            </w:r>
            <w:proofErr w:type="spellStart"/>
            <w:r>
              <w:rPr>
                <w:sz w:val="22"/>
                <w:szCs w:val="22"/>
              </w:rPr>
              <w:t>Thaiss</w:t>
            </w:r>
            <w:proofErr w:type="spellEnd"/>
            <w:r>
              <w:rPr>
                <w:sz w:val="22"/>
                <w:szCs w:val="22"/>
              </w:rPr>
              <w:t xml:space="preserve">: rund 2 </w:t>
            </w:r>
            <w:proofErr w:type="spellStart"/>
            <w:r>
              <w:rPr>
                <w:sz w:val="22"/>
                <w:szCs w:val="22"/>
              </w:rPr>
              <w:t>Mio</w:t>
            </w:r>
            <w:proofErr w:type="spellEnd"/>
            <w:r>
              <w:rPr>
                <w:sz w:val="22"/>
                <w:szCs w:val="22"/>
              </w:rPr>
              <w:t xml:space="preserve"> Pflegebedürftige ab 65 Jahren werden zuhause versorgt, rund 760.000 vollstationär in Pflegeheimen)</w:t>
            </w:r>
          </w:p>
          <w:p>
            <w:pPr>
              <w:pStyle w:val="Listenabsatz"/>
              <w:ind w:left="907"/>
              <w:rPr>
                <w:sz w:val="22"/>
                <w:szCs w:val="22"/>
              </w:rPr>
            </w:pPr>
          </w:p>
          <w:p>
            <w:pPr>
              <w:rPr>
                <w:i/>
                <w:sz w:val="22"/>
                <w:szCs w:val="22"/>
              </w:rPr>
            </w:pPr>
            <w:proofErr w:type="spellStart"/>
            <w:r>
              <w:rPr>
                <w:i/>
                <w:sz w:val="22"/>
                <w:szCs w:val="22"/>
              </w:rPr>
              <w:t>To</w:t>
            </w:r>
            <w:proofErr w:type="spellEnd"/>
            <w:r>
              <w:rPr>
                <w:i/>
                <w:sz w:val="22"/>
                <w:szCs w:val="22"/>
              </w:rPr>
              <w:t xml:space="preserve"> Do: Bitte an Herrn Eckmanns um mögliche differenzierte Analyse- oder Darstellungsmöglichkeit hinsichtlich letzter beider Punkte </w:t>
            </w:r>
          </w:p>
          <w:p>
            <w:pPr>
              <w:rPr>
                <w:i/>
                <w:sz w:val="22"/>
                <w:szCs w:val="22"/>
              </w:rPr>
            </w:pPr>
          </w:p>
          <w:p>
            <w:pPr>
              <w:rPr>
                <w:i/>
                <w:sz w:val="22"/>
                <w:szCs w:val="22"/>
              </w:rPr>
            </w:pPr>
            <w:commentRangeStart w:id="0"/>
            <w:proofErr w:type="spellStart"/>
            <w:r>
              <w:rPr>
                <w:i/>
                <w:sz w:val="22"/>
                <w:szCs w:val="22"/>
              </w:rPr>
              <w:t>To</w:t>
            </w:r>
            <w:proofErr w:type="spellEnd"/>
            <w:r>
              <w:rPr>
                <w:i/>
                <w:sz w:val="22"/>
                <w:szCs w:val="22"/>
              </w:rPr>
              <w:t xml:space="preserve"> do: Bitte an Abt. 3 um Klärung des weiteren Umgangs mit den veränderten Variablen (Testkriterien, geringerer Anteil getesteter Asymptomatischer, neuer AG-NW versus PCR etc.): welche Parameter weiterhin relevant und aussagekräftig, Effekte abzubilden (Positivrate, Todesfälle, Hospitalisierung etc.) </w:t>
            </w:r>
            <w:commentRangeEnd w:id="0"/>
            <w:r>
              <w:rPr>
                <w:rStyle w:val="Kommentarzeichen"/>
                <w:rFonts w:ascii="Scala Sans OT" w:hAnsi="Scala Sans OT"/>
                <w:lang w:eastAsia="de-DE"/>
              </w:rPr>
              <w:commentReference w:id="0"/>
            </w:r>
          </w:p>
          <w:p>
            <w:pPr>
              <w:rPr>
                <w:sz w:val="22"/>
                <w:szCs w:val="22"/>
                <w:highlight w:val="yellow"/>
              </w:rPr>
            </w:pPr>
          </w:p>
          <w:p>
            <w:pPr>
              <w:rPr>
                <w:sz w:val="22"/>
                <w:szCs w:val="22"/>
                <w:highlight w:val="yellow"/>
              </w:rPr>
            </w:pPr>
          </w:p>
          <w:p>
            <w:pPr>
              <w:pStyle w:val="Listenabsatz"/>
              <w:numPr>
                <w:ilvl w:val="0"/>
                <w:numId w:val="5"/>
              </w:numPr>
              <w:ind w:left="453" w:hanging="340"/>
              <w:rPr>
                <w:sz w:val="22"/>
                <w:szCs w:val="22"/>
              </w:rPr>
            </w:pPr>
            <w:r>
              <w:rPr>
                <w:b/>
                <w:bCs/>
                <w:sz w:val="22"/>
                <w:szCs w:val="22"/>
              </w:rPr>
              <w:t>Erfassung der SARS-CoV-2 Testzahlen und -Kapazitäten</w:t>
            </w:r>
            <w:r>
              <w:rPr>
                <w:b/>
                <w:sz w:val="22"/>
                <w:szCs w:val="22"/>
              </w:rPr>
              <w:t xml:space="preserve"> </w:t>
            </w:r>
            <w:r>
              <w:rPr>
                <w:sz w:val="22"/>
                <w:szCs w:val="22"/>
              </w:rPr>
              <w:t xml:space="preserve">(Folien </w:t>
            </w:r>
            <w:hyperlink r:id="rId15" w:history="1">
              <w:r>
                <w:rPr>
                  <w:rStyle w:val="Hyperlink"/>
                  <w:sz w:val="22"/>
                  <w:szCs w:val="22"/>
                </w:rPr>
                <w:t>hier</w:t>
              </w:r>
            </w:hyperlink>
            <w:r>
              <w:rPr>
                <w:sz w:val="22"/>
                <w:szCs w:val="22"/>
              </w:rPr>
              <w:t xml:space="preserve">) </w:t>
            </w:r>
          </w:p>
          <w:p>
            <w:pPr>
              <w:pStyle w:val="Listenabsatz"/>
              <w:numPr>
                <w:ilvl w:val="1"/>
                <w:numId w:val="7"/>
              </w:numPr>
              <w:ind w:left="907" w:hanging="340"/>
              <w:rPr>
                <w:sz w:val="22"/>
                <w:szCs w:val="22"/>
              </w:rPr>
            </w:pPr>
            <w:r>
              <w:rPr>
                <w:sz w:val="22"/>
                <w:szCs w:val="22"/>
              </w:rPr>
              <w:t xml:space="preserve">Datenquellen: deutschlandweit, freiwillige Angabe der Labore </w:t>
            </w:r>
            <w:r>
              <w:sym w:font="Wingdings" w:char="F0E0"/>
            </w:r>
            <w:r>
              <w:rPr>
                <w:sz w:val="22"/>
                <w:szCs w:val="22"/>
              </w:rPr>
              <w:t xml:space="preserve"> KEINE Vollerfassung </w:t>
            </w:r>
          </w:p>
          <w:p>
            <w:pPr>
              <w:pStyle w:val="Listenabsatz"/>
              <w:numPr>
                <w:ilvl w:val="1"/>
                <w:numId w:val="7"/>
              </w:numPr>
              <w:ind w:left="907" w:hanging="340"/>
              <w:rPr>
                <w:sz w:val="22"/>
                <w:szCs w:val="22"/>
              </w:rPr>
            </w:pPr>
            <w:r>
              <w:rPr>
                <w:sz w:val="22"/>
                <w:szCs w:val="22"/>
              </w:rPr>
              <w:t>keine detaillierten / regionalen Auswertungen oder Vergleiche mit gemeldeten Fallzahlen möglich</w:t>
            </w:r>
          </w:p>
          <w:p>
            <w:pPr>
              <w:pStyle w:val="Listenabsatz"/>
              <w:numPr>
                <w:ilvl w:val="1"/>
                <w:numId w:val="7"/>
              </w:numPr>
              <w:ind w:left="907" w:hanging="340"/>
              <w:rPr>
                <w:sz w:val="22"/>
                <w:szCs w:val="22"/>
              </w:rPr>
            </w:pPr>
            <w:r>
              <w:rPr>
                <w:sz w:val="22"/>
                <w:szCs w:val="22"/>
              </w:rPr>
              <w:t xml:space="preserve">Einzellaborebene: webbasierte Plattform (VOXCO, RKI-Testlaborabfrage) </w:t>
            </w:r>
          </w:p>
          <w:p>
            <w:pPr>
              <w:pStyle w:val="Listenabsatz"/>
              <w:numPr>
                <w:ilvl w:val="1"/>
                <w:numId w:val="7"/>
              </w:numPr>
              <w:ind w:left="907" w:hanging="340"/>
              <w:rPr>
                <w:sz w:val="22"/>
                <w:szCs w:val="22"/>
              </w:rPr>
            </w:pPr>
            <w:r>
              <w:rPr>
                <w:sz w:val="22"/>
                <w:szCs w:val="22"/>
              </w:rPr>
              <w:t xml:space="preserve">Abfrage eines labormedizinischen Berufsverbands </w:t>
            </w:r>
          </w:p>
          <w:p>
            <w:pPr>
              <w:pStyle w:val="Listenabsatz"/>
              <w:numPr>
                <w:ilvl w:val="1"/>
                <w:numId w:val="7"/>
              </w:numPr>
              <w:ind w:left="907" w:hanging="340"/>
              <w:rPr>
                <w:sz w:val="22"/>
                <w:szCs w:val="22"/>
              </w:rPr>
            </w:pPr>
            <w:r>
              <w:rPr>
                <w:sz w:val="22"/>
                <w:szCs w:val="22"/>
              </w:rPr>
              <w:t>Aggregiert pro KW: Netzwerk für respiratorische Viren (</w:t>
            </w:r>
            <w:proofErr w:type="spellStart"/>
            <w:r>
              <w:rPr>
                <w:sz w:val="22"/>
                <w:szCs w:val="22"/>
              </w:rPr>
              <w:t>RespVir</w:t>
            </w:r>
            <w:proofErr w:type="spellEnd"/>
            <w:r>
              <w:rPr>
                <w:sz w:val="22"/>
                <w:szCs w:val="22"/>
              </w:rPr>
              <w:t xml:space="preserve">), am RKI etablierte, laborbasierte SARS-CoV-2-Surveillance </w:t>
            </w:r>
          </w:p>
          <w:p>
            <w:pPr>
              <w:pStyle w:val="Listenabsatz"/>
              <w:numPr>
                <w:ilvl w:val="1"/>
                <w:numId w:val="7"/>
              </w:numPr>
              <w:ind w:left="907" w:hanging="340"/>
              <w:rPr>
                <w:sz w:val="22"/>
                <w:szCs w:val="22"/>
              </w:rPr>
            </w:pPr>
            <w:r>
              <w:rPr>
                <w:sz w:val="22"/>
                <w:szCs w:val="22"/>
              </w:rPr>
              <w:t>Bis KW 20, 2020: händische, ab KW20, 2020: App-basierte Zusammenführung der Daten</w:t>
            </w:r>
          </w:p>
          <w:p>
            <w:pPr>
              <w:pStyle w:val="Listenabsatz"/>
              <w:numPr>
                <w:ilvl w:val="1"/>
                <w:numId w:val="7"/>
              </w:numPr>
              <w:ind w:left="907" w:hanging="340"/>
              <w:rPr>
                <w:sz w:val="22"/>
                <w:szCs w:val="22"/>
              </w:rPr>
            </w:pPr>
            <w:r>
              <w:rPr>
                <w:sz w:val="22"/>
                <w:szCs w:val="22"/>
              </w:rPr>
              <w:lastRenderedPageBreak/>
              <w:t xml:space="preserve">Konsentierte IDs für die Labore </w:t>
            </w:r>
            <w:proofErr w:type="spellStart"/>
            <w:r>
              <w:rPr>
                <w:sz w:val="22"/>
                <w:szCs w:val="22"/>
              </w:rPr>
              <w:t>labormed</w:t>
            </w:r>
            <w:proofErr w:type="spellEnd"/>
            <w:r>
              <w:rPr>
                <w:sz w:val="22"/>
                <w:szCs w:val="22"/>
              </w:rPr>
              <w:t xml:space="preserve">. Berufsverband / </w:t>
            </w:r>
            <w:proofErr w:type="spellStart"/>
            <w:r>
              <w:rPr>
                <w:sz w:val="22"/>
                <w:szCs w:val="22"/>
              </w:rPr>
              <w:t>Voxco</w:t>
            </w:r>
            <w:proofErr w:type="spellEnd"/>
          </w:p>
          <w:p>
            <w:pPr>
              <w:pStyle w:val="Listenabsatz"/>
              <w:numPr>
                <w:ilvl w:val="1"/>
                <w:numId w:val="7"/>
              </w:numPr>
              <w:ind w:left="907" w:hanging="340"/>
              <w:rPr>
                <w:sz w:val="22"/>
                <w:szCs w:val="22"/>
              </w:rPr>
            </w:pPr>
            <w:r>
              <w:rPr>
                <w:sz w:val="22"/>
                <w:szCs w:val="22"/>
              </w:rPr>
              <w:t>Bisher 253 Labore registriert (Daten von ca. 190-203 Laboren/KW übermittelt)</w:t>
            </w:r>
          </w:p>
          <w:p>
            <w:pPr>
              <w:pStyle w:val="Listenabsatz"/>
              <w:numPr>
                <w:ilvl w:val="1"/>
                <w:numId w:val="7"/>
              </w:numPr>
              <w:ind w:left="907" w:hanging="340"/>
              <w:rPr>
                <w:sz w:val="22"/>
                <w:szCs w:val="22"/>
              </w:rPr>
            </w:pPr>
            <w:r>
              <w:rPr>
                <w:sz w:val="22"/>
                <w:szCs w:val="22"/>
              </w:rPr>
              <w:t xml:space="preserve">Herausforderung: händische Vergleichsarbeit (Laboradressen, </w:t>
            </w:r>
            <w:proofErr w:type="spellStart"/>
            <w:r>
              <w:rPr>
                <w:sz w:val="22"/>
                <w:szCs w:val="22"/>
              </w:rPr>
              <w:t>domains</w:t>
            </w:r>
            <w:proofErr w:type="spellEnd"/>
            <w:r>
              <w:rPr>
                <w:sz w:val="22"/>
                <w:szCs w:val="22"/>
              </w:rPr>
              <w:t xml:space="preserve"> der E-Mail-Adressen, etc.), Fehleintragungen von Laboren</w:t>
            </w:r>
            <w:r>
              <w:sym w:font="Wingdings" w:char="F0E0"/>
            </w:r>
            <w:r>
              <w:rPr>
                <w:sz w:val="22"/>
                <w:szCs w:val="22"/>
              </w:rPr>
              <w:t xml:space="preserve"> </w:t>
            </w:r>
            <w:proofErr w:type="spellStart"/>
            <w:r>
              <w:rPr>
                <w:sz w:val="22"/>
                <w:szCs w:val="22"/>
              </w:rPr>
              <w:t>regelm</w:t>
            </w:r>
            <w:proofErr w:type="spellEnd"/>
            <w:r>
              <w:rPr>
                <w:sz w:val="22"/>
                <w:szCs w:val="22"/>
              </w:rPr>
              <w:t xml:space="preserve">. Data </w:t>
            </w:r>
            <w:proofErr w:type="spellStart"/>
            <w:r>
              <w:rPr>
                <w:sz w:val="22"/>
                <w:szCs w:val="22"/>
              </w:rPr>
              <w:t>Cleaning</w:t>
            </w:r>
            <w:proofErr w:type="spellEnd"/>
            <w:r>
              <w:rPr>
                <w:sz w:val="22"/>
                <w:szCs w:val="22"/>
              </w:rPr>
              <w:t>, Labore kontaktieren, Korrekturen</w:t>
            </w:r>
          </w:p>
          <w:p>
            <w:pPr>
              <w:pStyle w:val="Listenabsatz"/>
              <w:numPr>
                <w:ilvl w:val="1"/>
                <w:numId w:val="7"/>
              </w:numPr>
              <w:ind w:left="907" w:hanging="340"/>
              <w:rPr>
                <w:sz w:val="22"/>
                <w:szCs w:val="22"/>
              </w:rPr>
            </w:pPr>
            <w:r>
              <w:rPr>
                <w:sz w:val="22"/>
                <w:szCs w:val="22"/>
              </w:rPr>
              <w:t>Erhobene Daten RKI-Testlaborabfrage (</w:t>
            </w:r>
            <w:proofErr w:type="spellStart"/>
            <w:r>
              <w:rPr>
                <w:sz w:val="22"/>
                <w:szCs w:val="22"/>
              </w:rPr>
              <w:t>Voxco</w:t>
            </w:r>
            <w:proofErr w:type="spellEnd"/>
            <w:r>
              <w:rPr>
                <w:sz w:val="22"/>
                <w:szCs w:val="22"/>
              </w:rPr>
              <w:t xml:space="preserve">): </w:t>
            </w:r>
          </w:p>
          <w:p>
            <w:pPr>
              <w:pStyle w:val="Listenabsatz"/>
              <w:numPr>
                <w:ilvl w:val="1"/>
                <w:numId w:val="17"/>
              </w:numPr>
              <w:rPr>
                <w:sz w:val="22"/>
                <w:szCs w:val="22"/>
              </w:rPr>
            </w:pPr>
            <w:r>
              <w:rPr>
                <w:sz w:val="22"/>
                <w:szCs w:val="22"/>
              </w:rPr>
              <w:t>Anzahl durchgeführte PCR-Tests, Tests positiv/negativ, getesteter Patienten, Anzahl Patienten positiv/negativ</w:t>
            </w:r>
          </w:p>
          <w:p>
            <w:pPr>
              <w:pStyle w:val="Listenabsatz"/>
              <w:numPr>
                <w:ilvl w:val="1"/>
                <w:numId w:val="17"/>
              </w:numPr>
              <w:rPr>
                <w:sz w:val="22"/>
                <w:szCs w:val="22"/>
              </w:rPr>
            </w:pPr>
            <w:r>
              <w:rPr>
                <w:sz w:val="22"/>
                <w:szCs w:val="22"/>
              </w:rPr>
              <w:t>Maximal mögliche (NOTFALL)-Testkapazität/Tag</w:t>
            </w:r>
          </w:p>
          <w:p>
            <w:pPr>
              <w:pStyle w:val="Listenabsatz"/>
              <w:numPr>
                <w:ilvl w:val="1"/>
                <w:numId w:val="17"/>
              </w:numPr>
              <w:rPr>
                <w:sz w:val="22"/>
                <w:szCs w:val="22"/>
              </w:rPr>
            </w:pPr>
            <w:r>
              <w:rPr>
                <w:sz w:val="22"/>
                <w:szCs w:val="22"/>
              </w:rPr>
              <w:t xml:space="preserve">Anzahl </w:t>
            </w:r>
            <w:proofErr w:type="spellStart"/>
            <w:r>
              <w:rPr>
                <w:sz w:val="22"/>
                <w:szCs w:val="22"/>
              </w:rPr>
              <w:t>regelh</w:t>
            </w:r>
            <w:proofErr w:type="spellEnd"/>
            <w:r>
              <w:rPr>
                <w:sz w:val="22"/>
                <w:szCs w:val="22"/>
              </w:rPr>
              <w:t xml:space="preserve">. Wochenarbeitstage im </w:t>
            </w:r>
            <w:proofErr w:type="spellStart"/>
            <w:r>
              <w:rPr>
                <w:sz w:val="22"/>
                <w:szCs w:val="22"/>
              </w:rPr>
              <w:t>jew</w:t>
            </w:r>
            <w:proofErr w:type="spellEnd"/>
            <w:r>
              <w:rPr>
                <w:sz w:val="22"/>
                <w:szCs w:val="22"/>
              </w:rPr>
              <w:t>. Labor</w:t>
            </w:r>
          </w:p>
          <w:p>
            <w:pPr>
              <w:pStyle w:val="Listenabsatz"/>
              <w:numPr>
                <w:ilvl w:val="1"/>
                <w:numId w:val="17"/>
              </w:numPr>
              <w:rPr>
                <w:sz w:val="22"/>
                <w:szCs w:val="22"/>
              </w:rPr>
            </w:pPr>
            <w:r>
              <w:rPr>
                <w:sz w:val="22"/>
                <w:szCs w:val="22"/>
              </w:rPr>
              <w:t>Reichweite in Tagen (=Reagenz vorhanden)</w:t>
            </w:r>
          </w:p>
          <w:p>
            <w:pPr>
              <w:pStyle w:val="Listenabsatz"/>
              <w:numPr>
                <w:ilvl w:val="1"/>
                <w:numId w:val="17"/>
              </w:numPr>
              <w:rPr>
                <w:sz w:val="22"/>
                <w:szCs w:val="22"/>
              </w:rPr>
            </w:pPr>
            <w:r>
              <w:rPr>
                <w:sz w:val="22"/>
                <w:szCs w:val="22"/>
              </w:rPr>
              <w:t>Anzahl durchgeführter serologischer (und NEU AG-)Testungen/positive/welcher Test wird genutzt, PCR-Bestätigung bei AG-Test ja/nein?</w:t>
            </w:r>
          </w:p>
          <w:p>
            <w:pPr>
              <w:pStyle w:val="Listenabsatz"/>
              <w:numPr>
                <w:ilvl w:val="1"/>
                <w:numId w:val="17"/>
              </w:numPr>
              <w:rPr>
                <w:sz w:val="22"/>
                <w:szCs w:val="22"/>
              </w:rPr>
            </w:pPr>
            <w:r>
              <w:rPr>
                <w:sz w:val="22"/>
                <w:szCs w:val="22"/>
              </w:rPr>
              <w:t>letzte Woche absolut am Limit; KW 25 war Tönnies-Ausbruch (siehe Folie 6)</w:t>
            </w:r>
          </w:p>
          <w:p>
            <w:pPr>
              <w:pStyle w:val="Listenabsatz"/>
              <w:numPr>
                <w:ilvl w:val="1"/>
                <w:numId w:val="17"/>
              </w:numPr>
              <w:rPr>
                <w:sz w:val="22"/>
                <w:szCs w:val="22"/>
              </w:rPr>
            </w:pPr>
            <w:r>
              <w:rPr>
                <w:sz w:val="22"/>
                <w:szCs w:val="22"/>
              </w:rPr>
              <w:t>Lieferengpässe/Besonderheiten</w:t>
            </w:r>
          </w:p>
          <w:p>
            <w:pPr>
              <w:pStyle w:val="Listenabsatz"/>
              <w:numPr>
                <w:ilvl w:val="1"/>
                <w:numId w:val="17"/>
              </w:numPr>
              <w:rPr>
                <w:sz w:val="22"/>
                <w:szCs w:val="22"/>
              </w:rPr>
            </w:pPr>
            <w:r>
              <w:rPr>
                <w:sz w:val="22"/>
                <w:szCs w:val="22"/>
              </w:rPr>
              <w:t>Probenrückstaus</w:t>
            </w:r>
          </w:p>
          <w:p>
            <w:pPr>
              <w:pStyle w:val="Listenabsatz"/>
              <w:numPr>
                <w:ilvl w:val="1"/>
                <w:numId w:val="7"/>
              </w:numPr>
              <w:ind w:left="907" w:hanging="340"/>
              <w:rPr>
                <w:sz w:val="22"/>
                <w:szCs w:val="22"/>
              </w:rPr>
            </w:pPr>
            <w:r>
              <w:rPr>
                <w:sz w:val="22"/>
                <w:szCs w:val="22"/>
              </w:rPr>
              <w:t>Probenrückstau gutes Maß für Überlastung in Laboren</w:t>
            </w:r>
          </w:p>
          <w:p>
            <w:pPr>
              <w:pStyle w:val="Listenabsatz"/>
              <w:numPr>
                <w:ilvl w:val="1"/>
                <w:numId w:val="7"/>
              </w:numPr>
              <w:ind w:left="907" w:hanging="340"/>
              <w:rPr>
                <w:sz w:val="22"/>
                <w:szCs w:val="22"/>
              </w:rPr>
            </w:pPr>
            <w:proofErr w:type="spellStart"/>
            <w:r>
              <w:rPr>
                <w:sz w:val="22"/>
                <w:szCs w:val="22"/>
              </w:rPr>
              <w:t>Positivenquote</w:t>
            </w:r>
            <w:proofErr w:type="spellEnd"/>
            <w:r>
              <w:rPr>
                <w:sz w:val="22"/>
                <w:szCs w:val="22"/>
              </w:rPr>
              <w:t xml:space="preserve"> auf Laborebene: in Sommerwochen in vielen Laboren unterhalb 1,5 %, viele Labore sogar 0 %</w:t>
            </w:r>
          </w:p>
          <w:p>
            <w:pPr>
              <w:pStyle w:val="Listenabsatz"/>
              <w:numPr>
                <w:ilvl w:val="1"/>
                <w:numId w:val="7"/>
              </w:numPr>
              <w:ind w:left="907" w:hanging="340"/>
              <w:rPr>
                <w:sz w:val="22"/>
                <w:szCs w:val="22"/>
              </w:rPr>
            </w:pPr>
            <w:r>
              <w:rPr>
                <w:sz w:val="22"/>
                <w:szCs w:val="22"/>
              </w:rPr>
              <w:t xml:space="preserve">Berichterstattung: Daten als Exceldatei im </w:t>
            </w:r>
            <w:proofErr w:type="spellStart"/>
            <w:r>
              <w:rPr>
                <w:sz w:val="22"/>
                <w:szCs w:val="22"/>
              </w:rPr>
              <w:t>download</w:t>
            </w:r>
            <w:proofErr w:type="spellEnd"/>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ZIG1 (</w:t>
            </w:r>
            <w:proofErr w:type="spellStart"/>
            <w:r>
              <w:rPr>
                <w:sz w:val="22"/>
                <w:szCs w:val="22"/>
              </w:rPr>
              <w:t>Romo</w:t>
            </w:r>
            <w:proofErr w:type="spellEnd"/>
            <w:r>
              <w:rPr>
                <w:sz w:val="22"/>
                <w:szCs w:val="22"/>
              </w:rPr>
              <w:t xml:space="preserve"> Ventura)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lang w:val="en-US"/>
              </w:rPr>
            </w:pPr>
            <w:r>
              <w:rPr>
                <w:sz w:val="22"/>
                <w:szCs w:val="22"/>
                <w:lang w:val="en-US"/>
              </w:rPr>
              <w:t xml:space="preserve">FG 36 </w:t>
            </w:r>
          </w:p>
          <w:p>
            <w:pPr>
              <w:rPr>
                <w:sz w:val="22"/>
                <w:szCs w:val="22"/>
                <w:lang w:val="en-US"/>
              </w:rPr>
            </w:pPr>
            <w:r>
              <w:rPr>
                <w:sz w:val="22"/>
                <w:szCs w:val="22"/>
                <w:lang w:val="en-US"/>
              </w:rPr>
              <w:t>(Haas)</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roofErr w:type="spellStart"/>
            <w:r>
              <w:rPr>
                <w:sz w:val="22"/>
                <w:szCs w:val="22"/>
                <w:lang w:val="en-US"/>
              </w:rPr>
              <w:t>BZgA</w:t>
            </w:r>
            <w:proofErr w:type="spellEnd"/>
            <w:r>
              <w:rPr>
                <w:sz w:val="22"/>
                <w:szCs w:val="22"/>
                <w:lang w:val="en-US"/>
              </w:rPr>
              <w:t xml:space="preserve"> (</w:t>
            </w:r>
            <w:proofErr w:type="spellStart"/>
            <w:r>
              <w:rPr>
                <w:sz w:val="22"/>
                <w:szCs w:val="22"/>
                <w:lang w:val="en-US"/>
              </w:rPr>
              <w:t>Thaiss</w:t>
            </w:r>
            <w:proofErr w:type="spellEnd"/>
            <w:r>
              <w:rPr>
                <w:sz w:val="22"/>
                <w:szCs w:val="22"/>
                <w:lang w:val="en-US"/>
              </w:rPr>
              <w:t>)</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FG 36 (Tolksdorf)</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rPr>
            </w:pPr>
            <w:r>
              <w:rPr>
                <w:sz w:val="22"/>
                <w:szCs w:val="22"/>
              </w:rPr>
              <w:t>FG 37 (Eckmanns)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Leitung (Schaade)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 (Seifried)</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sz w:val="22"/>
                <w:szCs w:val="22"/>
              </w:rPr>
            </w:pPr>
            <w:proofErr w:type="spellStart"/>
            <w:r>
              <w:rPr>
                <w:sz w:val="22"/>
                <w:szCs w:val="22"/>
                <w:lang w:val="en-US"/>
              </w:rPr>
              <w:t>Nicht</w:t>
            </w:r>
            <w:proofErr w:type="spellEnd"/>
            <w:r>
              <w:rPr>
                <w:sz w:val="22"/>
                <w:szCs w:val="22"/>
                <w:lang w:val="en-US"/>
              </w:rPr>
              <w:t xml:space="preserve"> </w:t>
            </w:r>
            <w:proofErr w:type="spellStart"/>
            <w:r>
              <w:rPr>
                <w:sz w:val="22"/>
                <w:szCs w:val="22"/>
                <w:lang w:val="en-US"/>
              </w:rPr>
              <w:t>besprochen</w:t>
            </w:r>
            <w:proofErr w:type="spellEnd"/>
          </w:p>
          <w:p>
            <w:pPr>
              <w:pStyle w:val="Listenabsatz"/>
              <w:jc w:val="center"/>
              <w:rPr>
                <w:b/>
                <w:sz w:val="22"/>
                <w:szCs w:val="22"/>
              </w:rPr>
            </w:pPr>
          </w:p>
        </w:tc>
        <w:tc>
          <w:tcPr>
            <w:tcW w:w="1492" w:type="dxa"/>
          </w:tcPr>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(nur montags)</w:t>
            </w:r>
          </w:p>
          <w:p>
            <w:pPr>
              <w:pStyle w:val="Listenabsatz"/>
              <w:numPr>
                <w:ilvl w:val="0"/>
                <w:numId w:val="5"/>
              </w:numPr>
              <w:spacing w:line="276" w:lineRule="auto"/>
              <w:ind w:left="473"/>
              <w:rPr>
                <w:b/>
                <w:sz w:val="28"/>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ind w:left="453" w:hanging="340"/>
              <w:rPr>
                <w:sz w:val="22"/>
                <w:szCs w:val="22"/>
              </w:rPr>
            </w:pPr>
            <w:r>
              <w:rPr>
                <w:sz w:val="22"/>
                <w:szCs w:val="22"/>
              </w:rPr>
              <w:t>Anpassung FAQs: Visualisierungen zu Kontaktpersonen etc. angekommen, werden geprüft</w:t>
            </w:r>
          </w:p>
          <w:p>
            <w:pPr>
              <w:pStyle w:val="Listenabsatz"/>
              <w:numPr>
                <w:ilvl w:val="0"/>
                <w:numId w:val="5"/>
              </w:numPr>
              <w:ind w:left="453" w:hanging="340"/>
              <w:rPr>
                <w:sz w:val="22"/>
                <w:szCs w:val="22"/>
              </w:rPr>
            </w:pPr>
            <w:r>
              <w:rPr>
                <w:sz w:val="22"/>
                <w:szCs w:val="22"/>
              </w:rPr>
              <w:t>Zwei Artikel (Cleveland, Frankreich) Psychisch Erkrankte in Pandemie besonders gefährdet zu erkranken (6- bis 7-fach erhöhtes Risiko), diese Risikogruppen sollten weiter berücksichtigt werden</w:t>
            </w:r>
          </w:p>
          <w:p>
            <w:pPr>
              <w:rPr>
                <w:sz w:val="22"/>
                <w:szCs w:val="22"/>
              </w:rPr>
            </w:pPr>
          </w:p>
          <w:p>
            <w:pPr>
              <w:rPr>
                <w:b/>
                <w:sz w:val="22"/>
                <w:szCs w:val="22"/>
              </w:rPr>
            </w:pPr>
            <w:r>
              <w:rPr>
                <w:b/>
                <w:sz w:val="22"/>
                <w:szCs w:val="22"/>
              </w:rPr>
              <w:t>Presse</w:t>
            </w:r>
          </w:p>
          <w:p>
            <w:pPr>
              <w:pStyle w:val="Listenabsatz"/>
              <w:numPr>
                <w:ilvl w:val="0"/>
                <w:numId w:val="5"/>
              </w:numPr>
              <w:ind w:left="453" w:hanging="340"/>
              <w:rPr>
                <w:sz w:val="22"/>
                <w:szCs w:val="22"/>
              </w:rPr>
            </w:pPr>
            <w:r>
              <w:rPr>
                <w:sz w:val="22"/>
                <w:szCs w:val="22"/>
              </w:rPr>
              <w:t>Vorbereitung Pressebriefing, viele Dokumente zu DEA auf RKI Seite zu stellen</w:t>
            </w:r>
          </w:p>
          <w:p>
            <w:pPr>
              <w:pStyle w:val="Listenabsatz"/>
              <w:ind w:left="473"/>
              <w:rPr>
                <w:sz w:val="22"/>
                <w:szCs w:val="22"/>
              </w:rPr>
            </w:pPr>
          </w:p>
        </w:tc>
        <w:tc>
          <w:tcPr>
            <w:tcW w:w="1492" w:type="dxa"/>
          </w:tcPr>
          <w:p>
            <w:pPr>
              <w:rPr>
                <w:sz w:val="22"/>
                <w:szCs w:val="22"/>
              </w:rPr>
            </w:pPr>
          </w:p>
          <w:p>
            <w:pPr>
              <w:rPr>
                <w:sz w:val="22"/>
                <w:szCs w:val="22"/>
              </w:rPr>
            </w:pPr>
          </w:p>
          <w:p>
            <w:pPr>
              <w:rPr>
                <w:sz w:val="22"/>
                <w:szCs w:val="22"/>
              </w:rPr>
            </w:pPr>
            <w:r>
              <w:rPr>
                <w:sz w:val="22"/>
                <w:szCs w:val="22"/>
              </w:rPr>
              <w:t>BZgA (</w:t>
            </w:r>
            <w:proofErr w:type="spellStart"/>
            <w:r>
              <w:rPr>
                <w:sz w:val="22"/>
                <w:szCs w:val="22"/>
              </w:rPr>
              <w:t>Thaiss</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(Wenchel)</w:t>
            </w: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Neues aus dem BMG</w:t>
            </w:r>
          </w:p>
          <w:p>
            <w:pPr>
              <w:pStyle w:val="Listenabsatz"/>
              <w:numPr>
                <w:ilvl w:val="0"/>
                <w:numId w:val="5"/>
              </w:numPr>
              <w:ind w:left="453" w:hanging="340"/>
              <w:rPr>
                <w:b/>
                <w:sz w:val="22"/>
                <w:szCs w:val="22"/>
              </w:rPr>
            </w:pPr>
            <w:r>
              <w:rPr>
                <w:sz w:val="22"/>
                <w:szCs w:val="22"/>
              </w:rPr>
              <w:lastRenderedPageBreak/>
              <w:t>Nicht besprochen</w:t>
            </w:r>
          </w:p>
        </w:tc>
        <w:tc>
          <w:tcPr>
            <w:tcW w:w="1492" w:type="dxa"/>
          </w:tcPr>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rPr>
                <w:b/>
                <w:sz w:val="22"/>
              </w:rPr>
            </w:pPr>
            <w:r>
              <w:rPr>
                <w:b/>
                <w:sz w:val="22"/>
              </w:rPr>
              <w:t>Allgemein</w:t>
            </w:r>
          </w:p>
          <w:p>
            <w:pPr>
              <w:rPr>
                <w:sz w:val="22"/>
                <w:szCs w:val="22"/>
              </w:rPr>
            </w:pPr>
            <w:r>
              <w:rPr>
                <w:sz w:val="22"/>
                <w:szCs w:val="22"/>
              </w:rPr>
              <w:t>Risikobewertung aktualisieren, insbesondere hinsichtlich der Implikationen der aktuellen Lage für die Belastung des Gesundheitswesens.</w:t>
            </w:r>
          </w:p>
          <w:p>
            <w:pPr>
              <w:rPr>
                <w:sz w:val="22"/>
                <w:szCs w:val="22"/>
              </w:rPr>
            </w:pPr>
            <w:r>
              <w:rPr>
                <w:b/>
                <w:sz w:val="22"/>
                <w:szCs w:val="22"/>
              </w:rPr>
              <w:t xml:space="preserve">Aktualisierung Risikobewertung </w:t>
            </w:r>
            <w:r>
              <w:rPr>
                <w:sz w:val="22"/>
                <w:szCs w:val="22"/>
              </w:rPr>
              <w:t xml:space="preserve">(Dokument </w:t>
            </w:r>
            <w:hyperlink r:id="rId16" w:history="1">
              <w:r>
                <w:rPr>
                  <w:rStyle w:val="Hyperlink"/>
                  <w:sz w:val="22"/>
                  <w:szCs w:val="22"/>
                </w:rPr>
                <w:t>hier</w:t>
              </w:r>
            </w:hyperlink>
            <w:r>
              <w:rPr>
                <w:sz w:val="22"/>
                <w:szCs w:val="22"/>
              </w:rPr>
              <w:t xml:space="preserve">) </w:t>
            </w:r>
          </w:p>
          <w:p>
            <w:pPr>
              <w:pStyle w:val="Listenabsatz"/>
              <w:numPr>
                <w:ilvl w:val="0"/>
                <w:numId w:val="18"/>
              </w:numPr>
              <w:rPr>
                <w:sz w:val="22"/>
                <w:szCs w:val="22"/>
              </w:rPr>
            </w:pPr>
            <w:r>
              <w:rPr>
                <w:sz w:val="22"/>
                <w:szCs w:val="22"/>
              </w:rPr>
              <w:t>Allgemeinere Formulierungen verwendet, damit zeitunabhängig korrekt: „stark angestiegen“ anstelle von „mehr als verdoppelt“ (S. 1)</w:t>
            </w:r>
          </w:p>
          <w:p>
            <w:pPr>
              <w:pStyle w:val="Listenabsatz"/>
              <w:numPr>
                <w:ilvl w:val="0"/>
                <w:numId w:val="18"/>
              </w:numPr>
              <w:rPr>
                <w:sz w:val="22"/>
                <w:szCs w:val="22"/>
              </w:rPr>
            </w:pPr>
            <w:r>
              <w:rPr>
                <w:sz w:val="22"/>
                <w:szCs w:val="22"/>
              </w:rPr>
              <w:t>„kann sehr schnell weiter zunehmen“ (S. 2, Verschärfung)</w:t>
            </w:r>
          </w:p>
          <w:p>
            <w:pPr>
              <w:pStyle w:val="Listenabsatz"/>
              <w:numPr>
                <w:ilvl w:val="0"/>
                <w:numId w:val="18"/>
              </w:numPr>
              <w:rPr>
                <w:sz w:val="22"/>
                <w:szCs w:val="22"/>
              </w:rPr>
            </w:pPr>
            <w:r>
              <w:rPr>
                <w:sz w:val="22"/>
                <w:szCs w:val="22"/>
              </w:rPr>
              <w:t>Weitere Änderungen redaktioneller Natur</w:t>
            </w:r>
          </w:p>
          <w:p>
            <w:pPr>
              <w:pStyle w:val="Listenabsatz"/>
              <w:numPr>
                <w:ilvl w:val="0"/>
                <w:numId w:val="18"/>
              </w:numPr>
              <w:rPr>
                <w:sz w:val="22"/>
                <w:szCs w:val="22"/>
              </w:rPr>
            </w:pPr>
            <w:r>
              <w:rPr>
                <w:sz w:val="22"/>
                <w:szCs w:val="22"/>
              </w:rPr>
              <w:t>Änderungsvorschläge angenommen</w:t>
            </w:r>
          </w:p>
          <w:p>
            <w:pPr>
              <w:rPr>
                <w:i/>
                <w:sz w:val="22"/>
                <w:szCs w:val="22"/>
              </w:rPr>
            </w:pPr>
            <w:proofErr w:type="spellStart"/>
            <w:r>
              <w:rPr>
                <w:i/>
                <w:sz w:val="22"/>
                <w:szCs w:val="22"/>
              </w:rPr>
              <w:t>To</w:t>
            </w:r>
            <w:proofErr w:type="spellEnd"/>
            <w:r>
              <w:rPr>
                <w:i/>
                <w:sz w:val="22"/>
                <w:szCs w:val="22"/>
              </w:rPr>
              <w:t xml:space="preserve"> do: Bitte um Finalisierung und Weiterleitung an Webmaster </w:t>
            </w:r>
          </w:p>
          <w:p>
            <w:pPr>
              <w:pStyle w:val="Listenabsatz"/>
              <w:spacing w:line="276" w:lineRule="auto"/>
              <w:ind w:left="340"/>
              <w:rPr>
                <w:b/>
                <w:sz w:val="22"/>
              </w:rPr>
            </w:pPr>
          </w:p>
          <w:p>
            <w:pPr>
              <w:pStyle w:val="Listenabsatz"/>
              <w:numPr>
                <w:ilvl w:val="0"/>
                <w:numId w:val="6"/>
              </w:numPr>
              <w:spacing w:after="120" w:line="276" w:lineRule="auto"/>
              <w:rPr>
                <w:i/>
                <w:sz w:val="22"/>
                <w:szCs w:val="22"/>
              </w:rPr>
            </w:pPr>
            <w:r>
              <w:rPr>
                <w:b/>
                <w:sz w:val="22"/>
              </w:rPr>
              <w:t>RKI-intern</w:t>
            </w:r>
          </w:p>
          <w:p>
            <w:pPr>
              <w:pStyle w:val="Listenabsatz"/>
              <w:numPr>
                <w:ilvl w:val="0"/>
                <w:numId w:val="15"/>
              </w:numPr>
              <w:spacing w:after="120" w:line="276" w:lineRule="auto"/>
              <w:rPr>
                <w:sz w:val="22"/>
                <w:szCs w:val="22"/>
              </w:rPr>
            </w:pPr>
            <w:r>
              <w:rPr>
                <w:sz w:val="22"/>
                <w:szCs w:val="22"/>
              </w:rPr>
              <w:t>Nicht besprochen</w:t>
            </w:r>
          </w:p>
          <w:p>
            <w:pPr>
              <w:rPr>
                <w:i/>
                <w:sz w:val="22"/>
                <w:szCs w:val="22"/>
              </w:rPr>
            </w:pPr>
            <w:proofErr w:type="spellStart"/>
            <w:r>
              <w:rPr>
                <w:i/>
                <w:sz w:val="22"/>
                <w:szCs w:val="22"/>
              </w:rPr>
              <w:t>ToDo</w:t>
            </w:r>
            <w:proofErr w:type="spellEnd"/>
            <w:r>
              <w:rPr>
                <w:i/>
                <w:sz w:val="22"/>
                <w:szCs w:val="22"/>
              </w:rPr>
              <w:t>: Themenpunkt Strategiefragen für Freitag (Ute Rexroth)</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 36 (Haas)</w:t>
            </w:r>
          </w:p>
        </w:tc>
      </w:tr>
      <w:tr>
        <w:tc>
          <w:tcPr>
            <w:tcW w:w="684" w:type="dxa"/>
          </w:tcPr>
          <w:p>
            <w:pPr>
              <w:rPr>
                <w:b/>
              </w:rPr>
            </w:pPr>
            <w:r>
              <w:rPr>
                <w:b/>
              </w:rPr>
              <w:t>8</w:t>
            </w:r>
          </w:p>
        </w:tc>
        <w:tc>
          <w:tcPr>
            <w:tcW w:w="6795" w:type="dxa"/>
          </w:tcPr>
          <w:p>
            <w:pPr>
              <w:spacing w:line="276" w:lineRule="auto"/>
              <w:rPr>
                <w:b/>
                <w:sz w:val="28"/>
              </w:rPr>
            </w:pPr>
            <w:r>
              <w:rPr>
                <w:b/>
                <w:sz w:val="28"/>
              </w:rPr>
              <w:t>Dokumente</w:t>
            </w:r>
          </w:p>
          <w:p>
            <w:pPr>
              <w:pStyle w:val="Listenabsatz"/>
              <w:numPr>
                <w:ilvl w:val="0"/>
                <w:numId w:val="13"/>
              </w:numPr>
              <w:spacing w:line="276" w:lineRule="auto"/>
              <w:ind w:left="473"/>
              <w:rPr>
                <w:b/>
                <w:sz w:val="28"/>
              </w:rPr>
            </w:pPr>
            <w:r>
              <w:rPr>
                <w:sz w:val="22"/>
                <w:szCs w:val="22"/>
              </w:rPr>
              <w:t>Besucherkonzept, Projekt des Pflegebeauftragten</w:t>
            </w:r>
          </w:p>
          <w:p>
            <w:pPr>
              <w:pStyle w:val="Listenabsatz"/>
              <w:numPr>
                <w:ilvl w:val="0"/>
                <w:numId w:val="13"/>
              </w:numPr>
              <w:spacing w:line="276" w:lineRule="auto"/>
              <w:ind w:left="473"/>
              <w:rPr>
                <w:sz w:val="22"/>
                <w:szCs w:val="22"/>
              </w:rPr>
            </w:pPr>
            <w:r>
              <w:rPr>
                <w:sz w:val="22"/>
                <w:szCs w:val="22"/>
              </w:rPr>
              <w:t>Broschüre zum Konzept in Altersheimen –Sammlung von „</w:t>
            </w:r>
            <w:proofErr w:type="spellStart"/>
            <w:r>
              <w:rPr>
                <w:sz w:val="22"/>
                <w:szCs w:val="22"/>
              </w:rPr>
              <w:t>best</w:t>
            </w:r>
            <w:proofErr w:type="spellEnd"/>
            <w:r>
              <w:rPr>
                <w:sz w:val="22"/>
                <w:szCs w:val="22"/>
              </w:rPr>
              <w:t xml:space="preserve"> </w:t>
            </w:r>
            <w:proofErr w:type="spellStart"/>
            <w:r>
              <w:rPr>
                <w:sz w:val="22"/>
                <w:szCs w:val="22"/>
              </w:rPr>
              <w:t>practice</w:t>
            </w:r>
            <w:proofErr w:type="spellEnd"/>
            <w:r>
              <w:rPr>
                <w:sz w:val="22"/>
                <w:szCs w:val="22"/>
              </w:rPr>
              <w:t xml:space="preserve">“-Beispielen, RKI gibt Experten-Input </w:t>
            </w:r>
          </w:p>
          <w:p>
            <w:pPr>
              <w:spacing w:line="276" w:lineRule="auto"/>
              <w:rPr>
                <w:i/>
                <w:sz w:val="22"/>
                <w:szCs w:val="22"/>
              </w:rPr>
            </w:pPr>
            <w:commentRangeStart w:id="1"/>
            <w:commentRangeStart w:id="2"/>
            <w:proofErr w:type="spellStart"/>
            <w:r>
              <w:rPr>
                <w:i/>
                <w:sz w:val="22"/>
                <w:szCs w:val="22"/>
              </w:rPr>
              <w:t>To</w:t>
            </w:r>
            <w:proofErr w:type="spellEnd"/>
            <w:r>
              <w:rPr>
                <w:i/>
                <w:sz w:val="22"/>
                <w:szCs w:val="22"/>
              </w:rPr>
              <w:t xml:space="preserve"> Do: Zusammenarbeit von FG 14 und 37 zur Fertigstellung der Broschüre zu Anfang Dezember </w:t>
            </w:r>
            <w:commentRangeEnd w:id="1"/>
            <w:r>
              <w:rPr>
                <w:rStyle w:val="Kommentarzeichen"/>
                <w:rFonts w:ascii="Scala Sans OT" w:hAnsi="Scala Sans OT"/>
                <w:lang w:eastAsia="de-DE"/>
              </w:rPr>
              <w:commentReference w:id="1"/>
            </w:r>
            <w:commentRangeEnd w:id="2"/>
            <w:r>
              <w:rPr>
                <w:rStyle w:val="Kommentarzeichen"/>
                <w:rFonts w:ascii="Scala Sans OT" w:hAnsi="Scala Sans OT"/>
                <w:lang w:eastAsia="de-DE"/>
              </w:rPr>
              <w:commentReference w:id="2"/>
            </w:r>
          </w:p>
          <w:p>
            <w:pPr>
              <w:spacing w:line="276" w:lineRule="auto"/>
              <w:rPr>
                <w:i/>
                <w:sz w:val="22"/>
                <w:szCs w:val="22"/>
              </w:rPr>
            </w:pPr>
            <w:proofErr w:type="spellStart"/>
            <w:r>
              <w:rPr>
                <w:i/>
                <w:sz w:val="22"/>
                <w:szCs w:val="22"/>
              </w:rPr>
              <w:t>To</w:t>
            </w:r>
            <w:proofErr w:type="spellEnd"/>
            <w:r>
              <w:rPr>
                <w:i/>
                <w:sz w:val="22"/>
                <w:szCs w:val="22"/>
              </w:rPr>
              <w:t xml:space="preserve"> Do: Bitte um Klärung bisheriger Kommunikationsverläufe dazu zwischen AG Testen bzw. BMG und ggf. RKI</w:t>
            </w:r>
          </w:p>
          <w:p>
            <w:pPr>
              <w:spacing w:line="276" w:lineRule="auto"/>
              <w:rPr>
                <w:i/>
                <w:sz w:val="22"/>
                <w:szCs w:val="22"/>
              </w:rPr>
            </w:pPr>
          </w:p>
        </w:tc>
        <w:tc>
          <w:tcPr>
            <w:tcW w:w="1492" w:type="dxa"/>
          </w:tcPr>
          <w:p>
            <w:pPr>
              <w:rPr>
                <w:sz w:val="22"/>
                <w:szCs w:val="22"/>
              </w:rPr>
            </w:pPr>
          </w:p>
          <w:p>
            <w:pPr>
              <w:rPr>
                <w:sz w:val="22"/>
                <w:szCs w:val="22"/>
              </w:rPr>
            </w:pPr>
            <w:r>
              <w:rPr>
                <w:sz w:val="22"/>
                <w:szCs w:val="22"/>
              </w:rPr>
              <w:t>FG 37 (Eckmanns)</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sz w:val="22"/>
                <w:szCs w:val="22"/>
              </w:rPr>
            </w:pPr>
            <w:r>
              <w:rPr>
                <w:sz w:val="22"/>
                <w:szCs w:val="22"/>
              </w:rPr>
              <w:t>Nicht besprochen</w:t>
            </w:r>
          </w:p>
          <w:p>
            <w:pPr>
              <w:pStyle w:val="Listenabsatz"/>
              <w:ind w:left="453"/>
              <w:rPr>
                <w:b/>
                <w:sz w:val="22"/>
                <w:szCs w:val="22"/>
              </w:rPr>
            </w:pPr>
          </w:p>
        </w:tc>
        <w:tc>
          <w:tcPr>
            <w:tcW w:w="1492" w:type="dxa"/>
          </w:tcPr>
          <w:p>
            <w:pPr>
              <w:rPr>
                <w:sz w:val="22"/>
                <w:szCs w:val="22"/>
              </w:rPr>
            </w:pPr>
          </w:p>
          <w:p>
            <w:pPr>
              <w:rPr>
                <w:sz w:val="22"/>
                <w:szCs w:val="22"/>
              </w:rPr>
            </w:pPr>
            <w:r>
              <w:rPr>
                <w:sz w:val="22"/>
                <w:szCs w:val="22"/>
              </w:rPr>
              <w:t>FG33</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Diese Woche bislang 55 Proben, Verdopplung der Probenzahl im Vergleich zu letzter Woche</w:t>
            </w:r>
          </w:p>
          <w:p>
            <w:pPr>
              <w:pStyle w:val="Listenabsatz"/>
              <w:numPr>
                <w:ilvl w:val="0"/>
                <w:numId w:val="5"/>
              </w:numPr>
              <w:ind w:left="453" w:hanging="340"/>
              <w:rPr>
                <w:sz w:val="22"/>
                <w:szCs w:val="22"/>
              </w:rPr>
            </w:pPr>
            <w:proofErr w:type="spellStart"/>
            <w:r>
              <w:rPr>
                <w:sz w:val="22"/>
              </w:rPr>
              <w:t>Rhinoviren</w:t>
            </w:r>
            <w:proofErr w:type="spellEnd"/>
            <w:r>
              <w:rPr>
                <w:sz w:val="22"/>
              </w:rPr>
              <w:t>: ca. 40 bis 50 % der Proben positiv</w:t>
            </w:r>
          </w:p>
          <w:p>
            <w:pPr>
              <w:pStyle w:val="Listenabsatz"/>
              <w:numPr>
                <w:ilvl w:val="0"/>
                <w:numId w:val="5"/>
              </w:numPr>
              <w:ind w:left="453" w:hanging="340"/>
              <w:rPr>
                <w:sz w:val="22"/>
                <w:szCs w:val="22"/>
              </w:rPr>
            </w:pPr>
            <w:r>
              <w:rPr>
                <w:sz w:val="22"/>
              </w:rPr>
              <w:t xml:space="preserve">Teillockdown vermutlich wenig Einfluss, da Schulen und Kitas weiterhin geöffnet </w:t>
            </w:r>
          </w:p>
          <w:p>
            <w:pPr>
              <w:pStyle w:val="Listenabsatz"/>
              <w:numPr>
                <w:ilvl w:val="0"/>
                <w:numId w:val="5"/>
              </w:numPr>
              <w:ind w:left="453" w:hanging="340"/>
              <w:rPr>
                <w:sz w:val="22"/>
                <w:szCs w:val="22"/>
              </w:rPr>
            </w:pPr>
            <w:r>
              <w:rPr>
                <w:sz w:val="22"/>
              </w:rPr>
              <w:t xml:space="preserve">Bei jedem Durchgang SARS-CoV-2 in bis zu 3 % der Fälle nachweisbar </w:t>
            </w:r>
          </w:p>
          <w:p>
            <w:pPr>
              <w:pStyle w:val="Listenabsatz"/>
              <w:numPr>
                <w:ilvl w:val="0"/>
                <w:numId w:val="5"/>
              </w:numPr>
              <w:ind w:left="453" w:hanging="340"/>
              <w:rPr>
                <w:sz w:val="22"/>
                <w:szCs w:val="22"/>
              </w:rPr>
            </w:pPr>
            <w:r>
              <w:rPr>
                <w:sz w:val="22"/>
              </w:rPr>
              <w:t xml:space="preserve">Vorige Woche ein PIV3-Nachweis </w:t>
            </w:r>
          </w:p>
          <w:p>
            <w:pPr>
              <w:pStyle w:val="Listenabsatz"/>
              <w:numPr>
                <w:ilvl w:val="0"/>
                <w:numId w:val="5"/>
              </w:numPr>
              <w:ind w:left="453" w:hanging="340"/>
              <w:rPr>
                <w:sz w:val="22"/>
                <w:szCs w:val="22"/>
              </w:rPr>
            </w:pPr>
            <w:r>
              <w:rPr>
                <w:sz w:val="22"/>
              </w:rPr>
              <w:t>Bislang keine Influenza-Nachweise</w:t>
            </w:r>
          </w:p>
          <w:p>
            <w:pPr>
              <w:pStyle w:val="Listenabsatz"/>
              <w:numPr>
                <w:ilvl w:val="0"/>
                <w:numId w:val="5"/>
              </w:numPr>
              <w:ind w:left="453" w:hanging="340"/>
              <w:rPr>
                <w:sz w:val="22"/>
              </w:rPr>
            </w:pPr>
            <w:r>
              <w:rPr>
                <w:sz w:val="22"/>
              </w:rPr>
              <w:t xml:space="preserve">Wirkung des </w:t>
            </w:r>
            <w:proofErr w:type="spellStart"/>
            <w:r>
              <w:rPr>
                <w:sz w:val="22"/>
              </w:rPr>
              <w:t>Teillockdowns</w:t>
            </w:r>
            <w:proofErr w:type="spellEnd"/>
            <w:r>
              <w:rPr>
                <w:sz w:val="22"/>
              </w:rPr>
              <w:t xml:space="preserve"> abzuwarten </w:t>
            </w:r>
          </w:p>
          <w:p>
            <w:pPr>
              <w:pStyle w:val="Listenabsatz"/>
              <w:ind w:left="453"/>
              <w:rPr>
                <w:sz w:val="22"/>
              </w:rPr>
            </w:pPr>
          </w:p>
          <w:p>
            <w:pPr>
              <w:rPr>
                <w:i/>
                <w:sz w:val="22"/>
              </w:rPr>
            </w:pPr>
            <w:commentRangeStart w:id="3"/>
            <w:proofErr w:type="spellStart"/>
            <w:r>
              <w:rPr>
                <w:i/>
                <w:sz w:val="22"/>
              </w:rPr>
              <w:t>To</w:t>
            </w:r>
            <w:proofErr w:type="spellEnd"/>
            <w:r>
              <w:rPr>
                <w:i/>
                <w:sz w:val="22"/>
              </w:rPr>
              <w:t xml:space="preserve"> Do: Bitte an das Labor um Einschätzung der Publikation in Science zu protektiven AK bei Kindern und Jugendlichen vor der Pandemie im Zusammenhang mit Nicht-</w:t>
            </w:r>
            <w:proofErr w:type="spellStart"/>
            <w:r>
              <w:rPr>
                <w:i/>
                <w:sz w:val="22"/>
              </w:rPr>
              <w:t>Covid</w:t>
            </w:r>
            <w:proofErr w:type="spellEnd"/>
            <w:r>
              <w:rPr>
                <w:i/>
                <w:sz w:val="22"/>
              </w:rPr>
              <w:t xml:space="preserve">-Coronaviren und Vorstellung der </w:t>
            </w:r>
            <w:proofErr w:type="spellStart"/>
            <w:r>
              <w:rPr>
                <w:i/>
                <w:sz w:val="22"/>
              </w:rPr>
              <w:t>findings</w:t>
            </w:r>
            <w:commentRangeEnd w:id="3"/>
            <w:proofErr w:type="spellEnd"/>
            <w:r>
              <w:rPr>
                <w:rStyle w:val="Kommentarzeichen"/>
                <w:rFonts w:ascii="Scala Sans OT" w:hAnsi="Scala Sans OT"/>
                <w:lang w:eastAsia="de-DE"/>
              </w:rPr>
              <w:commentReference w:id="3"/>
            </w:r>
          </w:p>
          <w:p>
            <w:pPr>
              <w:pStyle w:val="Listenabsatz"/>
              <w:ind w:left="453"/>
              <w:rPr>
                <w:sz w:val="22"/>
              </w:rPr>
            </w:pPr>
          </w:p>
          <w:p>
            <w:pPr>
              <w:rPr>
                <w:b/>
                <w:sz w:val="22"/>
              </w:rPr>
            </w:pPr>
            <w:r>
              <w:rPr>
                <w:b/>
                <w:sz w:val="22"/>
              </w:rPr>
              <w:lastRenderedPageBreak/>
              <w:t>Forschungsschwerpunkt Sequenzierung/BI-Pipeline/ Vorstellung neues Online Tool</w:t>
            </w:r>
          </w:p>
          <w:p>
            <w:pPr>
              <w:rPr>
                <w:b/>
                <w:sz w:val="22"/>
              </w:rPr>
            </w:pPr>
          </w:p>
          <w:p>
            <w:pPr>
              <w:rPr>
                <w:sz w:val="22"/>
                <w:lang w:val="en-US"/>
              </w:rPr>
            </w:pPr>
            <w:r>
              <w:rPr>
                <w:sz w:val="22"/>
                <w:lang w:val="en-US"/>
              </w:rPr>
              <w:t xml:space="preserve">Tool1 – </w:t>
            </w:r>
            <w:proofErr w:type="spellStart"/>
            <w:r>
              <w:rPr>
                <w:sz w:val="22"/>
                <w:lang w:val="en-US"/>
              </w:rPr>
              <w:t>CovPipe</w:t>
            </w:r>
            <w:proofErr w:type="spellEnd"/>
            <w:r>
              <w:rPr>
                <w:sz w:val="22"/>
                <w:lang w:val="en-US"/>
              </w:rPr>
              <w:t>: SARS-COV-2 Genome Reconstruction Pipeline</w:t>
            </w:r>
          </w:p>
          <w:p>
            <w:pPr>
              <w:pStyle w:val="Listenabsatz"/>
              <w:numPr>
                <w:ilvl w:val="0"/>
                <w:numId w:val="5"/>
              </w:numPr>
              <w:ind w:left="453" w:hanging="340"/>
              <w:rPr>
                <w:sz w:val="22"/>
              </w:rPr>
            </w:pPr>
            <w:r>
              <w:rPr>
                <w:sz w:val="22"/>
              </w:rPr>
              <w:t xml:space="preserve">Ressourcen-schonend, reproduzierbar, transferierbar, automatisiert und zeiteffizient (48 Proben – ca. 5.5 min) </w:t>
            </w:r>
          </w:p>
          <w:p>
            <w:pPr>
              <w:pStyle w:val="Listenabsatz"/>
              <w:numPr>
                <w:ilvl w:val="0"/>
                <w:numId w:val="5"/>
              </w:numPr>
              <w:ind w:left="453" w:hanging="340"/>
              <w:rPr>
                <w:sz w:val="22"/>
                <w:lang w:val="en-US"/>
              </w:rPr>
            </w:pPr>
            <w:r>
              <w:rPr>
                <w:sz w:val="22"/>
                <w:lang w:val="en-US"/>
              </w:rPr>
              <w:t xml:space="preserve">Human read exclusion </w:t>
            </w:r>
          </w:p>
          <w:p>
            <w:pPr>
              <w:pStyle w:val="Listenabsatz"/>
              <w:numPr>
                <w:ilvl w:val="0"/>
                <w:numId w:val="5"/>
              </w:numPr>
              <w:ind w:left="453" w:hanging="340"/>
              <w:rPr>
                <w:sz w:val="22"/>
              </w:rPr>
            </w:pPr>
            <w:proofErr w:type="spellStart"/>
            <w:r>
              <w:rPr>
                <w:sz w:val="22"/>
              </w:rPr>
              <w:t>Automated</w:t>
            </w:r>
            <w:proofErr w:type="spellEnd"/>
            <w:r>
              <w:rPr>
                <w:sz w:val="22"/>
              </w:rPr>
              <w:t xml:space="preserve"> negative </w:t>
            </w:r>
            <w:proofErr w:type="spellStart"/>
            <w:r>
              <w:rPr>
                <w:sz w:val="22"/>
              </w:rPr>
              <w:t>control</w:t>
            </w:r>
            <w:proofErr w:type="spellEnd"/>
            <w:r>
              <w:rPr>
                <w:sz w:val="22"/>
              </w:rPr>
              <w:t xml:space="preserve"> </w:t>
            </w:r>
            <w:proofErr w:type="spellStart"/>
            <w:r>
              <w:rPr>
                <w:sz w:val="22"/>
              </w:rPr>
              <w:t>handling</w:t>
            </w:r>
            <w:proofErr w:type="spellEnd"/>
            <w:r>
              <w:rPr>
                <w:sz w:val="22"/>
              </w:rPr>
              <w:t>: automatisches Warn-</w:t>
            </w:r>
            <w:proofErr w:type="gramStart"/>
            <w:r>
              <w:rPr>
                <w:sz w:val="22"/>
              </w:rPr>
              <w:t>system</w:t>
            </w:r>
            <w:proofErr w:type="gramEnd"/>
            <w:r>
              <w:rPr>
                <w:sz w:val="22"/>
              </w:rPr>
              <w:t xml:space="preserve"> wenn </w:t>
            </w:r>
            <w:proofErr w:type="spellStart"/>
            <w:r>
              <w:rPr>
                <w:sz w:val="22"/>
              </w:rPr>
              <w:t>neg</w:t>
            </w:r>
            <w:proofErr w:type="spellEnd"/>
            <w:r>
              <w:rPr>
                <w:sz w:val="22"/>
              </w:rPr>
              <w:t xml:space="preserve"> </w:t>
            </w:r>
            <w:proofErr w:type="spellStart"/>
            <w:r>
              <w:rPr>
                <w:sz w:val="22"/>
              </w:rPr>
              <w:t>ctrl</w:t>
            </w:r>
            <w:proofErr w:type="spellEnd"/>
            <w:r>
              <w:rPr>
                <w:sz w:val="22"/>
              </w:rPr>
              <w:t xml:space="preserve"> virale </w:t>
            </w:r>
            <w:proofErr w:type="spellStart"/>
            <w:r>
              <w:rPr>
                <w:sz w:val="22"/>
              </w:rPr>
              <w:t>reads</w:t>
            </w:r>
            <w:proofErr w:type="spellEnd"/>
            <w:r>
              <w:rPr>
                <w:sz w:val="22"/>
              </w:rPr>
              <w:t xml:space="preserve"> abdecken</w:t>
            </w:r>
          </w:p>
          <w:p>
            <w:pPr>
              <w:pStyle w:val="Listenabsatz"/>
              <w:numPr>
                <w:ilvl w:val="0"/>
                <w:numId w:val="5"/>
              </w:numPr>
              <w:ind w:left="453" w:hanging="340"/>
              <w:rPr>
                <w:sz w:val="22"/>
                <w:lang w:val="en-US"/>
              </w:rPr>
            </w:pPr>
            <w:r>
              <w:rPr>
                <w:sz w:val="22"/>
                <w:lang w:val="en-US"/>
              </w:rPr>
              <w:t>Species filter statistics, Insert size estimation, Coverage distribution – html-</w:t>
            </w:r>
            <w:proofErr w:type="spellStart"/>
            <w:r>
              <w:rPr>
                <w:sz w:val="22"/>
                <w:lang w:val="en-US"/>
              </w:rPr>
              <w:t>basierter</w:t>
            </w:r>
            <w:proofErr w:type="spellEnd"/>
            <w:r>
              <w:rPr>
                <w:sz w:val="22"/>
                <w:lang w:val="en-US"/>
              </w:rPr>
              <w:t xml:space="preserve"> report</w:t>
            </w:r>
          </w:p>
          <w:p>
            <w:pPr>
              <w:pStyle w:val="Listenabsatz"/>
              <w:numPr>
                <w:ilvl w:val="0"/>
                <w:numId w:val="5"/>
              </w:numPr>
              <w:ind w:left="453" w:hanging="340"/>
              <w:rPr>
                <w:sz w:val="22"/>
              </w:rPr>
            </w:pPr>
            <w:r>
              <w:rPr>
                <w:sz w:val="22"/>
              </w:rPr>
              <w:t>Pipeline läuft bereits, Coronavirus-Proben können gern über MF1 analysiert werden</w:t>
            </w:r>
          </w:p>
          <w:p>
            <w:pPr>
              <w:pStyle w:val="Listenabsatz"/>
              <w:ind w:left="453"/>
              <w:rPr>
                <w:sz w:val="22"/>
              </w:rPr>
            </w:pPr>
          </w:p>
          <w:p>
            <w:pPr>
              <w:rPr>
                <w:sz w:val="22"/>
                <w:lang w:val="en-US"/>
              </w:rPr>
            </w:pPr>
            <w:r>
              <w:rPr>
                <w:sz w:val="22"/>
                <w:lang w:val="en-US"/>
              </w:rPr>
              <w:t>Tool2 – SARS-CoV-2 Spike Protein Analysis</w:t>
            </w:r>
          </w:p>
          <w:p>
            <w:pPr>
              <w:pStyle w:val="Listenabsatz"/>
              <w:numPr>
                <w:ilvl w:val="0"/>
                <w:numId w:val="5"/>
              </w:numPr>
              <w:ind w:left="453" w:hanging="340"/>
              <w:rPr>
                <w:sz w:val="22"/>
              </w:rPr>
            </w:pPr>
            <w:r>
              <w:rPr>
                <w:sz w:val="22"/>
              </w:rPr>
              <w:t>Kollaboration: HPI (</w:t>
            </w:r>
            <w:proofErr w:type="gramStart"/>
            <w:r>
              <w:rPr>
                <w:sz w:val="22"/>
              </w:rPr>
              <w:t>Hasso Plattner Institut</w:t>
            </w:r>
            <w:proofErr w:type="gramEnd"/>
            <w:r>
              <w:rPr>
                <w:sz w:val="22"/>
              </w:rPr>
              <w:t xml:space="preserve">) - Bernhard Renard, </w:t>
            </w:r>
            <w:proofErr w:type="spellStart"/>
            <w:r>
              <w:rPr>
                <w:sz w:val="22"/>
              </w:rPr>
              <w:t>de.NBI</w:t>
            </w:r>
            <w:proofErr w:type="spellEnd"/>
            <w:r>
              <w:rPr>
                <w:sz w:val="22"/>
              </w:rPr>
              <w:t xml:space="preserve"> (</w:t>
            </w:r>
            <w:proofErr w:type="spellStart"/>
            <w:r>
              <w:rPr>
                <w:sz w:val="22"/>
              </w:rPr>
              <w:t>Serverkapizität</w:t>
            </w:r>
            <w:proofErr w:type="spellEnd"/>
            <w:r>
              <w:rPr>
                <w:sz w:val="22"/>
              </w:rPr>
              <w:t>)</w:t>
            </w:r>
          </w:p>
          <w:p>
            <w:pPr>
              <w:pStyle w:val="Listenabsatz"/>
              <w:numPr>
                <w:ilvl w:val="0"/>
                <w:numId w:val="5"/>
              </w:numPr>
              <w:ind w:left="453" w:hanging="340"/>
              <w:rPr>
                <w:sz w:val="22"/>
              </w:rPr>
            </w:pPr>
            <w:r>
              <w:rPr>
                <w:sz w:val="22"/>
              </w:rPr>
              <w:t>Im Frühjahr mit Entwicklung begonnen, Release diese Woche</w:t>
            </w:r>
          </w:p>
          <w:p>
            <w:pPr>
              <w:pStyle w:val="Listenabsatz"/>
              <w:numPr>
                <w:ilvl w:val="0"/>
                <w:numId w:val="5"/>
              </w:numPr>
              <w:ind w:left="453" w:hanging="340"/>
              <w:rPr>
                <w:sz w:val="22"/>
              </w:rPr>
            </w:pPr>
            <w:r>
              <w:rPr>
                <w:sz w:val="22"/>
              </w:rPr>
              <w:t xml:space="preserve">Analyse verfügbarer Spike Protein Daten hinsichtlich Variabilität </w:t>
            </w:r>
          </w:p>
          <w:p>
            <w:pPr>
              <w:pStyle w:val="Listenabsatz"/>
              <w:numPr>
                <w:ilvl w:val="0"/>
                <w:numId w:val="5"/>
              </w:numPr>
              <w:ind w:left="453" w:hanging="340"/>
              <w:rPr>
                <w:sz w:val="22"/>
              </w:rPr>
            </w:pPr>
            <w:r>
              <w:rPr>
                <w:sz w:val="22"/>
              </w:rPr>
              <w:t xml:space="preserve">Öffentlicher Webservice (unterstützt vom </w:t>
            </w:r>
            <w:proofErr w:type="spellStart"/>
            <w:r>
              <w:rPr>
                <w:sz w:val="22"/>
              </w:rPr>
              <w:t>de.NBI</w:t>
            </w:r>
            <w:proofErr w:type="spellEnd"/>
            <w:r>
              <w:rPr>
                <w:sz w:val="22"/>
              </w:rPr>
              <w:t>)</w:t>
            </w:r>
          </w:p>
          <w:p>
            <w:pPr>
              <w:pStyle w:val="Listenabsatz"/>
              <w:numPr>
                <w:ilvl w:val="0"/>
                <w:numId w:val="5"/>
              </w:numPr>
              <w:ind w:left="453" w:hanging="340"/>
              <w:rPr>
                <w:sz w:val="22"/>
              </w:rPr>
            </w:pPr>
            <w:r>
              <w:rPr>
                <w:sz w:val="22"/>
              </w:rPr>
              <w:t xml:space="preserve">Daten zukünftig über </w:t>
            </w:r>
            <w:proofErr w:type="spellStart"/>
            <w:r>
              <w:rPr>
                <w:sz w:val="22"/>
              </w:rPr>
              <w:t>CovRadar</w:t>
            </w:r>
            <w:proofErr w:type="spellEnd"/>
            <w:r>
              <w:rPr>
                <w:sz w:val="22"/>
              </w:rPr>
              <w:t xml:space="preserve"> Domain abrufbar</w:t>
            </w:r>
          </w:p>
          <w:p>
            <w:pPr>
              <w:pStyle w:val="Listenabsatz"/>
              <w:numPr>
                <w:ilvl w:val="0"/>
                <w:numId w:val="5"/>
              </w:numPr>
              <w:ind w:left="453" w:hanging="340"/>
              <w:rPr>
                <w:sz w:val="22"/>
              </w:rPr>
            </w:pPr>
            <w:r>
              <w:rPr>
                <w:sz w:val="22"/>
              </w:rPr>
              <w:t xml:space="preserve">Nutzung öffentlich verfügbarer Daten (bspw. </w:t>
            </w:r>
            <w:proofErr w:type="spellStart"/>
            <w:r>
              <w:rPr>
                <w:sz w:val="22"/>
              </w:rPr>
              <w:t>embl</w:t>
            </w:r>
            <w:proofErr w:type="spellEnd"/>
            <w:r>
              <w:rPr>
                <w:sz w:val="22"/>
              </w:rPr>
              <w:t xml:space="preserve">) sowie </w:t>
            </w:r>
            <w:proofErr w:type="spellStart"/>
            <w:r>
              <w:rPr>
                <w:sz w:val="22"/>
              </w:rPr>
              <w:t>GisAID</w:t>
            </w:r>
            <w:proofErr w:type="spellEnd"/>
            <w:r>
              <w:rPr>
                <w:sz w:val="22"/>
              </w:rPr>
              <w:t>-Daten (intern zugänglich, passwortgeschützt)</w:t>
            </w:r>
          </w:p>
          <w:p>
            <w:pPr>
              <w:pStyle w:val="Listenabsatz"/>
              <w:numPr>
                <w:ilvl w:val="0"/>
                <w:numId w:val="5"/>
              </w:numPr>
              <w:ind w:left="453" w:hanging="340"/>
              <w:rPr>
                <w:sz w:val="22"/>
              </w:rPr>
            </w:pPr>
            <w:r>
              <w:rPr>
                <w:sz w:val="22"/>
              </w:rPr>
              <w:t xml:space="preserve">Derzeit 19.000 Spike Protein Sequenzen, aligniert </w:t>
            </w:r>
            <w:r>
              <w:rPr>
                <w:sz w:val="22"/>
              </w:rPr>
              <w:sym w:font="Wingdings" w:char="F0E0"/>
            </w:r>
            <w:r>
              <w:rPr>
                <w:sz w:val="22"/>
              </w:rPr>
              <w:t xml:space="preserve"> ca. 16.500 Duplikate</w:t>
            </w:r>
          </w:p>
          <w:p>
            <w:pPr>
              <w:pStyle w:val="Listenabsatz"/>
              <w:numPr>
                <w:ilvl w:val="0"/>
                <w:numId w:val="5"/>
              </w:numPr>
              <w:ind w:left="453" w:hanging="340"/>
              <w:rPr>
                <w:sz w:val="22"/>
              </w:rPr>
            </w:pPr>
            <w:r>
              <w:rPr>
                <w:sz w:val="22"/>
              </w:rPr>
              <w:t>Nach Land oder Zeitpunkt filterbar</w:t>
            </w:r>
          </w:p>
          <w:p>
            <w:pPr>
              <w:pStyle w:val="Listenabsatz"/>
              <w:numPr>
                <w:ilvl w:val="0"/>
                <w:numId w:val="5"/>
              </w:numPr>
              <w:ind w:left="453" w:hanging="340"/>
              <w:rPr>
                <w:sz w:val="22"/>
              </w:rPr>
            </w:pPr>
            <w:r>
              <w:rPr>
                <w:sz w:val="22"/>
              </w:rPr>
              <w:t xml:space="preserve">Farbliche Kennzeichnung zeigt Variabilität  </w:t>
            </w:r>
          </w:p>
          <w:p>
            <w:pPr>
              <w:pStyle w:val="Listenabsatz"/>
              <w:numPr>
                <w:ilvl w:val="0"/>
                <w:numId w:val="5"/>
              </w:numPr>
              <w:ind w:left="453" w:hanging="340"/>
              <w:rPr>
                <w:sz w:val="22"/>
              </w:rPr>
            </w:pPr>
            <w:r>
              <w:rPr>
                <w:sz w:val="22"/>
              </w:rPr>
              <w:t xml:space="preserve">Insertionen in multiplen </w:t>
            </w:r>
            <w:proofErr w:type="spellStart"/>
            <w:r>
              <w:rPr>
                <w:sz w:val="22"/>
              </w:rPr>
              <w:t>alignment</w:t>
            </w:r>
            <w:proofErr w:type="spellEnd"/>
            <w:r>
              <w:rPr>
                <w:sz w:val="22"/>
              </w:rPr>
              <w:t xml:space="preserve"> sichtbar, Anzahl der einzelnen, von der Mehrheit der Virussequenzen abweichenden bzw. variablen Virussequenzen darstellbar</w:t>
            </w:r>
          </w:p>
          <w:p>
            <w:pPr>
              <w:pStyle w:val="Listenabsatz"/>
              <w:numPr>
                <w:ilvl w:val="0"/>
                <w:numId w:val="5"/>
              </w:numPr>
              <w:ind w:left="453" w:hanging="340"/>
              <w:rPr>
                <w:sz w:val="22"/>
              </w:rPr>
            </w:pPr>
            <w:r>
              <w:rPr>
                <w:sz w:val="22"/>
              </w:rPr>
              <w:t>Zeigt Gesamtvariabilität oder alle Variationen im Vergleich zum „</w:t>
            </w:r>
            <w:proofErr w:type="spellStart"/>
            <w:r>
              <w:rPr>
                <w:sz w:val="22"/>
              </w:rPr>
              <w:t>first</w:t>
            </w:r>
            <w:proofErr w:type="spellEnd"/>
            <w:r>
              <w:rPr>
                <w:sz w:val="22"/>
              </w:rPr>
              <w:t xml:space="preserve"> </w:t>
            </w:r>
            <w:proofErr w:type="spellStart"/>
            <w:r>
              <w:rPr>
                <w:sz w:val="22"/>
              </w:rPr>
              <w:t>case</w:t>
            </w:r>
            <w:proofErr w:type="spellEnd"/>
            <w:r>
              <w:rPr>
                <w:sz w:val="22"/>
              </w:rPr>
              <w:t>“</w:t>
            </w:r>
          </w:p>
          <w:p>
            <w:pPr>
              <w:pStyle w:val="Listenabsatz"/>
              <w:numPr>
                <w:ilvl w:val="0"/>
                <w:numId w:val="5"/>
              </w:numPr>
              <w:ind w:left="453" w:hanging="340"/>
              <w:rPr>
                <w:sz w:val="22"/>
              </w:rPr>
            </w:pPr>
            <w:r>
              <w:rPr>
                <w:sz w:val="22"/>
              </w:rPr>
              <w:t>Workflow: Berechnung 1x die Woche, Suchfunktion als nächstes geplant</w:t>
            </w:r>
          </w:p>
          <w:p>
            <w:pPr>
              <w:ind w:left="113"/>
              <w:rPr>
                <w:sz w:val="22"/>
              </w:rPr>
            </w:pPr>
          </w:p>
          <w:p>
            <w:pPr>
              <w:rPr>
                <w:sz w:val="22"/>
              </w:rPr>
            </w:pPr>
          </w:p>
          <w:p>
            <w:pPr>
              <w:pStyle w:val="Listenabsatz"/>
              <w:ind w:left="453"/>
              <w:rPr>
                <w:sz w:val="22"/>
              </w:rPr>
            </w:pPr>
          </w:p>
        </w:tc>
        <w:tc>
          <w:tcPr>
            <w:tcW w:w="1492" w:type="dxa"/>
          </w:tcPr>
          <w:p>
            <w:pPr>
              <w:rPr>
                <w:sz w:val="22"/>
                <w:szCs w:val="22"/>
              </w:rPr>
            </w:pPr>
            <w:r>
              <w:rPr>
                <w:sz w:val="22"/>
                <w:szCs w:val="22"/>
              </w:rPr>
              <w:lastRenderedPageBreak/>
              <w:t>FG17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 (Haas)</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MF1 (Fuchs)</w:t>
            </w:r>
          </w:p>
          <w:p>
            <w:pPr>
              <w:rPr>
                <w:sz w:val="22"/>
                <w:szCs w:val="22"/>
              </w:rPr>
            </w:pPr>
          </w:p>
        </w:tc>
      </w:tr>
      <w:tr>
        <w:tc>
          <w:tcPr>
            <w:tcW w:w="684" w:type="dxa"/>
          </w:tcPr>
          <w:p>
            <w:pPr>
              <w:rPr>
                <w:b/>
              </w:rPr>
            </w:pPr>
            <w:r>
              <w:rPr>
                <w:b/>
              </w:rPr>
              <w:lastRenderedPageBreak/>
              <w:t>11</w:t>
            </w:r>
          </w:p>
        </w:tc>
        <w:tc>
          <w:tcPr>
            <w:tcW w:w="6795" w:type="dxa"/>
          </w:tcPr>
          <w:p>
            <w:pPr>
              <w:spacing w:line="276" w:lineRule="auto"/>
              <w:rPr>
                <w:b/>
                <w:sz w:val="28"/>
              </w:rPr>
            </w:pPr>
            <w:r>
              <w:rPr>
                <w:b/>
                <w:sz w:val="28"/>
              </w:rPr>
              <w:t>Klinisches Management/Entlassungsmanagement</w:t>
            </w:r>
          </w:p>
          <w:p>
            <w:pPr>
              <w:rPr>
                <w:sz w:val="22"/>
                <w:szCs w:val="22"/>
              </w:rPr>
            </w:pPr>
            <w:r>
              <w:rPr>
                <w:sz w:val="22"/>
              </w:rPr>
              <w:t>DIVI Intensivregister</w:t>
            </w:r>
          </w:p>
          <w:p>
            <w:pPr>
              <w:pStyle w:val="Listenabsatz"/>
              <w:numPr>
                <w:ilvl w:val="0"/>
                <w:numId w:val="21"/>
              </w:numPr>
              <w:rPr>
                <w:sz w:val="22"/>
                <w:szCs w:val="22"/>
              </w:rPr>
            </w:pPr>
            <w:r>
              <w:rPr>
                <w:sz w:val="22"/>
                <w:szCs w:val="22"/>
              </w:rPr>
              <w:t>Darstellung kumulativer Anzahl an COVID-19-Fällen nach Meldezeitpunkt inkl. Neuzugänge und Abgänge:</w:t>
            </w:r>
          </w:p>
          <w:p>
            <w:pPr>
              <w:pStyle w:val="Listenabsatz"/>
              <w:numPr>
                <w:ilvl w:val="1"/>
                <w:numId w:val="21"/>
              </w:numPr>
              <w:rPr>
                <w:sz w:val="22"/>
                <w:szCs w:val="22"/>
              </w:rPr>
            </w:pPr>
            <w:r>
              <w:rPr>
                <w:sz w:val="22"/>
                <w:szCs w:val="22"/>
              </w:rPr>
              <w:t>Absolute Anzahl der Fälle zum 10.11.20202 mit ca. 3.000 deutlich über Stand April mit ca. 2.800</w:t>
            </w:r>
          </w:p>
          <w:p>
            <w:pPr>
              <w:pStyle w:val="Listenabsatz"/>
              <w:numPr>
                <w:ilvl w:val="1"/>
                <w:numId w:val="21"/>
              </w:numPr>
              <w:rPr>
                <w:sz w:val="22"/>
                <w:szCs w:val="22"/>
              </w:rPr>
            </w:pPr>
            <w:r>
              <w:rPr>
                <w:sz w:val="22"/>
                <w:szCs w:val="22"/>
              </w:rPr>
              <w:t>Anzahl Neuaufnahmen tägl. ca. 400, rel. stabil in letzten zwei Wochen, ggf. Abflachung ersichtlich</w:t>
            </w:r>
          </w:p>
          <w:p>
            <w:pPr>
              <w:pStyle w:val="Listenabsatz"/>
              <w:numPr>
                <w:ilvl w:val="0"/>
                <w:numId w:val="21"/>
              </w:numPr>
              <w:rPr>
                <w:sz w:val="22"/>
                <w:szCs w:val="22"/>
              </w:rPr>
            </w:pPr>
            <w:r>
              <w:rPr>
                <w:sz w:val="22"/>
                <w:szCs w:val="22"/>
              </w:rPr>
              <w:t xml:space="preserve">Darstellung IV-Kapazitäten: in letzten 4 Wochen deutliche Abnahme der freien IV-Beatmungskapazitäten (cave: nicht alle freien Betten stehen COVID-19-Patienten zur Verfügung, soll zukünftig differentiell erfasst werden) </w:t>
            </w:r>
          </w:p>
          <w:p>
            <w:pPr>
              <w:pStyle w:val="Listenabsatz"/>
              <w:numPr>
                <w:ilvl w:val="0"/>
                <w:numId w:val="21"/>
              </w:numPr>
              <w:rPr>
                <w:sz w:val="22"/>
                <w:szCs w:val="22"/>
              </w:rPr>
            </w:pPr>
            <w:r>
              <w:rPr>
                <w:sz w:val="22"/>
                <w:szCs w:val="22"/>
              </w:rPr>
              <w:lastRenderedPageBreak/>
              <w:t>Darstellung Verfügbarkeit High-Care: Einschätzung der Verfügbarkeit seitens Intensivmediziner als „Ampel“, in letzten 4 Wochen deutliche Abnahme der Verfügbarkeit (Diagnose-unabhängig, Referenz: ca. 1300 Krankenhäuser)</w:t>
            </w:r>
          </w:p>
          <w:p>
            <w:pPr>
              <w:pStyle w:val="Listenabsatz"/>
              <w:numPr>
                <w:ilvl w:val="0"/>
                <w:numId w:val="21"/>
              </w:numPr>
              <w:rPr>
                <w:sz w:val="22"/>
                <w:szCs w:val="22"/>
              </w:rPr>
            </w:pPr>
            <w:r>
              <w:rPr>
                <w:sz w:val="22"/>
                <w:szCs w:val="22"/>
              </w:rPr>
              <w:t>Darstellung Betriebseinschränkung nach Ursache: Verfügbarkeit von Raum, Verbrauchsmaterial und Beatmungsgeräte wenig limitierender Faktor, sondern vielmehr das Personal</w:t>
            </w:r>
          </w:p>
          <w:p>
            <w:pPr>
              <w:rPr>
                <w:sz w:val="22"/>
                <w:szCs w:val="22"/>
              </w:rPr>
            </w:pPr>
          </w:p>
          <w:p>
            <w:pPr>
              <w:rPr>
                <w:sz w:val="22"/>
                <w:szCs w:val="22"/>
              </w:rPr>
            </w:pPr>
            <w:r>
              <w:rPr>
                <w:sz w:val="22"/>
                <w:szCs w:val="22"/>
              </w:rPr>
              <w:t xml:space="preserve">Prognosetool ITS-Betten </w:t>
            </w:r>
            <w:proofErr w:type="spellStart"/>
            <w:r>
              <w:rPr>
                <w:sz w:val="22"/>
                <w:szCs w:val="22"/>
              </w:rPr>
              <w:t>SPoCK</w:t>
            </w:r>
            <w:proofErr w:type="spellEnd"/>
          </w:p>
          <w:p>
            <w:pPr>
              <w:pStyle w:val="Listenabsatz"/>
              <w:numPr>
                <w:ilvl w:val="0"/>
                <w:numId w:val="21"/>
              </w:numPr>
              <w:rPr>
                <w:sz w:val="22"/>
                <w:szCs w:val="22"/>
              </w:rPr>
            </w:pPr>
            <w:r>
              <w:rPr>
                <w:sz w:val="22"/>
                <w:szCs w:val="22"/>
              </w:rPr>
              <w:t>Wöchentliche Prognosemodellierung (versch. Datenquellen)</w:t>
            </w:r>
          </w:p>
          <w:p>
            <w:pPr>
              <w:pStyle w:val="Listenabsatz"/>
              <w:numPr>
                <w:ilvl w:val="0"/>
                <w:numId w:val="21"/>
              </w:numPr>
              <w:rPr>
                <w:sz w:val="22"/>
                <w:szCs w:val="22"/>
              </w:rPr>
            </w:pPr>
            <w:r>
              <w:rPr>
                <w:sz w:val="22"/>
                <w:szCs w:val="22"/>
              </w:rPr>
              <w:t>Derzeit: bei Projektion in nächste Wochen hinein im Bundes-</w:t>
            </w:r>
            <w:proofErr w:type="spellStart"/>
            <w:r>
              <w:rPr>
                <w:sz w:val="22"/>
                <w:szCs w:val="22"/>
              </w:rPr>
              <w:t>durchschnitt</w:t>
            </w:r>
            <w:proofErr w:type="spellEnd"/>
            <w:r>
              <w:rPr>
                <w:sz w:val="22"/>
                <w:szCs w:val="22"/>
              </w:rPr>
              <w:t xml:space="preserve"> ggf. akzeptabel, aber nach </w:t>
            </w:r>
            <w:proofErr w:type="spellStart"/>
            <w:r>
              <w:rPr>
                <w:sz w:val="22"/>
                <w:szCs w:val="22"/>
              </w:rPr>
              <w:t>BuLä</w:t>
            </w:r>
            <w:proofErr w:type="spellEnd"/>
            <w:r>
              <w:rPr>
                <w:sz w:val="22"/>
                <w:szCs w:val="22"/>
              </w:rPr>
              <w:t xml:space="preserve"> Fortschreiten deutlich engerer Kapazität ersichtlich</w:t>
            </w:r>
          </w:p>
          <w:p>
            <w:pPr>
              <w:pStyle w:val="Listenabsatz"/>
              <w:numPr>
                <w:ilvl w:val="0"/>
                <w:numId w:val="21"/>
              </w:numPr>
              <w:rPr>
                <w:sz w:val="22"/>
                <w:szCs w:val="22"/>
              </w:rPr>
            </w:pPr>
            <w:r>
              <w:rPr>
                <w:sz w:val="22"/>
                <w:szCs w:val="22"/>
              </w:rPr>
              <w:t>Mittels Tool Kreisebenen regional einsehbar = hochregionale Geschehen</w:t>
            </w:r>
          </w:p>
          <w:p>
            <w:pPr>
              <w:pStyle w:val="Listenabsatz"/>
              <w:numPr>
                <w:ilvl w:val="0"/>
                <w:numId w:val="21"/>
              </w:numPr>
              <w:rPr>
                <w:sz w:val="22"/>
                <w:szCs w:val="22"/>
              </w:rPr>
            </w:pPr>
            <w:r>
              <w:rPr>
                <w:sz w:val="22"/>
                <w:szCs w:val="22"/>
              </w:rPr>
              <w:t>Relativ großes Unsicherheitsintervall begründet sich darin, dass teils relativ stabile Situation im Sommer bzw. nur aktuell verfügbare Daten als Grundlage dienen können</w:t>
            </w:r>
          </w:p>
          <w:p>
            <w:pPr>
              <w:pStyle w:val="Listenabsatz"/>
              <w:numPr>
                <w:ilvl w:val="0"/>
                <w:numId w:val="21"/>
              </w:numPr>
              <w:rPr>
                <w:sz w:val="22"/>
                <w:szCs w:val="22"/>
              </w:rPr>
            </w:pPr>
            <w:r>
              <w:rPr>
                <w:sz w:val="22"/>
                <w:szCs w:val="22"/>
              </w:rPr>
              <w:t>Vorschlag differentieller Erfassung weiterer Parameter wie konkreter Maßnahmen (bspw. zeitliche Verlegung elektiver Eingriffe), die zu Kapazitätsanstiegen führen können</w:t>
            </w:r>
          </w:p>
          <w:p>
            <w:pPr>
              <w:pStyle w:val="Listenabsatz"/>
              <w:numPr>
                <w:ilvl w:val="0"/>
                <w:numId w:val="21"/>
              </w:numPr>
              <w:rPr>
                <w:sz w:val="22"/>
                <w:szCs w:val="22"/>
              </w:rPr>
            </w:pPr>
            <w:r>
              <w:rPr>
                <w:sz w:val="22"/>
                <w:szCs w:val="22"/>
              </w:rPr>
              <w:t xml:space="preserve">Kann ggf. für Lagebericht aktuell generiert werden </w:t>
            </w:r>
          </w:p>
          <w:p>
            <w:pPr>
              <w:rPr>
                <w:sz w:val="22"/>
                <w:szCs w:val="22"/>
              </w:rPr>
            </w:pPr>
          </w:p>
          <w:p>
            <w:pPr>
              <w:pStyle w:val="Listenabsatz"/>
              <w:numPr>
                <w:ilvl w:val="0"/>
                <w:numId w:val="21"/>
              </w:numPr>
              <w:rPr>
                <w:sz w:val="22"/>
                <w:szCs w:val="22"/>
              </w:rPr>
            </w:pPr>
            <w:r>
              <w:rPr>
                <w:sz w:val="22"/>
                <w:szCs w:val="22"/>
              </w:rPr>
              <w:t>Deutlich steigender Informationsbedarf zu Webseminaren und Beratungsleistung seitens Fachpersonal</w:t>
            </w:r>
          </w:p>
          <w:p>
            <w:pPr>
              <w:pStyle w:val="Listenabsatz"/>
              <w:rPr>
                <w:sz w:val="22"/>
                <w:szCs w:val="22"/>
              </w:rPr>
            </w:pPr>
          </w:p>
          <w:p>
            <w:pPr>
              <w:pStyle w:val="Listenabsatz"/>
              <w:ind w:left="927"/>
              <w:rPr>
                <w:sz w:val="22"/>
                <w:szCs w:val="22"/>
              </w:rPr>
            </w:pPr>
          </w:p>
        </w:tc>
        <w:tc>
          <w:tcPr>
            <w:tcW w:w="1492" w:type="dxa"/>
          </w:tcPr>
          <w:p>
            <w:pPr>
              <w:rPr>
                <w:sz w:val="22"/>
                <w:szCs w:val="22"/>
              </w:rPr>
            </w:pPr>
          </w:p>
          <w:p>
            <w:pPr>
              <w:rPr>
                <w:sz w:val="22"/>
                <w:szCs w:val="22"/>
              </w:rPr>
            </w:pPr>
            <w:r>
              <w:rPr>
                <w:sz w:val="22"/>
                <w:szCs w:val="22"/>
              </w:rPr>
              <w:t>MF4 (Graben-</w:t>
            </w:r>
            <w:proofErr w:type="spellStart"/>
            <w:r>
              <w:rPr>
                <w:sz w:val="22"/>
                <w:szCs w:val="22"/>
              </w:rPr>
              <w:t>henrich</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 (Niebank)</w:t>
            </w:r>
          </w:p>
        </w:tc>
      </w:tr>
      <w:tr>
        <w:tc>
          <w:tcPr>
            <w:tcW w:w="684" w:type="dxa"/>
          </w:tcPr>
          <w:p>
            <w:pPr>
              <w:rPr>
                <w:b/>
              </w:rPr>
            </w:pPr>
            <w:r>
              <w:rPr>
                <w:b/>
              </w:rPr>
              <w:lastRenderedPageBreak/>
              <w:t>12</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r>
              <w:rPr>
                <w:sz w:val="22"/>
                <w:szCs w:val="22"/>
              </w:rPr>
              <w:t xml:space="preserve"> </w:t>
            </w:r>
          </w:p>
        </w:tc>
      </w:tr>
      <w:tr>
        <w:tc>
          <w:tcPr>
            <w:tcW w:w="684" w:type="dxa"/>
          </w:tcPr>
          <w:p>
            <w:pPr>
              <w:rPr>
                <w:b/>
              </w:rPr>
            </w:pPr>
            <w:r>
              <w:rPr>
                <w:b/>
              </w:rPr>
              <w:t>13</w:t>
            </w:r>
          </w:p>
        </w:tc>
        <w:tc>
          <w:tcPr>
            <w:tcW w:w="6795" w:type="dxa"/>
          </w:tcPr>
          <w:p>
            <w:pPr>
              <w:spacing w:line="276" w:lineRule="auto"/>
              <w:rPr>
                <w:b/>
                <w:sz w:val="28"/>
              </w:rPr>
            </w:pPr>
            <w:r>
              <w:rPr>
                <w:b/>
                <w:sz w:val="28"/>
              </w:rPr>
              <w:t>Surveillance</w:t>
            </w:r>
          </w:p>
          <w:p>
            <w:pPr>
              <w:pStyle w:val="Listenabsatz"/>
              <w:numPr>
                <w:ilvl w:val="0"/>
                <w:numId w:val="19"/>
              </w:numPr>
              <w:rPr>
                <w:sz w:val="22"/>
              </w:rPr>
            </w:pPr>
            <w:r>
              <w:rPr>
                <w:sz w:val="22"/>
              </w:rPr>
              <w:t>Nicht besprochen (nur montags)</w:t>
            </w:r>
          </w:p>
        </w:tc>
        <w:tc>
          <w:tcPr>
            <w:tcW w:w="1492" w:type="dxa"/>
          </w:tcPr>
          <w:p>
            <w:pPr>
              <w:rPr>
                <w:sz w:val="22"/>
                <w:szCs w:val="22"/>
              </w:rPr>
            </w:pPr>
            <w:r>
              <w:rPr>
                <w:sz w:val="22"/>
                <w:szCs w:val="22"/>
              </w:rPr>
              <w:t xml:space="preserve"> </w:t>
            </w:r>
          </w:p>
        </w:tc>
      </w:tr>
      <w:tr>
        <w:tc>
          <w:tcPr>
            <w:tcW w:w="684" w:type="dxa"/>
          </w:tcPr>
          <w:p>
            <w:pPr>
              <w:rPr>
                <w:b/>
              </w:rPr>
            </w:pPr>
            <w:r>
              <w:rPr>
                <w:b/>
              </w:rPr>
              <w:t>14</w:t>
            </w:r>
          </w:p>
        </w:tc>
        <w:tc>
          <w:tcPr>
            <w:tcW w:w="6795" w:type="dxa"/>
          </w:tcPr>
          <w:p>
            <w:pPr>
              <w:spacing w:line="276" w:lineRule="auto"/>
              <w:rPr>
                <w:b/>
                <w:sz w:val="28"/>
              </w:rPr>
            </w:pPr>
            <w:r>
              <w:rPr>
                <w:b/>
                <w:sz w:val="28"/>
              </w:rPr>
              <w:t>Transport und Grenzübergangsstellen</w:t>
            </w:r>
          </w:p>
          <w:p>
            <w:pPr>
              <w:pStyle w:val="Listenabsatz"/>
              <w:numPr>
                <w:ilvl w:val="0"/>
                <w:numId w:val="5"/>
              </w:numPr>
              <w:ind w:left="453" w:hanging="340"/>
              <w:rPr>
                <w:sz w:val="22"/>
              </w:rPr>
            </w:pPr>
            <w:r>
              <w:rPr>
                <w:sz w:val="22"/>
              </w:rPr>
              <w:t>Nicht besprochen (nur freitags)</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p>
          <w:p>
            <w:pPr>
              <w:pStyle w:val="Listenabsatz"/>
              <w:numPr>
                <w:ilvl w:val="0"/>
                <w:numId w:val="5"/>
              </w:numPr>
              <w:ind w:left="453" w:hanging="340"/>
              <w:rPr>
                <w:sz w:val="22"/>
                <w:szCs w:val="22"/>
              </w:rPr>
            </w:pPr>
            <w:r>
              <w:rPr>
                <w:sz w:val="22"/>
                <w:szCs w:val="22"/>
              </w:rPr>
              <w:t>Nicht besprochen (nur freitags)</w:t>
            </w: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19"/>
              </w:numPr>
              <w:rPr>
                <w:sz w:val="22"/>
                <w:szCs w:val="22"/>
              </w:rPr>
            </w:pPr>
            <w:r>
              <w:rPr>
                <w:sz w:val="22"/>
                <w:szCs w:val="22"/>
              </w:rPr>
              <w:t xml:space="preserve">Freitag: </w:t>
            </w:r>
            <w:proofErr w:type="spellStart"/>
            <w:r>
              <w:rPr>
                <w:sz w:val="22"/>
                <w:szCs w:val="22"/>
              </w:rPr>
              <w:t>TelKo</w:t>
            </w:r>
            <w:proofErr w:type="spellEnd"/>
            <w:r>
              <w:rPr>
                <w:sz w:val="22"/>
                <w:szCs w:val="22"/>
              </w:rPr>
              <w:t xml:space="preserve"> Länderkoordinatoren von Testkapazitäten, Moderation BMG</w:t>
            </w:r>
          </w:p>
          <w:p>
            <w:pPr>
              <w:pStyle w:val="Listenabsatz"/>
              <w:numPr>
                <w:ilvl w:val="0"/>
                <w:numId w:val="19"/>
              </w:numPr>
              <w:rPr>
                <w:sz w:val="22"/>
                <w:szCs w:val="22"/>
              </w:rPr>
            </w:pPr>
            <w:r>
              <w:rPr>
                <w:sz w:val="22"/>
                <w:szCs w:val="22"/>
              </w:rPr>
              <w:t xml:space="preserve">Freitag: </w:t>
            </w:r>
            <w:proofErr w:type="spellStart"/>
            <w:r>
              <w:rPr>
                <w:sz w:val="22"/>
                <w:szCs w:val="22"/>
              </w:rPr>
              <w:t>TelKo</w:t>
            </w:r>
            <w:proofErr w:type="spellEnd"/>
            <w:r>
              <w:rPr>
                <w:sz w:val="22"/>
                <w:szCs w:val="22"/>
              </w:rPr>
              <w:t xml:space="preserve"> zur </w:t>
            </w:r>
            <w:proofErr w:type="spellStart"/>
            <w:r>
              <w:rPr>
                <w:sz w:val="22"/>
                <w:szCs w:val="22"/>
              </w:rPr>
              <w:t>Abverlegung</w:t>
            </w:r>
            <w:proofErr w:type="spellEnd"/>
            <w:r>
              <w:rPr>
                <w:sz w:val="22"/>
                <w:szCs w:val="22"/>
              </w:rPr>
              <w:t xml:space="preserve"> von Patienten – Frage der Kontagiosität, auch aufgrund schwerer Verläufe, Relevanz des Laborstandards /des Ct-Wertes </w:t>
            </w:r>
          </w:p>
          <w:p>
            <w:pPr>
              <w:rPr>
                <w:i/>
                <w:sz w:val="22"/>
                <w:szCs w:val="22"/>
              </w:rPr>
            </w:pPr>
            <w:proofErr w:type="spellStart"/>
            <w:r>
              <w:rPr>
                <w:i/>
                <w:sz w:val="22"/>
                <w:szCs w:val="22"/>
              </w:rPr>
              <w:t>To</w:t>
            </w:r>
            <w:proofErr w:type="spellEnd"/>
            <w:r>
              <w:rPr>
                <w:i/>
                <w:sz w:val="22"/>
                <w:szCs w:val="22"/>
              </w:rPr>
              <w:t xml:space="preserve"> Do: Bitte um Austausch zu Entlassungskriterien im Vorfeld </w:t>
            </w:r>
          </w:p>
          <w:p>
            <w:pPr>
              <w:rPr>
                <w:sz w:val="22"/>
                <w:szCs w:val="22"/>
              </w:rPr>
            </w:pPr>
          </w:p>
        </w:tc>
        <w:tc>
          <w:tcPr>
            <w:tcW w:w="1492" w:type="dxa"/>
          </w:tcPr>
          <w:p>
            <w:pPr>
              <w:rPr>
                <w:sz w:val="22"/>
                <w:szCs w:val="22"/>
              </w:rPr>
            </w:pPr>
          </w:p>
          <w:p>
            <w:pPr>
              <w:rPr>
                <w:sz w:val="22"/>
                <w:szCs w:val="22"/>
              </w:rPr>
            </w:pPr>
            <w:r>
              <w:rPr>
                <w:sz w:val="22"/>
                <w:szCs w:val="22"/>
              </w:rPr>
              <w:t>Abt. 1 (Mielke)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13.11.2020,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7"/>
      <w:headerReference w:type="default" r:id="rId18"/>
      <w:footerReference w:type="even" r:id="rId19"/>
      <w:footerReference w:type="default" r:id="rId20"/>
      <w:headerReference w:type="first" r:id="rId21"/>
      <w:footerReference w:type="first" r:id="rId22"/>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rn, Daniel" w:date="2020-11-12T15:50:00Z" w:initials="SD">
    <w:p>
      <w:pPr>
        <w:pStyle w:val="Kommentartext"/>
      </w:pPr>
      <w:r>
        <w:rPr>
          <w:rStyle w:val="Kommentarzeichen"/>
        </w:rPr>
        <w:annotationRef/>
      </w:r>
      <w:r>
        <w:t>Aufgabe ID 2202</w:t>
      </w:r>
    </w:p>
  </w:comment>
  <w:comment w:id="1" w:author="Stern, Daniel" w:date="2020-11-12T13:59:00Z" w:initials="SD">
    <w:p>
      <w:pPr>
        <w:pStyle w:val="Kommentartext"/>
      </w:pPr>
      <w:r>
        <w:rPr>
          <w:rStyle w:val="Kommentarzeichen"/>
        </w:rPr>
        <w:annotationRef/>
      </w:r>
      <w:r>
        <w:t>Aufgabe ID 2143 wieder geöffnet</w:t>
      </w:r>
    </w:p>
  </w:comment>
  <w:comment w:id="2" w:author="Stern, Daniel" w:date="2020-11-12T14:01:00Z" w:initials="SD">
    <w:p>
      <w:pPr>
        <w:pStyle w:val="Kommentartext"/>
      </w:pPr>
      <w:r>
        <w:rPr>
          <w:rStyle w:val="Kommentarzeichen"/>
        </w:rPr>
        <w:annotationRef/>
      </w:r>
    </w:p>
  </w:comment>
  <w:comment w:id="3" w:author="Stern, Daniel" w:date="2020-11-12T14:01:00Z" w:initials="SD">
    <w:p>
      <w:pPr>
        <w:pStyle w:val="Kommentartext"/>
      </w:pPr>
      <w:r>
        <w:rPr>
          <w:rStyle w:val="Kommentarzeichen"/>
        </w:rPr>
        <w:annotationRef/>
      </w:r>
      <w:r>
        <w:t>Aufgabe ID 2201</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                                                                                                                              </w:t>
    </w:r>
    <w:bookmarkStart w:id="4" w:name="_GoBack"/>
    <w:bookmarkEnd w:id="4"/>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74821"/>
    <w:multiLevelType w:val="hybridMultilevel"/>
    <w:tmpl w:val="4E28D28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347F06"/>
    <w:multiLevelType w:val="hybridMultilevel"/>
    <w:tmpl w:val="B016F2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2E33AAE"/>
    <w:multiLevelType w:val="hybridMultilevel"/>
    <w:tmpl w:val="B1B04B40"/>
    <w:lvl w:ilvl="0" w:tplc="04070001">
      <w:start w:val="1"/>
      <w:numFmt w:val="bullet"/>
      <w:lvlText w:val=""/>
      <w:lvlJc w:val="left"/>
      <w:pPr>
        <w:ind w:left="1080" w:hanging="360"/>
      </w:pPr>
      <w:rPr>
        <w:rFonts w:ascii="Symbol" w:hAnsi="Symbol" w:hint="default"/>
        <w:color w:val="auto"/>
      </w:rPr>
    </w:lvl>
    <w:lvl w:ilvl="1" w:tplc="04090001">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3A54C7A"/>
    <w:multiLevelType w:val="hybridMultilevel"/>
    <w:tmpl w:val="6B3A23E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3B70B64"/>
    <w:multiLevelType w:val="hybridMultilevel"/>
    <w:tmpl w:val="428455A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22DF003E"/>
    <w:multiLevelType w:val="hybridMultilevel"/>
    <w:tmpl w:val="0E5C30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8A38F1E6"/>
    <w:lvl w:ilvl="0" w:tplc="B970B082">
      <w:start w:val="1"/>
      <w:numFmt w:val="bullet"/>
      <w:lvlText w:val=""/>
      <w:lvlJc w:val="left"/>
      <w:pPr>
        <w:ind w:left="1080" w:hanging="360"/>
      </w:pPr>
      <w:rPr>
        <w:rFonts w:ascii="Symbol" w:hAnsi="Symbol" w:hint="default"/>
        <w:color w:val="auto"/>
        <w:sz w:val="24"/>
        <w:szCs w:val="24"/>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56B7E01"/>
    <w:multiLevelType w:val="hybridMultilevel"/>
    <w:tmpl w:val="99A6DB46"/>
    <w:lvl w:ilvl="0" w:tplc="04070003">
      <w:start w:val="1"/>
      <w:numFmt w:val="bullet"/>
      <w:lvlText w:val="o"/>
      <w:lvlJc w:val="left"/>
      <w:pPr>
        <w:ind w:left="915" w:hanging="360"/>
      </w:pPr>
      <w:rPr>
        <w:rFonts w:ascii="Courier New" w:hAnsi="Courier New" w:cs="Courier New" w:hint="default"/>
      </w:rPr>
    </w:lvl>
    <w:lvl w:ilvl="1" w:tplc="04070003" w:tentative="1">
      <w:start w:val="1"/>
      <w:numFmt w:val="bullet"/>
      <w:lvlText w:val="o"/>
      <w:lvlJc w:val="left"/>
      <w:pPr>
        <w:ind w:left="1635" w:hanging="360"/>
      </w:pPr>
      <w:rPr>
        <w:rFonts w:ascii="Courier New" w:hAnsi="Courier New" w:cs="Courier New" w:hint="default"/>
      </w:rPr>
    </w:lvl>
    <w:lvl w:ilvl="2" w:tplc="04070005" w:tentative="1">
      <w:start w:val="1"/>
      <w:numFmt w:val="bullet"/>
      <w:lvlText w:val=""/>
      <w:lvlJc w:val="left"/>
      <w:pPr>
        <w:ind w:left="2355" w:hanging="360"/>
      </w:pPr>
      <w:rPr>
        <w:rFonts w:ascii="Wingdings" w:hAnsi="Wingdings" w:hint="default"/>
      </w:rPr>
    </w:lvl>
    <w:lvl w:ilvl="3" w:tplc="04070001" w:tentative="1">
      <w:start w:val="1"/>
      <w:numFmt w:val="bullet"/>
      <w:lvlText w:val=""/>
      <w:lvlJc w:val="left"/>
      <w:pPr>
        <w:ind w:left="3075" w:hanging="360"/>
      </w:pPr>
      <w:rPr>
        <w:rFonts w:ascii="Symbol" w:hAnsi="Symbol" w:hint="default"/>
      </w:rPr>
    </w:lvl>
    <w:lvl w:ilvl="4" w:tplc="04070003" w:tentative="1">
      <w:start w:val="1"/>
      <w:numFmt w:val="bullet"/>
      <w:lvlText w:val="o"/>
      <w:lvlJc w:val="left"/>
      <w:pPr>
        <w:ind w:left="3795" w:hanging="360"/>
      </w:pPr>
      <w:rPr>
        <w:rFonts w:ascii="Courier New" w:hAnsi="Courier New" w:cs="Courier New" w:hint="default"/>
      </w:rPr>
    </w:lvl>
    <w:lvl w:ilvl="5" w:tplc="04070005" w:tentative="1">
      <w:start w:val="1"/>
      <w:numFmt w:val="bullet"/>
      <w:lvlText w:val=""/>
      <w:lvlJc w:val="left"/>
      <w:pPr>
        <w:ind w:left="4515" w:hanging="360"/>
      </w:pPr>
      <w:rPr>
        <w:rFonts w:ascii="Wingdings" w:hAnsi="Wingdings" w:hint="default"/>
      </w:rPr>
    </w:lvl>
    <w:lvl w:ilvl="6" w:tplc="04070001" w:tentative="1">
      <w:start w:val="1"/>
      <w:numFmt w:val="bullet"/>
      <w:lvlText w:val=""/>
      <w:lvlJc w:val="left"/>
      <w:pPr>
        <w:ind w:left="5235" w:hanging="360"/>
      </w:pPr>
      <w:rPr>
        <w:rFonts w:ascii="Symbol" w:hAnsi="Symbol" w:hint="default"/>
      </w:rPr>
    </w:lvl>
    <w:lvl w:ilvl="7" w:tplc="04070003" w:tentative="1">
      <w:start w:val="1"/>
      <w:numFmt w:val="bullet"/>
      <w:lvlText w:val="o"/>
      <w:lvlJc w:val="left"/>
      <w:pPr>
        <w:ind w:left="5955" w:hanging="360"/>
      </w:pPr>
      <w:rPr>
        <w:rFonts w:ascii="Courier New" w:hAnsi="Courier New" w:cs="Courier New" w:hint="default"/>
      </w:rPr>
    </w:lvl>
    <w:lvl w:ilvl="8" w:tplc="04070005" w:tentative="1">
      <w:start w:val="1"/>
      <w:numFmt w:val="bullet"/>
      <w:lvlText w:val=""/>
      <w:lvlJc w:val="left"/>
      <w:pPr>
        <w:ind w:left="6675"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E05928"/>
    <w:multiLevelType w:val="hybridMultilevel"/>
    <w:tmpl w:val="3A900DC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44B4733A"/>
    <w:multiLevelType w:val="hybridMultilevel"/>
    <w:tmpl w:val="412E03FA"/>
    <w:lvl w:ilvl="0" w:tplc="04070003">
      <w:start w:val="1"/>
      <w:numFmt w:val="bullet"/>
      <w:lvlText w:val="o"/>
      <w:lvlJc w:val="left"/>
      <w:pPr>
        <w:ind w:left="-942" w:hanging="360"/>
      </w:pPr>
      <w:rPr>
        <w:rFonts w:ascii="Courier New" w:hAnsi="Courier New" w:cs="Courier New" w:hint="default"/>
      </w:rPr>
    </w:lvl>
    <w:lvl w:ilvl="1" w:tplc="04070003" w:tentative="1">
      <w:start w:val="1"/>
      <w:numFmt w:val="bullet"/>
      <w:lvlText w:val="o"/>
      <w:lvlJc w:val="left"/>
      <w:pPr>
        <w:ind w:left="-222" w:hanging="360"/>
      </w:pPr>
      <w:rPr>
        <w:rFonts w:ascii="Courier New" w:hAnsi="Courier New" w:cs="Courier New" w:hint="default"/>
      </w:rPr>
    </w:lvl>
    <w:lvl w:ilvl="2" w:tplc="04070005" w:tentative="1">
      <w:start w:val="1"/>
      <w:numFmt w:val="bullet"/>
      <w:lvlText w:val=""/>
      <w:lvlJc w:val="left"/>
      <w:pPr>
        <w:ind w:left="498" w:hanging="360"/>
      </w:pPr>
      <w:rPr>
        <w:rFonts w:ascii="Wingdings" w:hAnsi="Wingdings" w:hint="default"/>
      </w:rPr>
    </w:lvl>
    <w:lvl w:ilvl="3" w:tplc="04070001" w:tentative="1">
      <w:start w:val="1"/>
      <w:numFmt w:val="bullet"/>
      <w:lvlText w:val=""/>
      <w:lvlJc w:val="left"/>
      <w:pPr>
        <w:ind w:left="1218" w:hanging="360"/>
      </w:pPr>
      <w:rPr>
        <w:rFonts w:ascii="Symbol" w:hAnsi="Symbol" w:hint="default"/>
      </w:rPr>
    </w:lvl>
    <w:lvl w:ilvl="4" w:tplc="04070003" w:tentative="1">
      <w:start w:val="1"/>
      <w:numFmt w:val="bullet"/>
      <w:lvlText w:val="o"/>
      <w:lvlJc w:val="left"/>
      <w:pPr>
        <w:ind w:left="1938" w:hanging="360"/>
      </w:pPr>
      <w:rPr>
        <w:rFonts w:ascii="Courier New" w:hAnsi="Courier New" w:cs="Courier New" w:hint="default"/>
      </w:rPr>
    </w:lvl>
    <w:lvl w:ilvl="5" w:tplc="04070005" w:tentative="1">
      <w:start w:val="1"/>
      <w:numFmt w:val="bullet"/>
      <w:lvlText w:val=""/>
      <w:lvlJc w:val="left"/>
      <w:pPr>
        <w:ind w:left="2658" w:hanging="360"/>
      </w:pPr>
      <w:rPr>
        <w:rFonts w:ascii="Wingdings" w:hAnsi="Wingdings" w:hint="default"/>
      </w:rPr>
    </w:lvl>
    <w:lvl w:ilvl="6" w:tplc="04070001" w:tentative="1">
      <w:start w:val="1"/>
      <w:numFmt w:val="bullet"/>
      <w:lvlText w:val=""/>
      <w:lvlJc w:val="left"/>
      <w:pPr>
        <w:ind w:left="3378" w:hanging="360"/>
      </w:pPr>
      <w:rPr>
        <w:rFonts w:ascii="Symbol" w:hAnsi="Symbol" w:hint="default"/>
      </w:rPr>
    </w:lvl>
    <w:lvl w:ilvl="7" w:tplc="04070003" w:tentative="1">
      <w:start w:val="1"/>
      <w:numFmt w:val="bullet"/>
      <w:lvlText w:val="o"/>
      <w:lvlJc w:val="left"/>
      <w:pPr>
        <w:ind w:left="4098" w:hanging="360"/>
      </w:pPr>
      <w:rPr>
        <w:rFonts w:ascii="Courier New" w:hAnsi="Courier New" w:cs="Courier New" w:hint="default"/>
      </w:rPr>
    </w:lvl>
    <w:lvl w:ilvl="8" w:tplc="04070005" w:tentative="1">
      <w:start w:val="1"/>
      <w:numFmt w:val="bullet"/>
      <w:lvlText w:val=""/>
      <w:lvlJc w:val="left"/>
      <w:pPr>
        <w:ind w:left="4818" w:hanging="360"/>
      </w:pPr>
      <w:rPr>
        <w:rFonts w:ascii="Wingdings" w:hAnsi="Wingdings" w:hint="default"/>
      </w:rPr>
    </w:lvl>
  </w:abstractNum>
  <w:abstractNum w:abstractNumId="1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55F0180D"/>
    <w:multiLevelType w:val="hybridMultilevel"/>
    <w:tmpl w:val="EFD8DD6C"/>
    <w:lvl w:ilvl="0" w:tplc="188AD2B2">
      <w:start w:val="1"/>
      <w:numFmt w:val="bullet"/>
      <w:lvlText w:val=""/>
      <w:lvlJc w:val="left"/>
      <w:pPr>
        <w:ind w:left="720" w:hanging="360"/>
      </w:pPr>
      <w:rPr>
        <w:rFonts w:ascii="Symbol" w:hAnsi="Symbol" w:hint="default"/>
        <w:sz w:val="22"/>
        <w:szCs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6B865CB"/>
    <w:multiLevelType w:val="hybridMultilevel"/>
    <w:tmpl w:val="E1786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35839C7"/>
    <w:multiLevelType w:val="hybridMultilevel"/>
    <w:tmpl w:val="40FC6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C133353"/>
    <w:multiLevelType w:val="hybridMultilevel"/>
    <w:tmpl w:val="688C2A26"/>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7C342BAC"/>
    <w:multiLevelType w:val="hybridMultilevel"/>
    <w:tmpl w:val="F6129B92"/>
    <w:lvl w:ilvl="0" w:tplc="B0982E6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
  </w:num>
  <w:num w:numId="4">
    <w:abstractNumId w:val="14"/>
  </w:num>
  <w:num w:numId="5">
    <w:abstractNumId w:val="8"/>
  </w:num>
  <w:num w:numId="6">
    <w:abstractNumId w:val="15"/>
  </w:num>
  <w:num w:numId="7">
    <w:abstractNumId w:val="12"/>
  </w:num>
  <w:num w:numId="8">
    <w:abstractNumId w:val="17"/>
  </w:num>
  <w:num w:numId="9">
    <w:abstractNumId w:val="6"/>
  </w:num>
  <w:num w:numId="10">
    <w:abstractNumId w:val="5"/>
  </w:num>
  <w:num w:numId="11">
    <w:abstractNumId w:val="9"/>
  </w:num>
  <w:num w:numId="12">
    <w:abstractNumId w:val="7"/>
  </w:num>
  <w:num w:numId="13">
    <w:abstractNumId w:val="16"/>
  </w:num>
  <w:num w:numId="14">
    <w:abstractNumId w:val="13"/>
  </w:num>
  <w:num w:numId="15">
    <w:abstractNumId w:val="18"/>
  </w:num>
  <w:num w:numId="16">
    <w:abstractNumId w:val="20"/>
  </w:num>
  <w:num w:numId="17">
    <w:abstractNumId w:val="4"/>
  </w:num>
  <w:num w:numId="18">
    <w:abstractNumId w:val="11"/>
  </w:num>
  <w:num w:numId="19">
    <w:abstractNumId w:val="3"/>
  </w:num>
  <w:num w:numId="20">
    <w:abstractNumId w:val="19"/>
  </w:num>
  <w:num w:numId="21">
    <w:abstractNumId w:val="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rn, Daniel">
    <w15:presenceInfo w15:providerId="None" w15:userId="Stern, Dan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8324">
      <w:bodyDiv w:val="1"/>
      <w:marLeft w:val="0"/>
      <w:marRight w:val="0"/>
      <w:marTop w:val="0"/>
      <w:marBottom w:val="0"/>
      <w:divBdr>
        <w:top w:val="none" w:sz="0" w:space="0" w:color="auto"/>
        <w:left w:val="none" w:sz="0" w:space="0" w:color="auto"/>
        <w:bottom w:val="none" w:sz="0" w:space="0" w:color="auto"/>
        <w:right w:val="none" w:sz="0" w:space="0" w:color="auto"/>
      </w:divBdr>
    </w:div>
    <w:div w:id="33508488">
      <w:bodyDiv w:val="1"/>
      <w:marLeft w:val="0"/>
      <w:marRight w:val="0"/>
      <w:marTop w:val="0"/>
      <w:marBottom w:val="0"/>
      <w:divBdr>
        <w:top w:val="none" w:sz="0" w:space="0" w:color="auto"/>
        <w:left w:val="none" w:sz="0" w:space="0" w:color="auto"/>
        <w:bottom w:val="none" w:sz="0" w:space="0" w:color="auto"/>
        <w:right w:val="none" w:sz="0" w:space="0" w:color="auto"/>
      </w:divBdr>
    </w:div>
    <w:div w:id="66268845">
      <w:bodyDiv w:val="1"/>
      <w:marLeft w:val="0"/>
      <w:marRight w:val="0"/>
      <w:marTop w:val="0"/>
      <w:marBottom w:val="0"/>
      <w:divBdr>
        <w:top w:val="none" w:sz="0" w:space="0" w:color="auto"/>
        <w:left w:val="none" w:sz="0" w:space="0" w:color="auto"/>
        <w:bottom w:val="none" w:sz="0" w:space="0" w:color="auto"/>
        <w:right w:val="none" w:sz="0" w:space="0" w:color="auto"/>
      </w:divBdr>
      <w:divsChild>
        <w:div w:id="456145069">
          <w:marLeft w:val="547"/>
          <w:marRight w:val="0"/>
          <w:marTop w:val="86"/>
          <w:marBottom w:val="0"/>
          <w:divBdr>
            <w:top w:val="none" w:sz="0" w:space="0" w:color="auto"/>
            <w:left w:val="none" w:sz="0" w:space="0" w:color="auto"/>
            <w:bottom w:val="none" w:sz="0" w:space="0" w:color="auto"/>
            <w:right w:val="none" w:sz="0" w:space="0" w:color="auto"/>
          </w:divBdr>
        </w:div>
        <w:div w:id="1294022831">
          <w:marLeft w:val="547"/>
          <w:marRight w:val="0"/>
          <w:marTop w:val="86"/>
          <w:marBottom w:val="0"/>
          <w:divBdr>
            <w:top w:val="none" w:sz="0" w:space="0" w:color="auto"/>
            <w:left w:val="none" w:sz="0" w:space="0" w:color="auto"/>
            <w:bottom w:val="none" w:sz="0" w:space="0" w:color="auto"/>
            <w:right w:val="none" w:sz="0" w:space="0" w:color="auto"/>
          </w:divBdr>
        </w:div>
        <w:div w:id="662971294">
          <w:marLeft w:val="547"/>
          <w:marRight w:val="0"/>
          <w:marTop w:val="86"/>
          <w:marBottom w:val="0"/>
          <w:divBdr>
            <w:top w:val="none" w:sz="0" w:space="0" w:color="auto"/>
            <w:left w:val="none" w:sz="0" w:space="0" w:color="auto"/>
            <w:bottom w:val="none" w:sz="0" w:space="0" w:color="auto"/>
            <w:right w:val="none" w:sz="0" w:space="0" w:color="auto"/>
          </w:divBdr>
        </w:div>
      </w:divsChild>
    </w:div>
    <w:div w:id="119306353">
      <w:bodyDiv w:val="1"/>
      <w:marLeft w:val="0"/>
      <w:marRight w:val="0"/>
      <w:marTop w:val="0"/>
      <w:marBottom w:val="0"/>
      <w:divBdr>
        <w:top w:val="none" w:sz="0" w:space="0" w:color="auto"/>
        <w:left w:val="none" w:sz="0" w:space="0" w:color="auto"/>
        <w:bottom w:val="none" w:sz="0" w:space="0" w:color="auto"/>
        <w:right w:val="none" w:sz="0" w:space="0" w:color="auto"/>
      </w:divBdr>
      <w:divsChild>
        <w:div w:id="1286810046">
          <w:marLeft w:val="547"/>
          <w:marRight w:val="0"/>
          <w:marTop w:val="86"/>
          <w:marBottom w:val="0"/>
          <w:divBdr>
            <w:top w:val="none" w:sz="0" w:space="0" w:color="auto"/>
            <w:left w:val="none" w:sz="0" w:space="0" w:color="auto"/>
            <w:bottom w:val="none" w:sz="0" w:space="0" w:color="auto"/>
            <w:right w:val="none" w:sz="0" w:space="0" w:color="auto"/>
          </w:divBdr>
        </w:div>
        <w:div w:id="1999386399">
          <w:marLeft w:val="547"/>
          <w:marRight w:val="0"/>
          <w:marTop w:val="86"/>
          <w:marBottom w:val="0"/>
          <w:divBdr>
            <w:top w:val="none" w:sz="0" w:space="0" w:color="auto"/>
            <w:left w:val="none" w:sz="0" w:space="0" w:color="auto"/>
            <w:bottom w:val="none" w:sz="0" w:space="0" w:color="auto"/>
            <w:right w:val="none" w:sz="0" w:space="0" w:color="auto"/>
          </w:divBdr>
        </w:div>
        <w:div w:id="1081561645">
          <w:marLeft w:val="1166"/>
          <w:marRight w:val="0"/>
          <w:marTop w:val="86"/>
          <w:marBottom w:val="0"/>
          <w:divBdr>
            <w:top w:val="none" w:sz="0" w:space="0" w:color="auto"/>
            <w:left w:val="none" w:sz="0" w:space="0" w:color="auto"/>
            <w:bottom w:val="none" w:sz="0" w:space="0" w:color="auto"/>
            <w:right w:val="none" w:sz="0" w:space="0" w:color="auto"/>
          </w:divBdr>
        </w:div>
        <w:div w:id="915671517">
          <w:marLeft w:val="547"/>
          <w:marRight w:val="0"/>
          <w:marTop w:val="86"/>
          <w:marBottom w:val="0"/>
          <w:divBdr>
            <w:top w:val="none" w:sz="0" w:space="0" w:color="auto"/>
            <w:left w:val="none" w:sz="0" w:space="0" w:color="auto"/>
            <w:bottom w:val="none" w:sz="0" w:space="0" w:color="auto"/>
            <w:right w:val="none" w:sz="0" w:space="0" w:color="auto"/>
          </w:divBdr>
        </w:div>
        <w:div w:id="1571958890">
          <w:marLeft w:val="1166"/>
          <w:marRight w:val="0"/>
          <w:marTop w:val="86"/>
          <w:marBottom w:val="0"/>
          <w:divBdr>
            <w:top w:val="none" w:sz="0" w:space="0" w:color="auto"/>
            <w:left w:val="none" w:sz="0" w:space="0" w:color="auto"/>
            <w:bottom w:val="none" w:sz="0" w:space="0" w:color="auto"/>
            <w:right w:val="none" w:sz="0" w:space="0" w:color="auto"/>
          </w:divBdr>
        </w:div>
        <w:div w:id="1904676242">
          <w:marLeft w:val="547"/>
          <w:marRight w:val="0"/>
          <w:marTop w:val="86"/>
          <w:marBottom w:val="0"/>
          <w:divBdr>
            <w:top w:val="none" w:sz="0" w:space="0" w:color="auto"/>
            <w:left w:val="none" w:sz="0" w:space="0" w:color="auto"/>
            <w:bottom w:val="none" w:sz="0" w:space="0" w:color="auto"/>
            <w:right w:val="none" w:sz="0" w:space="0" w:color="auto"/>
          </w:divBdr>
        </w:div>
        <w:div w:id="466289158">
          <w:marLeft w:val="547"/>
          <w:marRight w:val="0"/>
          <w:marTop w:val="86"/>
          <w:marBottom w:val="0"/>
          <w:divBdr>
            <w:top w:val="none" w:sz="0" w:space="0" w:color="auto"/>
            <w:left w:val="none" w:sz="0" w:space="0" w:color="auto"/>
            <w:bottom w:val="none" w:sz="0" w:space="0" w:color="auto"/>
            <w:right w:val="none" w:sz="0" w:space="0" w:color="auto"/>
          </w:divBdr>
        </w:div>
        <w:div w:id="458768024">
          <w:marLeft w:val="1166"/>
          <w:marRight w:val="0"/>
          <w:marTop w:val="86"/>
          <w:marBottom w:val="0"/>
          <w:divBdr>
            <w:top w:val="none" w:sz="0" w:space="0" w:color="auto"/>
            <w:left w:val="none" w:sz="0" w:space="0" w:color="auto"/>
            <w:bottom w:val="none" w:sz="0" w:space="0" w:color="auto"/>
            <w:right w:val="none" w:sz="0" w:space="0" w:color="auto"/>
          </w:divBdr>
        </w:div>
        <w:div w:id="1760328806">
          <w:marLeft w:val="547"/>
          <w:marRight w:val="0"/>
          <w:marTop w:val="86"/>
          <w:marBottom w:val="0"/>
          <w:divBdr>
            <w:top w:val="none" w:sz="0" w:space="0" w:color="auto"/>
            <w:left w:val="none" w:sz="0" w:space="0" w:color="auto"/>
            <w:bottom w:val="none" w:sz="0" w:space="0" w:color="auto"/>
            <w:right w:val="none" w:sz="0" w:space="0" w:color="auto"/>
          </w:divBdr>
        </w:div>
        <w:div w:id="257494114">
          <w:marLeft w:val="1166"/>
          <w:marRight w:val="0"/>
          <w:marTop w:val="86"/>
          <w:marBottom w:val="0"/>
          <w:divBdr>
            <w:top w:val="none" w:sz="0" w:space="0" w:color="auto"/>
            <w:left w:val="none" w:sz="0" w:space="0" w:color="auto"/>
            <w:bottom w:val="none" w:sz="0" w:space="0" w:color="auto"/>
            <w:right w:val="none" w:sz="0" w:space="0" w:color="auto"/>
          </w:divBdr>
        </w:div>
      </w:divsChild>
    </w:div>
    <w:div w:id="144399239">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32342350">
      <w:bodyDiv w:val="1"/>
      <w:marLeft w:val="0"/>
      <w:marRight w:val="0"/>
      <w:marTop w:val="0"/>
      <w:marBottom w:val="0"/>
      <w:divBdr>
        <w:top w:val="none" w:sz="0" w:space="0" w:color="auto"/>
        <w:left w:val="none" w:sz="0" w:space="0" w:color="auto"/>
        <w:bottom w:val="none" w:sz="0" w:space="0" w:color="auto"/>
        <w:right w:val="none" w:sz="0" w:space="0" w:color="auto"/>
      </w:divBdr>
      <w:divsChild>
        <w:div w:id="1722170302">
          <w:marLeft w:val="547"/>
          <w:marRight w:val="0"/>
          <w:marTop w:val="86"/>
          <w:marBottom w:val="0"/>
          <w:divBdr>
            <w:top w:val="none" w:sz="0" w:space="0" w:color="auto"/>
            <w:left w:val="none" w:sz="0" w:space="0" w:color="auto"/>
            <w:bottom w:val="none" w:sz="0" w:space="0" w:color="auto"/>
            <w:right w:val="none" w:sz="0" w:space="0" w:color="auto"/>
          </w:divBdr>
        </w:div>
        <w:div w:id="2114933832">
          <w:marLeft w:val="547"/>
          <w:marRight w:val="0"/>
          <w:marTop w:val="86"/>
          <w:marBottom w:val="0"/>
          <w:divBdr>
            <w:top w:val="none" w:sz="0" w:space="0" w:color="auto"/>
            <w:left w:val="none" w:sz="0" w:space="0" w:color="auto"/>
            <w:bottom w:val="none" w:sz="0" w:space="0" w:color="auto"/>
            <w:right w:val="none" w:sz="0" w:space="0" w:color="auto"/>
          </w:divBdr>
        </w:div>
        <w:div w:id="1579170411">
          <w:marLeft w:val="547"/>
          <w:marRight w:val="0"/>
          <w:marTop w:val="86"/>
          <w:marBottom w:val="0"/>
          <w:divBdr>
            <w:top w:val="none" w:sz="0" w:space="0" w:color="auto"/>
            <w:left w:val="none" w:sz="0" w:space="0" w:color="auto"/>
            <w:bottom w:val="none" w:sz="0" w:space="0" w:color="auto"/>
            <w:right w:val="none" w:sz="0" w:space="0" w:color="auto"/>
          </w:divBdr>
        </w:div>
        <w:div w:id="1035623539">
          <w:marLeft w:val="547"/>
          <w:marRight w:val="0"/>
          <w:marTop w:val="86"/>
          <w:marBottom w:val="0"/>
          <w:divBdr>
            <w:top w:val="none" w:sz="0" w:space="0" w:color="auto"/>
            <w:left w:val="none" w:sz="0" w:space="0" w:color="auto"/>
            <w:bottom w:val="none" w:sz="0" w:space="0" w:color="auto"/>
            <w:right w:val="none" w:sz="0" w:space="0" w:color="auto"/>
          </w:divBdr>
        </w:div>
        <w:div w:id="1293319341">
          <w:marLeft w:val="547"/>
          <w:marRight w:val="0"/>
          <w:marTop w:val="86"/>
          <w:marBottom w:val="0"/>
          <w:divBdr>
            <w:top w:val="none" w:sz="0" w:space="0" w:color="auto"/>
            <w:left w:val="none" w:sz="0" w:space="0" w:color="auto"/>
            <w:bottom w:val="none" w:sz="0" w:space="0" w:color="auto"/>
            <w:right w:val="none" w:sz="0" w:space="0" w:color="auto"/>
          </w:divBdr>
        </w:div>
        <w:div w:id="566109930">
          <w:marLeft w:val="1166"/>
          <w:marRight w:val="0"/>
          <w:marTop w:val="86"/>
          <w:marBottom w:val="0"/>
          <w:divBdr>
            <w:top w:val="none" w:sz="0" w:space="0" w:color="auto"/>
            <w:left w:val="none" w:sz="0" w:space="0" w:color="auto"/>
            <w:bottom w:val="none" w:sz="0" w:space="0" w:color="auto"/>
            <w:right w:val="none" w:sz="0" w:space="0" w:color="auto"/>
          </w:divBdr>
        </w:div>
        <w:div w:id="2017610978">
          <w:marLeft w:val="1166"/>
          <w:marRight w:val="0"/>
          <w:marTop w:val="86"/>
          <w:marBottom w:val="0"/>
          <w:divBdr>
            <w:top w:val="none" w:sz="0" w:space="0" w:color="auto"/>
            <w:left w:val="none" w:sz="0" w:space="0" w:color="auto"/>
            <w:bottom w:val="none" w:sz="0" w:space="0" w:color="auto"/>
            <w:right w:val="none" w:sz="0" w:space="0" w:color="auto"/>
          </w:divBdr>
        </w:div>
        <w:div w:id="514922030">
          <w:marLeft w:val="1166"/>
          <w:marRight w:val="0"/>
          <w:marTop w:val="86"/>
          <w:marBottom w:val="0"/>
          <w:divBdr>
            <w:top w:val="none" w:sz="0" w:space="0" w:color="auto"/>
            <w:left w:val="none" w:sz="0" w:space="0" w:color="auto"/>
            <w:bottom w:val="none" w:sz="0" w:space="0" w:color="auto"/>
            <w:right w:val="none" w:sz="0" w:space="0" w:color="auto"/>
          </w:divBdr>
        </w:div>
        <w:div w:id="4402911">
          <w:marLeft w:val="1166"/>
          <w:marRight w:val="0"/>
          <w:marTop w:val="86"/>
          <w:marBottom w:val="0"/>
          <w:divBdr>
            <w:top w:val="none" w:sz="0" w:space="0" w:color="auto"/>
            <w:left w:val="none" w:sz="0" w:space="0" w:color="auto"/>
            <w:bottom w:val="none" w:sz="0" w:space="0" w:color="auto"/>
            <w:right w:val="none" w:sz="0" w:space="0" w:color="auto"/>
          </w:divBdr>
        </w:div>
        <w:div w:id="1200246013">
          <w:marLeft w:val="1166"/>
          <w:marRight w:val="0"/>
          <w:marTop w:val="86"/>
          <w:marBottom w:val="0"/>
          <w:divBdr>
            <w:top w:val="none" w:sz="0" w:space="0" w:color="auto"/>
            <w:left w:val="none" w:sz="0" w:space="0" w:color="auto"/>
            <w:bottom w:val="none" w:sz="0" w:space="0" w:color="auto"/>
            <w:right w:val="none" w:sz="0" w:space="0" w:color="auto"/>
          </w:divBdr>
        </w:div>
        <w:div w:id="320742626">
          <w:marLeft w:val="1166"/>
          <w:marRight w:val="0"/>
          <w:marTop w:val="86"/>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890119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40724612">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51346276">
      <w:bodyDiv w:val="1"/>
      <w:marLeft w:val="0"/>
      <w:marRight w:val="0"/>
      <w:marTop w:val="0"/>
      <w:marBottom w:val="0"/>
      <w:divBdr>
        <w:top w:val="none" w:sz="0" w:space="0" w:color="auto"/>
        <w:left w:val="none" w:sz="0" w:space="0" w:color="auto"/>
        <w:bottom w:val="none" w:sz="0" w:space="0" w:color="auto"/>
        <w:right w:val="none" w:sz="0" w:space="0" w:color="auto"/>
      </w:divBdr>
      <w:divsChild>
        <w:div w:id="1657880040">
          <w:marLeft w:val="547"/>
          <w:marRight w:val="0"/>
          <w:marTop w:val="86"/>
          <w:marBottom w:val="0"/>
          <w:divBdr>
            <w:top w:val="none" w:sz="0" w:space="0" w:color="auto"/>
            <w:left w:val="none" w:sz="0" w:space="0" w:color="auto"/>
            <w:bottom w:val="none" w:sz="0" w:space="0" w:color="auto"/>
            <w:right w:val="none" w:sz="0" w:space="0" w:color="auto"/>
          </w:divBdr>
        </w:div>
        <w:div w:id="2136021247">
          <w:marLeft w:val="547"/>
          <w:marRight w:val="0"/>
          <w:marTop w:val="86"/>
          <w:marBottom w:val="0"/>
          <w:divBdr>
            <w:top w:val="none" w:sz="0" w:space="0" w:color="auto"/>
            <w:left w:val="none" w:sz="0" w:space="0" w:color="auto"/>
            <w:bottom w:val="none" w:sz="0" w:space="0" w:color="auto"/>
            <w:right w:val="none" w:sz="0" w:space="0" w:color="auto"/>
          </w:divBdr>
        </w:div>
        <w:div w:id="1802963416">
          <w:marLeft w:val="547"/>
          <w:marRight w:val="0"/>
          <w:marTop w:val="86"/>
          <w:marBottom w:val="0"/>
          <w:divBdr>
            <w:top w:val="none" w:sz="0" w:space="0" w:color="auto"/>
            <w:left w:val="none" w:sz="0" w:space="0" w:color="auto"/>
            <w:bottom w:val="none" w:sz="0" w:space="0" w:color="auto"/>
            <w:right w:val="none" w:sz="0" w:space="0" w:color="auto"/>
          </w:divBdr>
        </w:div>
      </w:divsChild>
    </w:div>
    <w:div w:id="1305352408">
      <w:bodyDiv w:val="1"/>
      <w:marLeft w:val="0"/>
      <w:marRight w:val="0"/>
      <w:marTop w:val="0"/>
      <w:marBottom w:val="0"/>
      <w:divBdr>
        <w:top w:val="none" w:sz="0" w:space="0" w:color="auto"/>
        <w:left w:val="none" w:sz="0" w:space="0" w:color="auto"/>
        <w:bottom w:val="none" w:sz="0" w:space="0" w:color="auto"/>
        <w:right w:val="none" w:sz="0" w:space="0" w:color="auto"/>
      </w:divBdr>
      <w:divsChild>
        <w:div w:id="1899389577">
          <w:marLeft w:val="1166"/>
          <w:marRight w:val="0"/>
          <w:marTop w:val="86"/>
          <w:marBottom w:val="0"/>
          <w:divBdr>
            <w:top w:val="none" w:sz="0" w:space="0" w:color="auto"/>
            <w:left w:val="none" w:sz="0" w:space="0" w:color="auto"/>
            <w:bottom w:val="none" w:sz="0" w:space="0" w:color="auto"/>
            <w:right w:val="none" w:sz="0" w:space="0" w:color="auto"/>
          </w:divBdr>
        </w:div>
      </w:divsChild>
    </w:div>
    <w:div w:id="1453742432">
      <w:bodyDiv w:val="1"/>
      <w:marLeft w:val="0"/>
      <w:marRight w:val="0"/>
      <w:marTop w:val="0"/>
      <w:marBottom w:val="0"/>
      <w:divBdr>
        <w:top w:val="none" w:sz="0" w:space="0" w:color="auto"/>
        <w:left w:val="none" w:sz="0" w:space="0" w:color="auto"/>
        <w:bottom w:val="none" w:sz="0" w:space="0" w:color="auto"/>
        <w:right w:val="none" w:sz="0" w:space="0" w:color="auto"/>
      </w:divBdr>
    </w:div>
    <w:div w:id="1473788643">
      <w:bodyDiv w:val="1"/>
      <w:marLeft w:val="0"/>
      <w:marRight w:val="0"/>
      <w:marTop w:val="0"/>
      <w:marBottom w:val="0"/>
      <w:divBdr>
        <w:top w:val="none" w:sz="0" w:space="0" w:color="auto"/>
        <w:left w:val="none" w:sz="0" w:space="0" w:color="auto"/>
        <w:bottom w:val="none" w:sz="0" w:space="0" w:color="auto"/>
        <w:right w:val="none" w:sz="0" w:space="0" w:color="auto"/>
      </w:divBdr>
    </w:div>
    <w:div w:id="1497695045">
      <w:bodyDiv w:val="1"/>
      <w:marLeft w:val="0"/>
      <w:marRight w:val="0"/>
      <w:marTop w:val="0"/>
      <w:marBottom w:val="0"/>
      <w:divBdr>
        <w:top w:val="none" w:sz="0" w:space="0" w:color="auto"/>
        <w:left w:val="none" w:sz="0" w:space="0" w:color="auto"/>
        <w:bottom w:val="none" w:sz="0" w:space="0" w:color="auto"/>
        <w:right w:val="none" w:sz="0" w:space="0" w:color="auto"/>
      </w:divBdr>
    </w:div>
    <w:div w:id="1512447194">
      <w:bodyDiv w:val="1"/>
      <w:marLeft w:val="0"/>
      <w:marRight w:val="0"/>
      <w:marTop w:val="0"/>
      <w:marBottom w:val="0"/>
      <w:divBdr>
        <w:top w:val="none" w:sz="0" w:space="0" w:color="auto"/>
        <w:left w:val="none" w:sz="0" w:space="0" w:color="auto"/>
        <w:bottom w:val="none" w:sz="0" w:space="0" w:color="auto"/>
        <w:right w:val="none" w:sz="0" w:space="0" w:color="auto"/>
      </w:divBdr>
      <w:divsChild>
        <w:div w:id="1286353285">
          <w:marLeft w:val="547"/>
          <w:marRight w:val="0"/>
          <w:marTop w:val="86"/>
          <w:marBottom w:val="0"/>
          <w:divBdr>
            <w:top w:val="none" w:sz="0" w:space="0" w:color="auto"/>
            <w:left w:val="none" w:sz="0" w:space="0" w:color="auto"/>
            <w:bottom w:val="none" w:sz="0" w:space="0" w:color="auto"/>
            <w:right w:val="none" w:sz="0" w:space="0" w:color="auto"/>
          </w:divBdr>
        </w:div>
        <w:div w:id="1582367869">
          <w:marLeft w:val="547"/>
          <w:marRight w:val="0"/>
          <w:marTop w:val="86"/>
          <w:marBottom w:val="0"/>
          <w:divBdr>
            <w:top w:val="none" w:sz="0" w:space="0" w:color="auto"/>
            <w:left w:val="none" w:sz="0" w:space="0" w:color="auto"/>
            <w:bottom w:val="none" w:sz="0" w:space="0" w:color="auto"/>
            <w:right w:val="none" w:sz="0" w:space="0" w:color="auto"/>
          </w:divBdr>
        </w:div>
        <w:div w:id="1263490039">
          <w:marLeft w:val="547"/>
          <w:marRight w:val="0"/>
          <w:marTop w:val="86"/>
          <w:marBottom w:val="0"/>
          <w:divBdr>
            <w:top w:val="none" w:sz="0" w:space="0" w:color="auto"/>
            <w:left w:val="none" w:sz="0" w:space="0" w:color="auto"/>
            <w:bottom w:val="none" w:sz="0" w:space="0" w:color="auto"/>
            <w:right w:val="none" w:sz="0" w:space="0" w:color="auto"/>
          </w:divBdr>
        </w:div>
        <w:div w:id="1484396233">
          <w:marLeft w:val="547"/>
          <w:marRight w:val="0"/>
          <w:marTop w:val="86"/>
          <w:marBottom w:val="0"/>
          <w:divBdr>
            <w:top w:val="none" w:sz="0" w:space="0" w:color="auto"/>
            <w:left w:val="none" w:sz="0" w:space="0" w:color="auto"/>
            <w:bottom w:val="none" w:sz="0" w:space="0" w:color="auto"/>
            <w:right w:val="none" w:sz="0" w:space="0" w:color="auto"/>
          </w:divBdr>
        </w:div>
        <w:div w:id="989744963">
          <w:marLeft w:val="547"/>
          <w:marRight w:val="0"/>
          <w:marTop w:val="86"/>
          <w:marBottom w:val="0"/>
          <w:divBdr>
            <w:top w:val="none" w:sz="0" w:space="0" w:color="auto"/>
            <w:left w:val="none" w:sz="0" w:space="0" w:color="auto"/>
            <w:bottom w:val="none" w:sz="0" w:space="0" w:color="auto"/>
            <w:right w:val="none" w:sz="0" w:space="0" w:color="auto"/>
          </w:divBdr>
        </w:div>
        <w:div w:id="1651059550">
          <w:marLeft w:val="547"/>
          <w:marRight w:val="0"/>
          <w:marTop w:val="86"/>
          <w:marBottom w:val="0"/>
          <w:divBdr>
            <w:top w:val="none" w:sz="0" w:space="0" w:color="auto"/>
            <w:left w:val="none" w:sz="0" w:space="0" w:color="auto"/>
            <w:bottom w:val="none" w:sz="0" w:space="0" w:color="auto"/>
            <w:right w:val="none" w:sz="0" w:space="0" w:color="auto"/>
          </w:divBdr>
        </w:div>
        <w:div w:id="1389064540">
          <w:marLeft w:val="547"/>
          <w:marRight w:val="0"/>
          <w:marTop w:val="86"/>
          <w:marBottom w:val="0"/>
          <w:divBdr>
            <w:top w:val="none" w:sz="0" w:space="0" w:color="auto"/>
            <w:left w:val="none" w:sz="0" w:space="0" w:color="auto"/>
            <w:bottom w:val="none" w:sz="0" w:space="0" w:color="auto"/>
            <w:right w:val="none" w:sz="0" w:space="0" w:color="auto"/>
          </w:divBdr>
        </w:div>
        <w:div w:id="1959676818">
          <w:marLeft w:val="547"/>
          <w:marRight w:val="0"/>
          <w:marTop w:val="86"/>
          <w:marBottom w:val="0"/>
          <w:divBdr>
            <w:top w:val="none" w:sz="0" w:space="0" w:color="auto"/>
            <w:left w:val="none" w:sz="0" w:space="0" w:color="auto"/>
            <w:bottom w:val="none" w:sz="0" w:space="0" w:color="auto"/>
            <w:right w:val="none" w:sz="0" w:space="0" w:color="auto"/>
          </w:divBdr>
        </w:div>
        <w:div w:id="1013073952">
          <w:marLeft w:val="547"/>
          <w:marRight w:val="0"/>
          <w:marTop w:val="86"/>
          <w:marBottom w:val="0"/>
          <w:divBdr>
            <w:top w:val="none" w:sz="0" w:space="0" w:color="auto"/>
            <w:left w:val="none" w:sz="0" w:space="0" w:color="auto"/>
            <w:bottom w:val="none" w:sz="0" w:space="0" w:color="auto"/>
            <w:right w:val="none" w:sz="0" w:space="0" w:color="auto"/>
          </w:divBdr>
        </w:div>
        <w:div w:id="138499485">
          <w:marLeft w:val="547"/>
          <w:marRight w:val="0"/>
          <w:marTop w:val="86"/>
          <w:marBottom w:val="0"/>
          <w:divBdr>
            <w:top w:val="none" w:sz="0" w:space="0" w:color="auto"/>
            <w:left w:val="none" w:sz="0" w:space="0" w:color="auto"/>
            <w:bottom w:val="none" w:sz="0" w:space="0" w:color="auto"/>
            <w:right w:val="none" w:sz="0" w:space="0" w:color="auto"/>
          </w:divBdr>
        </w:div>
        <w:div w:id="2010406267">
          <w:marLeft w:val="547"/>
          <w:marRight w:val="0"/>
          <w:marTop w:val="86"/>
          <w:marBottom w:val="0"/>
          <w:divBdr>
            <w:top w:val="none" w:sz="0" w:space="0" w:color="auto"/>
            <w:left w:val="none" w:sz="0" w:space="0" w:color="auto"/>
            <w:bottom w:val="none" w:sz="0" w:space="0" w:color="auto"/>
            <w:right w:val="none" w:sz="0" w:space="0" w:color="auto"/>
          </w:divBdr>
        </w:div>
      </w:divsChild>
    </w:div>
    <w:div w:id="159548175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18129768">
      <w:bodyDiv w:val="1"/>
      <w:marLeft w:val="0"/>
      <w:marRight w:val="0"/>
      <w:marTop w:val="0"/>
      <w:marBottom w:val="0"/>
      <w:divBdr>
        <w:top w:val="none" w:sz="0" w:space="0" w:color="auto"/>
        <w:left w:val="none" w:sz="0" w:space="0" w:color="auto"/>
        <w:bottom w:val="none" w:sz="0" w:space="0" w:color="auto"/>
        <w:right w:val="none" w:sz="0" w:space="0" w:color="auto"/>
      </w:divBdr>
      <w:divsChild>
        <w:div w:id="593631548">
          <w:marLeft w:val="547"/>
          <w:marRight w:val="0"/>
          <w:marTop w:val="86"/>
          <w:marBottom w:val="0"/>
          <w:divBdr>
            <w:top w:val="none" w:sz="0" w:space="0" w:color="auto"/>
            <w:left w:val="none" w:sz="0" w:space="0" w:color="auto"/>
            <w:bottom w:val="none" w:sz="0" w:space="0" w:color="auto"/>
            <w:right w:val="none" w:sz="0" w:space="0" w:color="auto"/>
          </w:divBdr>
        </w:div>
        <w:div w:id="582181179">
          <w:marLeft w:val="547"/>
          <w:marRight w:val="0"/>
          <w:marTop w:val="86"/>
          <w:marBottom w:val="0"/>
          <w:divBdr>
            <w:top w:val="none" w:sz="0" w:space="0" w:color="auto"/>
            <w:left w:val="none" w:sz="0" w:space="0" w:color="auto"/>
            <w:bottom w:val="none" w:sz="0" w:space="0" w:color="auto"/>
            <w:right w:val="none" w:sz="0" w:space="0" w:color="auto"/>
          </w:divBdr>
        </w:div>
        <w:div w:id="778529476">
          <w:marLeft w:val="547"/>
          <w:marRight w:val="0"/>
          <w:marTop w:val="86"/>
          <w:marBottom w:val="0"/>
          <w:divBdr>
            <w:top w:val="none" w:sz="0" w:space="0" w:color="auto"/>
            <w:left w:val="none" w:sz="0" w:space="0" w:color="auto"/>
            <w:bottom w:val="none" w:sz="0" w:space="0" w:color="auto"/>
            <w:right w:val="none" w:sz="0" w:space="0" w:color="auto"/>
          </w:divBdr>
        </w:div>
        <w:div w:id="2123569806">
          <w:marLeft w:val="547"/>
          <w:marRight w:val="0"/>
          <w:marTop w:val="86"/>
          <w:marBottom w:val="0"/>
          <w:divBdr>
            <w:top w:val="none" w:sz="0" w:space="0" w:color="auto"/>
            <w:left w:val="none" w:sz="0" w:space="0" w:color="auto"/>
            <w:bottom w:val="none" w:sz="0" w:space="0" w:color="auto"/>
            <w:right w:val="none" w:sz="0" w:space="0" w:color="auto"/>
          </w:divBdr>
        </w:div>
        <w:div w:id="1495534488">
          <w:marLeft w:val="547"/>
          <w:marRight w:val="0"/>
          <w:marTop w:val="86"/>
          <w:marBottom w:val="0"/>
          <w:divBdr>
            <w:top w:val="none" w:sz="0" w:space="0" w:color="auto"/>
            <w:left w:val="none" w:sz="0" w:space="0" w:color="auto"/>
            <w:bottom w:val="none" w:sz="0" w:space="0" w:color="auto"/>
            <w:right w:val="none" w:sz="0" w:space="0" w:color="auto"/>
          </w:divBdr>
        </w:div>
        <w:div w:id="1367945748">
          <w:marLeft w:val="1166"/>
          <w:marRight w:val="0"/>
          <w:marTop w:val="86"/>
          <w:marBottom w:val="0"/>
          <w:divBdr>
            <w:top w:val="none" w:sz="0" w:space="0" w:color="auto"/>
            <w:left w:val="none" w:sz="0" w:space="0" w:color="auto"/>
            <w:bottom w:val="none" w:sz="0" w:space="0" w:color="auto"/>
            <w:right w:val="none" w:sz="0" w:space="0" w:color="auto"/>
          </w:divBdr>
        </w:div>
        <w:div w:id="908465876">
          <w:marLeft w:val="1166"/>
          <w:marRight w:val="0"/>
          <w:marTop w:val="86"/>
          <w:marBottom w:val="0"/>
          <w:divBdr>
            <w:top w:val="none" w:sz="0" w:space="0" w:color="auto"/>
            <w:left w:val="none" w:sz="0" w:space="0" w:color="auto"/>
            <w:bottom w:val="none" w:sz="0" w:space="0" w:color="auto"/>
            <w:right w:val="none" w:sz="0" w:space="0" w:color="auto"/>
          </w:divBdr>
        </w:div>
        <w:div w:id="1461994051">
          <w:marLeft w:val="1166"/>
          <w:marRight w:val="0"/>
          <w:marTop w:val="86"/>
          <w:marBottom w:val="0"/>
          <w:divBdr>
            <w:top w:val="none" w:sz="0" w:space="0" w:color="auto"/>
            <w:left w:val="none" w:sz="0" w:space="0" w:color="auto"/>
            <w:bottom w:val="none" w:sz="0" w:space="0" w:color="auto"/>
            <w:right w:val="none" w:sz="0" w:space="0" w:color="auto"/>
          </w:divBdr>
        </w:div>
        <w:div w:id="392773298">
          <w:marLeft w:val="1166"/>
          <w:marRight w:val="0"/>
          <w:marTop w:val="86"/>
          <w:marBottom w:val="0"/>
          <w:divBdr>
            <w:top w:val="none" w:sz="0" w:space="0" w:color="auto"/>
            <w:left w:val="none" w:sz="0" w:space="0" w:color="auto"/>
            <w:bottom w:val="none" w:sz="0" w:space="0" w:color="auto"/>
            <w:right w:val="none" w:sz="0" w:space="0" w:color="auto"/>
          </w:divBdr>
        </w:div>
        <w:div w:id="1148668275">
          <w:marLeft w:val="1166"/>
          <w:marRight w:val="0"/>
          <w:marTop w:val="86"/>
          <w:marBottom w:val="0"/>
          <w:divBdr>
            <w:top w:val="none" w:sz="0" w:space="0" w:color="auto"/>
            <w:left w:val="none" w:sz="0" w:space="0" w:color="auto"/>
            <w:bottom w:val="none" w:sz="0" w:space="0" w:color="auto"/>
            <w:right w:val="none" w:sz="0" w:space="0" w:color="auto"/>
          </w:divBdr>
        </w:div>
        <w:div w:id="1764255380">
          <w:marLeft w:val="1166"/>
          <w:marRight w:val="0"/>
          <w:marTop w:val="86"/>
          <w:marBottom w:val="0"/>
          <w:divBdr>
            <w:top w:val="none" w:sz="0" w:space="0" w:color="auto"/>
            <w:left w:val="none" w:sz="0" w:space="0" w:color="auto"/>
            <w:bottom w:val="none" w:sz="0" w:space="0" w:color="auto"/>
            <w:right w:val="none" w:sz="0" w:space="0" w:color="auto"/>
          </w:divBdr>
        </w:div>
      </w:divsChild>
    </w:div>
    <w:div w:id="1933395381">
      <w:bodyDiv w:val="1"/>
      <w:marLeft w:val="0"/>
      <w:marRight w:val="0"/>
      <w:marTop w:val="0"/>
      <w:marBottom w:val="0"/>
      <w:divBdr>
        <w:top w:val="none" w:sz="0" w:space="0" w:color="auto"/>
        <w:left w:val="none" w:sz="0" w:space="0" w:color="auto"/>
        <w:bottom w:val="none" w:sz="0" w:space="0" w:color="auto"/>
        <w:right w:val="none" w:sz="0" w:space="0" w:color="auto"/>
      </w:divBdr>
    </w:div>
    <w:div w:id="2073196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e_Lage_2020-11-11.pptx" TargetMode="External"/><Relationship Id="rId13" Type="http://schemas.openxmlformats.org/officeDocument/2006/relationships/hyperlink" Target="SARS-CoV-2%20in%20ARS_20201111_Krisenstabssitzung.pptx" TargetMode="Externa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syndrom-ARE-SARI-COVID_bis_KW45_2020_f&#252;r-Krisenstab.pptx" TargetMode="External"/><Relationship Id="rId17" Type="http://schemas.openxmlformats.org/officeDocument/2006/relationships/header" Target="header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Aktualisierung_Risikobewertung_2020-11-09.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Lage-National_2020_11_11_draft.pptx"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2020-11-11_Krisenstab_Testzahlerfassung.pptx" TargetMode="External"/><Relationship Id="rId23" Type="http://schemas.openxmlformats.org/officeDocument/2006/relationships/fontTable" Target="fontTable.xml"/><Relationship Id="rId10" Type="http://schemas.openxmlformats.org/officeDocument/2006/relationships/hyperlink" Target="https://www.deutschlandfunk.de/newsblog-zum-coronavirus-13-363-neuinfektionen-in.2852.de.html?dram:article_id=472514"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nature.com/articles/d41586-020-03166-8" TargetMode="External"/><Relationship Id="rId14" Type="http://schemas.openxmlformats.org/officeDocument/2006/relationships/comments" Target="comments.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CA7E7-92BB-401F-ABE4-C9761D51B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2430</Words>
  <Characters>15315</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203</cp:revision>
  <cp:lastPrinted>2020-05-06T16:43:00Z</cp:lastPrinted>
  <dcterms:created xsi:type="dcterms:W3CDTF">2020-11-06T12:11:00Z</dcterms:created>
  <dcterms:modified xsi:type="dcterms:W3CDTF">2021-05-06T13:36:00Z</dcterms:modified>
</cp:coreProperties>
</file>