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spacing w:before="120"/>
      </w:pPr>
      <w:r>
        <w:t>Krisenstab-Sitzung „</w:t>
      </w:r>
      <w:r>
        <w:rPr>
          <w:highlight w:val="lightGray"/>
        </w:rPr>
        <w:t>Neuartiges Coronavirus (COVID-19)</w:t>
      </w:r>
      <w:r>
        <w:t>“</w:t>
      </w:r>
    </w:p>
    <w:p>
      <w:r>
        <w:t>Ergebnisprotokoll</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Lage:</w:t>
      </w:r>
      <w:r>
        <w:rPr>
          <w:b/>
          <w:sz w:val="22"/>
        </w:rPr>
        <w:tab/>
      </w:r>
      <w:r>
        <w:rPr>
          <w:b/>
          <w:sz w:val="22"/>
        </w:rPr>
        <w:tab/>
      </w:r>
      <w:r>
        <w:rPr>
          <w:sz w:val="22"/>
        </w:rPr>
        <w:t xml:space="preserve"> </w:t>
      </w:r>
      <w:r>
        <w:rPr>
          <w:sz w:val="22"/>
        </w:rPr>
        <w:tab/>
      </w:r>
      <w:sdt>
        <w:sdtPr>
          <w:rPr>
            <w:sz w:val="22"/>
          </w:rPr>
          <w:id w:val="334350100"/>
          <w:placeholder>
            <w:docPart w:val="DefaultPlaceholder_1082065158"/>
          </w:placeholder>
        </w:sdtPr>
        <w:sdtContent>
          <w:r>
            <w:rPr>
              <w:sz w:val="22"/>
            </w:rPr>
            <w:t>Neuartiges Coronavirus (COVID-19)</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Datum, Uhrzeit:</w:t>
      </w:r>
      <w:r>
        <w:rPr>
          <w:sz w:val="22"/>
        </w:rPr>
        <w:t xml:space="preserve"> </w:t>
      </w:r>
      <w:r>
        <w:rPr>
          <w:sz w:val="22"/>
        </w:rPr>
        <w:tab/>
      </w:r>
      <w:sdt>
        <w:sdtPr>
          <w:rPr>
            <w:sz w:val="22"/>
          </w:rPr>
          <w:id w:val="2096439265"/>
          <w:placeholder>
            <w:docPart w:val="DefaultPlaceholder_1082065158"/>
          </w:placeholder>
        </w:sdtPr>
        <w:sdtContent>
          <w:r>
            <w:rPr>
              <w:sz w:val="22"/>
            </w:rPr>
            <w:t>18.11.2020,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b/>
          <w:sz w:val="22"/>
        </w:rPr>
      </w:pPr>
    </w:p>
    <w:p>
      <w:pPr>
        <w:pBdr>
          <w:top w:val="single" w:sz="6" w:space="1" w:color="auto"/>
          <w:left w:val="single" w:sz="6" w:space="4" w:color="auto"/>
          <w:bottom w:val="single" w:sz="6" w:space="1" w:color="auto"/>
          <w:right w:val="single" w:sz="6" w:space="4" w:color="auto"/>
        </w:pBdr>
        <w:shd w:val="solid" w:color="D9D9D9" w:themeColor="background1" w:themeShade="D9" w:fill="auto"/>
        <w:spacing w:after="60"/>
        <w:rPr>
          <w:sz w:val="22"/>
        </w:rPr>
      </w:pPr>
      <w:r>
        <w:rPr>
          <w:b/>
          <w:sz w:val="22"/>
        </w:rPr>
        <w:t>Sitzungsort:</w:t>
      </w:r>
      <w:r>
        <w:rPr>
          <w:b/>
          <w:sz w:val="22"/>
        </w:rPr>
        <w:tab/>
        <w:t xml:space="preserve"> </w:t>
      </w:r>
      <w:r>
        <w:rPr>
          <w:b/>
          <w:sz w:val="22"/>
        </w:rPr>
        <w:tab/>
      </w:r>
      <w:sdt>
        <w:sdtPr>
          <w:rPr>
            <w:b/>
            <w:sz w:val="22"/>
          </w:rPr>
          <w:id w:val="1811592494"/>
          <w:placeholder>
            <w:docPart w:val="DefaultPlaceholder_1082065158"/>
          </w:placeholder>
        </w:sdtPr>
        <w:sdtContent>
          <w:r>
            <w:rPr>
              <w:b/>
              <w:sz w:val="22"/>
            </w:rPr>
            <w:t xml:space="preserve">RKI, </w:t>
          </w:r>
          <w:r>
            <w:rPr>
              <w:sz w:val="22"/>
              <w:szCs w:val="22"/>
            </w:rPr>
            <w:t>Virtueller Konferenzraum WebEx</w:t>
          </w:r>
        </w:sdtContent>
      </w:sdt>
    </w:p>
    <w:p>
      <w:pPr>
        <w:rPr>
          <w:b/>
          <w:sz w:val="22"/>
        </w:rPr>
      </w:pPr>
    </w:p>
    <w:p>
      <w:pPr>
        <w:rPr>
          <w:b/>
          <w:sz w:val="22"/>
          <w:highlight w:val="yellow"/>
        </w:rPr>
      </w:pPr>
      <w:r>
        <w:rPr>
          <w:b/>
          <w:sz w:val="22"/>
        </w:rPr>
        <w:t xml:space="preserve">Moderation: Lars </w:t>
      </w:r>
      <w:proofErr w:type="spellStart"/>
      <w:r>
        <w:rPr>
          <w:b/>
          <w:sz w:val="22"/>
        </w:rPr>
        <w:t>Schaade</w:t>
      </w:r>
      <w:proofErr w:type="spellEnd"/>
    </w:p>
    <w:p>
      <w:pPr>
        <w:spacing w:after="0"/>
        <w:rPr>
          <w:b/>
          <w:sz w:val="22"/>
        </w:rPr>
      </w:pPr>
      <w:r>
        <w:rPr>
          <w:b/>
          <w:sz w:val="22"/>
        </w:rPr>
        <w:t xml:space="preserve">Teilnehmende: </w:t>
      </w:r>
    </w:p>
    <w:p>
      <w:pPr>
        <w:spacing w:after="0"/>
        <w:rPr>
          <w:sz w:val="22"/>
        </w:rPr>
      </w:pPr>
    </w:p>
    <w:p>
      <w:pPr>
        <w:pStyle w:val="Listenabsatz"/>
        <w:numPr>
          <w:ilvl w:val="0"/>
          <w:numId w:val="18"/>
        </w:numPr>
        <w:spacing w:after="0"/>
        <w:contextualSpacing w:val="0"/>
        <w:rPr>
          <w:sz w:val="22"/>
        </w:rPr>
      </w:pPr>
      <w:r>
        <w:rPr>
          <w:sz w:val="22"/>
        </w:rPr>
        <w:t>Institutsleitung</w:t>
      </w:r>
    </w:p>
    <w:p>
      <w:pPr>
        <w:pStyle w:val="Listenabsatz"/>
        <w:numPr>
          <w:ilvl w:val="1"/>
          <w:numId w:val="18"/>
        </w:numPr>
        <w:spacing w:after="0"/>
        <w:contextualSpacing w:val="0"/>
        <w:rPr>
          <w:sz w:val="22"/>
        </w:rPr>
      </w:pPr>
      <w:r>
        <w:rPr>
          <w:sz w:val="22"/>
        </w:rPr>
        <w:t xml:space="preserve">Lothar </w:t>
      </w:r>
      <w:proofErr w:type="spellStart"/>
      <w:r>
        <w:rPr>
          <w:sz w:val="22"/>
        </w:rPr>
        <w:t>Wieler</w:t>
      </w:r>
      <w:proofErr w:type="spellEnd"/>
    </w:p>
    <w:p>
      <w:pPr>
        <w:pStyle w:val="Listenabsatz"/>
        <w:numPr>
          <w:ilvl w:val="1"/>
          <w:numId w:val="17"/>
        </w:numPr>
        <w:spacing w:after="0"/>
        <w:contextualSpacing w:val="0"/>
        <w:rPr>
          <w:sz w:val="22"/>
        </w:rPr>
      </w:pPr>
      <w:r>
        <w:rPr>
          <w:sz w:val="22"/>
        </w:rPr>
        <w:t xml:space="preserve">Lars </w:t>
      </w:r>
      <w:proofErr w:type="spellStart"/>
      <w:r>
        <w:rPr>
          <w:sz w:val="22"/>
        </w:rPr>
        <w:t>Schaade</w:t>
      </w:r>
      <w:proofErr w:type="spellEnd"/>
    </w:p>
    <w:p>
      <w:pPr>
        <w:pStyle w:val="Listenabsatz"/>
        <w:numPr>
          <w:ilvl w:val="0"/>
          <w:numId w:val="17"/>
        </w:numPr>
        <w:spacing w:after="0"/>
        <w:contextualSpacing w:val="0"/>
        <w:rPr>
          <w:sz w:val="22"/>
        </w:rPr>
      </w:pPr>
      <w:r>
        <w:rPr>
          <w:sz w:val="22"/>
        </w:rPr>
        <w:t>Abt. 1 Leitung</w:t>
      </w:r>
    </w:p>
    <w:p>
      <w:pPr>
        <w:pStyle w:val="Listenabsatz"/>
        <w:numPr>
          <w:ilvl w:val="1"/>
          <w:numId w:val="17"/>
        </w:numPr>
        <w:spacing w:after="0"/>
        <w:contextualSpacing w:val="0"/>
        <w:rPr>
          <w:sz w:val="22"/>
        </w:rPr>
      </w:pPr>
      <w:r>
        <w:rPr>
          <w:sz w:val="22"/>
        </w:rPr>
        <w:t>Martin Mielke</w:t>
      </w:r>
    </w:p>
    <w:p>
      <w:pPr>
        <w:pStyle w:val="Listenabsatz"/>
        <w:numPr>
          <w:ilvl w:val="0"/>
          <w:numId w:val="20"/>
        </w:numPr>
        <w:spacing w:after="0" w:line="233" w:lineRule="auto"/>
        <w:rPr>
          <w:sz w:val="22"/>
        </w:rPr>
      </w:pPr>
      <w:r>
        <w:rPr>
          <w:sz w:val="22"/>
        </w:rPr>
        <w:t>Abt. 3</w:t>
      </w:r>
    </w:p>
    <w:p>
      <w:pPr>
        <w:pStyle w:val="Listenabsatz"/>
        <w:numPr>
          <w:ilvl w:val="0"/>
          <w:numId w:val="21"/>
        </w:numPr>
        <w:spacing w:after="0" w:line="233" w:lineRule="auto"/>
        <w:rPr>
          <w:sz w:val="22"/>
        </w:rPr>
      </w:pPr>
      <w:proofErr w:type="spellStart"/>
      <w:r>
        <w:rPr>
          <w:sz w:val="22"/>
        </w:rPr>
        <w:t>Osamaha</w:t>
      </w:r>
      <w:proofErr w:type="spellEnd"/>
      <w:r>
        <w:rPr>
          <w:sz w:val="22"/>
        </w:rPr>
        <w:t xml:space="preserve"> </w:t>
      </w:r>
      <w:proofErr w:type="spellStart"/>
      <w:r>
        <w:rPr>
          <w:sz w:val="22"/>
        </w:rPr>
        <w:t>Hamouda</w:t>
      </w:r>
      <w:proofErr w:type="spellEnd"/>
    </w:p>
    <w:p>
      <w:pPr>
        <w:pStyle w:val="Listenabsatz"/>
        <w:numPr>
          <w:ilvl w:val="0"/>
          <w:numId w:val="21"/>
        </w:numPr>
        <w:spacing w:after="0" w:line="233" w:lineRule="auto"/>
        <w:rPr>
          <w:sz w:val="22"/>
        </w:rPr>
      </w:pPr>
      <w:r>
        <w:rPr>
          <w:sz w:val="22"/>
        </w:rPr>
        <w:t>Tanja Jung-</w:t>
      </w:r>
      <w:proofErr w:type="spellStart"/>
      <w:r>
        <w:rPr>
          <w:sz w:val="22"/>
        </w:rPr>
        <w:t>Sendzik</w:t>
      </w:r>
      <w:proofErr w:type="spellEnd"/>
    </w:p>
    <w:p>
      <w:pPr>
        <w:pStyle w:val="Listenabsatz"/>
        <w:numPr>
          <w:ilvl w:val="0"/>
          <w:numId w:val="17"/>
        </w:numPr>
        <w:spacing w:after="0" w:line="233" w:lineRule="auto"/>
        <w:ind w:hanging="357"/>
        <w:contextualSpacing w:val="0"/>
        <w:rPr>
          <w:sz w:val="22"/>
        </w:rPr>
      </w:pPr>
      <w:r>
        <w:rPr>
          <w:sz w:val="22"/>
        </w:rPr>
        <w:t>ZIG</w:t>
      </w:r>
    </w:p>
    <w:p>
      <w:pPr>
        <w:pStyle w:val="Listenabsatz"/>
        <w:numPr>
          <w:ilvl w:val="1"/>
          <w:numId w:val="17"/>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1"/>
          <w:numId w:val="17"/>
        </w:numPr>
        <w:spacing w:after="0" w:line="233" w:lineRule="auto"/>
        <w:contextualSpacing w:val="0"/>
        <w:rPr>
          <w:sz w:val="22"/>
        </w:rPr>
      </w:pPr>
      <w:r>
        <w:rPr>
          <w:sz w:val="22"/>
        </w:rPr>
        <w:t>Regina Singer</w:t>
      </w:r>
    </w:p>
    <w:p>
      <w:pPr>
        <w:pStyle w:val="Listenabsatz"/>
        <w:numPr>
          <w:ilvl w:val="0"/>
          <w:numId w:val="17"/>
        </w:numPr>
        <w:spacing w:after="0"/>
        <w:contextualSpacing w:val="0"/>
        <w:rPr>
          <w:sz w:val="22"/>
        </w:rPr>
      </w:pPr>
      <w:r>
        <w:rPr>
          <w:sz w:val="22"/>
        </w:rPr>
        <w:t>FG12</w:t>
      </w:r>
    </w:p>
    <w:p>
      <w:pPr>
        <w:pStyle w:val="Listenabsatz"/>
        <w:numPr>
          <w:ilvl w:val="1"/>
          <w:numId w:val="17"/>
        </w:numPr>
        <w:spacing w:after="0" w:line="233" w:lineRule="auto"/>
        <w:contextualSpacing w:val="0"/>
        <w:rPr>
          <w:sz w:val="22"/>
        </w:rPr>
      </w:pPr>
      <w:r>
        <w:rPr>
          <w:sz w:val="22"/>
        </w:rPr>
        <w:t xml:space="preserve">Annette </w:t>
      </w:r>
      <w:proofErr w:type="spellStart"/>
      <w:r>
        <w:rPr>
          <w:sz w:val="22"/>
        </w:rPr>
        <w:t>Mankertz</w:t>
      </w:r>
      <w:proofErr w:type="spellEnd"/>
    </w:p>
    <w:p>
      <w:pPr>
        <w:pStyle w:val="Listenabsatz"/>
        <w:numPr>
          <w:ilvl w:val="0"/>
          <w:numId w:val="18"/>
        </w:numPr>
        <w:spacing w:after="0"/>
        <w:contextualSpacing w:val="0"/>
        <w:rPr>
          <w:sz w:val="22"/>
        </w:rPr>
      </w:pPr>
      <w:r>
        <w:rPr>
          <w:sz w:val="22"/>
        </w:rPr>
        <w:t>FG14</w:t>
      </w:r>
    </w:p>
    <w:p>
      <w:pPr>
        <w:pStyle w:val="Listenabsatz"/>
        <w:numPr>
          <w:ilvl w:val="1"/>
          <w:numId w:val="17"/>
        </w:numPr>
        <w:spacing w:after="0"/>
        <w:contextualSpacing w:val="0"/>
        <w:rPr>
          <w:sz w:val="22"/>
        </w:rPr>
      </w:pPr>
      <w:r>
        <w:rPr>
          <w:sz w:val="22"/>
        </w:rPr>
        <w:t>Melanie Brunke</w:t>
      </w:r>
    </w:p>
    <w:p>
      <w:pPr>
        <w:pStyle w:val="Listenabsatz"/>
        <w:numPr>
          <w:ilvl w:val="0"/>
          <w:numId w:val="18"/>
        </w:numPr>
        <w:spacing w:after="0"/>
        <w:contextualSpacing w:val="0"/>
        <w:rPr>
          <w:sz w:val="22"/>
        </w:rPr>
      </w:pPr>
      <w:r>
        <w:rPr>
          <w:sz w:val="22"/>
        </w:rPr>
        <w:t>FG17</w:t>
      </w:r>
    </w:p>
    <w:p>
      <w:pPr>
        <w:pStyle w:val="Listenabsatz"/>
        <w:numPr>
          <w:ilvl w:val="1"/>
          <w:numId w:val="17"/>
        </w:numPr>
        <w:spacing w:after="0"/>
        <w:contextualSpacing w:val="0"/>
        <w:rPr>
          <w:sz w:val="22"/>
        </w:rPr>
      </w:pPr>
      <w:r>
        <w:rPr>
          <w:sz w:val="22"/>
        </w:rPr>
        <w:t xml:space="preserve">Ralf </w:t>
      </w:r>
      <w:proofErr w:type="spellStart"/>
      <w:r>
        <w:rPr>
          <w:sz w:val="22"/>
        </w:rPr>
        <w:t>Dürrwald</w:t>
      </w:r>
      <w:proofErr w:type="spellEnd"/>
    </w:p>
    <w:p>
      <w:pPr>
        <w:pStyle w:val="Listenabsatz"/>
        <w:numPr>
          <w:ilvl w:val="0"/>
          <w:numId w:val="23"/>
        </w:numPr>
        <w:spacing w:after="0"/>
        <w:rPr>
          <w:sz w:val="22"/>
        </w:rPr>
      </w:pPr>
      <w:r>
        <w:rPr>
          <w:sz w:val="22"/>
        </w:rPr>
        <w:t>FG24</w:t>
      </w:r>
    </w:p>
    <w:p>
      <w:pPr>
        <w:pStyle w:val="Listenabsatz"/>
        <w:numPr>
          <w:ilvl w:val="1"/>
          <w:numId w:val="23"/>
        </w:numPr>
        <w:spacing w:after="0"/>
        <w:rPr>
          <w:sz w:val="22"/>
        </w:rPr>
      </w:pPr>
      <w:r>
        <w:rPr>
          <w:sz w:val="22"/>
        </w:rPr>
        <w:t xml:space="preserve">Thomas </w:t>
      </w:r>
      <w:proofErr w:type="spellStart"/>
      <w:r>
        <w:rPr>
          <w:sz w:val="22"/>
        </w:rPr>
        <w:t>Ziese</w:t>
      </w:r>
      <w:proofErr w:type="spellEnd"/>
    </w:p>
    <w:p>
      <w:pPr>
        <w:pStyle w:val="Listenabsatz"/>
        <w:numPr>
          <w:ilvl w:val="0"/>
          <w:numId w:val="23"/>
        </w:numPr>
        <w:spacing w:after="0"/>
        <w:rPr>
          <w:sz w:val="22"/>
        </w:rPr>
      </w:pPr>
      <w:r>
        <w:rPr>
          <w:sz w:val="22"/>
        </w:rPr>
        <w:t>FG32</w:t>
      </w:r>
    </w:p>
    <w:p>
      <w:pPr>
        <w:pStyle w:val="Listenabsatz"/>
        <w:numPr>
          <w:ilvl w:val="1"/>
          <w:numId w:val="23"/>
        </w:numPr>
        <w:spacing w:after="0"/>
        <w:rPr>
          <w:sz w:val="22"/>
        </w:rPr>
      </w:pPr>
      <w:r>
        <w:rPr>
          <w:sz w:val="22"/>
        </w:rPr>
        <w:t>Michaela Diercke</w:t>
      </w:r>
    </w:p>
    <w:p>
      <w:pPr>
        <w:pStyle w:val="Listenabsatz"/>
        <w:numPr>
          <w:ilvl w:val="0"/>
          <w:numId w:val="17"/>
        </w:numPr>
        <w:spacing w:after="0"/>
        <w:contextualSpacing w:val="0"/>
        <w:rPr>
          <w:sz w:val="22"/>
        </w:rPr>
      </w:pPr>
      <w:r>
        <w:rPr>
          <w:sz w:val="22"/>
        </w:rPr>
        <w:t>FG33</w:t>
      </w:r>
    </w:p>
    <w:p>
      <w:pPr>
        <w:pStyle w:val="Listenabsatz"/>
        <w:numPr>
          <w:ilvl w:val="1"/>
          <w:numId w:val="17"/>
        </w:numPr>
        <w:spacing w:after="0"/>
        <w:contextualSpacing w:val="0"/>
        <w:rPr>
          <w:sz w:val="22"/>
        </w:rPr>
      </w:pPr>
      <w:r>
        <w:rPr>
          <w:sz w:val="22"/>
        </w:rPr>
        <w:t>Ole Wichmann</w:t>
      </w:r>
    </w:p>
    <w:p>
      <w:pPr>
        <w:pStyle w:val="Listenabsatz"/>
        <w:numPr>
          <w:ilvl w:val="1"/>
          <w:numId w:val="17"/>
        </w:numPr>
        <w:spacing w:after="0"/>
        <w:contextualSpacing w:val="0"/>
        <w:rPr>
          <w:sz w:val="22"/>
        </w:rPr>
      </w:pPr>
      <w:r>
        <w:rPr>
          <w:sz w:val="22"/>
        </w:rPr>
        <w:t>Thomas Harder</w:t>
      </w:r>
    </w:p>
    <w:p>
      <w:pPr>
        <w:pStyle w:val="Listenabsatz"/>
        <w:numPr>
          <w:ilvl w:val="0"/>
          <w:numId w:val="17"/>
        </w:numPr>
        <w:spacing w:after="0"/>
        <w:contextualSpacing w:val="0"/>
        <w:rPr>
          <w:sz w:val="22"/>
        </w:rPr>
      </w:pPr>
      <w:r>
        <w:rPr>
          <w:sz w:val="22"/>
        </w:rPr>
        <w:t>FG34</w:t>
      </w:r>
    </w:p>
    <w:p>
      <w:pPr>
        <w:pStyle w:val="Listenabsatz"/>
        <w:numPr>
          <w:ilvl w:val="1"/>
          <w:numId w:val="17"/>
        </w:numPr>
        <w:spacing w:after="0"/>
        <w:contextualSpacing w:val="0"/>
        <w:rPr>
          <w:sz w:val="22"/>
        </w:rPr>
      </w:pPr>
      <w:r>
        <w:rPr>
          <w:sz w:val="22"/>
        </w:rPr>
        <w:t>Viviane Bremer</w:t>
      </w:r>
    </w:p>
    <w:p>
      <w:pPr>
        <w:pStyle w:val="Listenabsatz"/>
        <w:numPr>
          <w:ilvl w:val="0"/>
          <w:numId w:val="17"/>
        </w:numPr>
        <w:spacing w:after="0"/>
        <w:contextualSpacing w:val="0"/>
        <w:rPr>
          <w:sz w:val="22"/>
        </w:rPr>
      </w:pPr>
      <w:r>
        <w:rPr>
          <w:sz w:val="22"/>
        </w:rPr>
        <w:t>FG36</w:t>
      </w:r>
    </w:p>
    <w:p>
      <w:pPr>
        <w:pStyle w:val="Listenabsatz"/>
        <w:numPr>
          <w:ilvl w:val="1"/>
          <w:numId w:val="17"/>
        </w:numPr>
        <w:spacing w:after="0"/>
        <w:contextualSpacing w:val="0"/>
        <w:rPr>
          <w:sz w:val="22"/>
        </w:rPr>
      </w:pPr>
      <w:r>
        <w:rPr>
          <w:sz w:val="22"/>
        </w:rPr>
        <w:t>Silke Buda</w:t>
      </w:r>
    </w:p>
    <w:p>
      <w:pPr>
        <w:pStyle w:val="Listenabsatz"/>
        <w:numPr>
          <w:ilvl w:val="1"/>
          <w:numId w:val="17"/>
        </w:numPr>
        <w:spacing w:after="0"/>
        <w:contextualSpacing w:val="0"/>
        <w:rPr>
          <w:sz w:val="22"/>
        </w:rPr>
      </w:pPr>
      <w:r>
        <w:rPr>
          <w:sz w:val="22"/>
        </w:rPr>
        <w:t>Walter Haas</w:t>
      </w:r>
    </w:p>
    <w:p>
      <w:pPr>
        <w:pStyle w:val="Listenabsatz"/>
        <w:numPr>
          <w:ilvl w:val="0"/>
          <w:numId w:val="17"/>
        </w:numPr>
        <w:spacing w:after="0"/>
        <w:contextualSpacing w:val="0"/>
        <w:rPr>
          <w:sz w:val="22"/>
        </w:rPr>
      </w:pPr>
      <w:r>
        <w:rPr>
          <w:sz w:val="22"/>
        </w:rPr>
        <w:t>FG37</w:t>
      </w:r>
    </w:p>
    <w:p>
      <w:pPr>
        <w:pStyle w:val="Listenabsatz"/>
        <w:numPr>
          <w:ilvl w:val="1"/>
          <w:numId w:val="17"/>
        </w:numPr>
        <w:spacing w:after="0"/>
        <w:contextualSpacing w:val="0"/>
        <w:rPr>
          <w:sz w:val="22"/>
        </w:rPr>
      </w:pPr>
      <w:r>
        <w:rPr>
          <w:sz w:val="22"/>
        </w:rPr>
        <w:t xml:space="preserve">Tim </w:t>
      </w:r>
      <w:proofErr w:type="spellStart"/>
      <w:r>
        <w:rPr>
          <w:sz w:val="22"/>
        </w:rPr>
        <w:t>Eckmanns</w:t>
      </w:r>
      <w:proofErr w:type="spellEnd"/>
    </w:p>
    <w:p>
      <w:pPr>
        <w:pStyle w:val="Listenabsatz"/>
        <w:numPr>
          <w:ilvl w:val="1"/>
          <w:numId w:val="17"/>
        </w:numPr>
        <w:spacing w:after="0"/>
        <w:contextualSpacing w:val="0"/>
        <w:rPr>
          <w:sz w:val="22"/>
        </w:rPr>
      </w:pPr>
      <w:r>
        <w:rPr>
          <w:sz w:val="22"/>
        </w:rPr>
        <w:t>Sebastian Haller</w:t>
      </w:r>
    </w:p>
    <w:p>
      <w:pPr>
        <w:pStyle w:val="Listenabsatz"/>
        <w:numPr>
          <w:ilvl w:val="0"/>
          <w:numId w:val="19"/>
        </w:numPr>
        <w:spacing w:after="0"/>
        <w:contextualSpacing w:val="0"/>
        <w:rPr>
          <w:sz w:val="22"/>
        </w:rPr>
      </w:pPr>
      <w:r>
        <w:rPr>
          <w:sz w:val="22"/>
        </w:rPr>
        <w:t>FG 38</w:t>
      </w:r>
    </w:p>
    <w:p>
      <w:pPr>
        <w:pStyle w:val="Listenabsatz"/>
        <w:numPr>
          <w:ilvl w:val="1"/>
          <w:numId w:val="17"/>
        </w:numPr>
        <w:spacing w:after="0"/>
        <w:contextualSpacing w:val="0"/>
        <w:rPr>
          <w:sz w:val="22"/>
        </w:rPr>
      </w:pPr>
      <w:r>
        <w:rPr>
          <w:sz w:val="22"/>
        </w:rPr>
        <w:t>Ute Rexroth</w:t>
      </w:r>
    </w:p>
    <w:p>
      <w:pPr>
        <w:pStyle w:val="Listenabsatz"/>
        <w:numPr>
          <w:ilvl w:val="1"/>
          <w:numId w:val="17"/>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17"/>
        </w:numPr>
        <w:spacing w:after="0"/>
        <w:contextualSpacing w:val="0"/>
        <w:rPr>
          <w:sz w:val="22"/>
        </w:rPr>
      </w:pPr>
      <w:r>
        <w:rPr>
          <w:sz w:val="22"/>
        </w:rPr>
        <w:lastRenderedPageBreak/>
        <w:t>Kirsten Pörtner (Protokoll)</w:t>
      </w:r>
    </w:p>
    <w:p>
      <w:pPr>
        <w:pStyle w:val="Listenabsatz"/>
        <w:numPr>
          <w:ilvl w:val="0"/>
          <w:numId w:val="18"/>
        </w:numPr>
        <w:spacing w:after="0"/>
        <w:contextualSpacing w:val="0"/>
        <w:rPr>
          <w:sz w:val="22"/>
        </w:rPr>
      </w:pPr>
      <w:r>
        <w:rPr>
          <w:sz w:val="22"/>
        </w:rPr>
        <w:t>Presse</w:t>
      </w:r>
    </w:p>
    <w:p>
      <w:pPr>
        <w:pStyle w:val="Listenabsatz"/>
        <w:numPr>
          <w:ilvl w:val="1"/>
          <w:numId w:val="18"/>
        </w:numPr>
        <w:spacing w:after="0"/>
        <w:contextualSpacing w:val="0"/>
        <w:rPr>
          <w:sz w:val="22"/>
        </w:rPr>
      </w:pPr>
      <w:r>
        <w:rPr>
          <w:sz w:val="22"/>
        </w:rPr>
        <w:t>Susanne Glasmacher</w:t>
      </w:r>
    </w:p>
    <w:p>
      <w:pPr>
        <w:pStyle w:val="Listenabsatz"/>
        <w:numPr>
          <w:ilvl w:val="1"/>
          <w:numId w:val="18"/>
        </w:numPr>
        <w:spacing w:after="0"/>
        <w:contextualSpacing w:val="0"/>
        <w:rPr>
          <w:sz w:val="22"/>
        </w:rPr>
      </w:pPr>
      <w:proofErr w:type="spellStart"/>
      <w:r>
        <w:rPr>
          <w:sz w:val="22"/>
        </w:rPr>
        <w:t>Jamela</w:t>
      </w:r>
      <w:proofErr w:type="spellEnd"/>
      <w:r>
        <w:rPr>
          <w:sz w:val="22"/>
        </w:rPr>
        <w:t xml:space="preserve"> </w:t>
      </w:r>
      <w:proofErr w:type="spellStart"/>
      <w:r>
        <w:rPr>
          <w:sz w:val="22"/>
        </w:rPr>
        <w:t>Seedat</w:t>
      </w:r>
      <w:proofErr w:type="spellEnd"/>
    </w:p>
    <w:p>
      <w:pPr>
        <w:pStyle w:val="Listenabsatz"/>
        <w:numPr>
          <w:ilvl w:val="0"/>
          <w:numId w:val="17"/>
        </w:numPr>
        <w:spacing w:after="0"/>
        <w:contextualSpacing w:val="0"/>
        <w:rPr>
          <w:sz w:val="22"/>
        </w:rPr>
      </w:pPr>
      <w:r>
        <w:rPr>
          <w:sz w:val="22"/>
        </w:rPr>
        <w:t>IBBS</w:t>
      </w:r>
    </w:p>
    <w:p>
      <w:pPr>
        <w:pStyle w:val="Listenabsatz"/>
        <w:numPr>
          <w:ilvl w:val="1"/>
          <w:numId w:val="17"/>
        </w:numPr>
        <w:spacing w:after="0"/>
        <w:contextualSpacing w:val="0"/>
        <w:rPr>
          <w:sz w:val="22"/>
        </w:rPr>
      </w:pPr>
      <w:r>
        <w:rPr>
          <w:sz w:val="22"/>
        </w:rPr>
        <w:t>Christian Herzog</w:t>
      </w:r>
    </w:p>
    <w:p>
      <w:pPr>
        <w:pStyle w:val="Listenabsatz"/>
        <w:numPr>
          <w:ilvl w:val="0"/>
          <w:numId w:val="17"/>
        </w:numPr>
        <w:spacing w:after="0"/>
        <w:contextualSpacing w:val="0"/>
        <w:rPr>
          <w:sz w:val="22"/>
        </w:rPr>
      </w:pPr>
      <w:r>
        <w:rPr>
          <w:sz w:val="22"/>
        </w:rPr>
        <w:t xml:space="preserve">BZgA </w:t>
      </w:r>
    </w:p>
    <w:p>
      <w:pPr>
        <w:pStyle w:val="Listenabsatz"/>
        <w:numPr>
          <w:ilvl w:val="1"/>
          <w:numId w:val="17"/>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17"/>
        </w:numPr>
        <w:spacing w:after="0"/>
        <w:contextualSpacing w:val="0"/>
        <w:rPr>
          <w:sz w:val="22"/>
        </w:rPr>
      </w:pPr>
      <w:r>
        <w:rPr>
          <w:sz w:val="22"/>
        </w:rPr>
        <w:t>P1</w:t>
      </w:r>
    </w:p>
    <w:p>
      <w:pPr>
        <w:pStyle w:val="Listenabsatz"/>
        <w:numPr>
          <w:ilvl w:val="1"/>
          <w:numId w:val="17"/>
        </w:numPr>
        <w:spacing w:after="0"/>
        <w:contextualSpacing w:val="0"/>
        <w:rPr>
          <w:sz w:val="22"/>
        </w:rPr>
      </w:pPr>
      <w:r>
        <w:rPr>
          <w:sz w:val="22"/>
        </w:rPr>
        <w:t xml:space="preserve">Esther-Maria </w:t>
      </w:r>
      <w:proofErr w:type="spellStart"/>
      <w:r>
        <w:rPr>
          <w:sz w:val="22"/>
        </w:rPr>
        <w:t>Antao</w:t>
      </w:r>
      <w:proofErr w:type="spellEnd"/>
    </w:p>
    <w:p>
      <w:pPr>
        <w:pStyle w:val="Listenabsatz"/>
        <w:numPr>
          <w:ilvl w:val="0"/>
          <w:numId w:val="17"/>
        </w:numPr>
        <w:spacing w:after="0"/>
        <w:contextualSpacing w:val="0"/>
        <w:rPr>
          <w:sz w:val="22"/>
        </w:rPr>
      </w:pPr>
      <w:r>
        <w:rPr>
          <w:sz w:val="22"/>
        </w:rPr>
        <w:t>BMG</w:t>
      </w:r>
    </w:p>
    <w:p>
      <w:pPr>
        <w:pStyle w:val="Listenabsatz"/>
        <w:numPr>
          <w:ilvl w:val="1"/>
          <w:numId w:val="17"/>
        </w:numPr>
        <w:spacing w:after="0"/>
        <w:contextualSpacing w:val="0"/>
        <w:rPr>
          <w:sz w:val="22"/>
        </w:rPr>
      </w:pPr>
      <w:r>
        <w:rPr>
          <w:sz w:val="22"/>
        </w:rPr>
        <w:t>Christophe Bayer</w:t>
      </w:r>
    </w:p>
    <w:p>
      <w:pPr>
        <w:pStyle w:val="Listenabsatz"/>
        <w:spacing w:after="0"/>
        <w:ind w:left="1440"/>
        <w:contextualSpacing w:val="0"/>
        <w:rPr>
          <w:sz w:val="22"/>
          <w:highlight w:val="yellow"/>
        </w:rPr>
      </w:pPr>
    </w:p>
    <w:p>
      <w:pPr>
        <w:pStyle w:val="Listenabsatz"/>
        <w:spacing w:after="0"/>
        <w:ind w:left="1440"/>
        <w:contextualSpacing w:val="0"/>
        <w:rPr>
          <w:sz w:val="22"/>
        </w:rPr>
      </w:pPr>
    </w:p>
    <w:p>
      <w:pPr>
        <w:pStyle w:val="Listenabsatz"/>
        <w:spacing w:after="0"/>
        <w:ind w:left="1440"/>
        <w:contextualSpacing w:val="0"/>
        <w:rPr>
          <w:sz w:val="22"/>
        </w:rPr>
      </w:pPr>
    </w:p>
    <w:p>
      <w:pPr>
        <w:pStyle w:val="Listenabsatz"/>
        <w:spacing w:after="0"/>
        <w:ind w:left="1440"/>
        <w:contextualSpacing w:val="0"/>
        <w:rPr>
          <w:sz w:val="22"/>
        </w:rPr>
      </w:pPr>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pPr>
              <w:rPr>
                <w:sz w:val="22"/>
                <w:szCs w:val="22"/>
              </w:rPr>
            </w:pPr>
            <w:r>
              <w:rPr>
                <w:sz w:val="22"/>
                <w:szCs w:val="22"/>
              </w:rPr>
              <w:t>1</w:t>
            </w:r>
          </w:p>
        </w:tc>
        <w:tc>
          <w:tcPr>
            <w:tcW w:w="6408" w:type="dxa"/>
          </w:tcPr>
          <w:p>
            <w:pPr>
              <w:rPr>
                <w:b/>
                <w:sz w:val="22"/>
                <w:szCs w:val="22"/>
              </w:rPr>
            </w:pPr>
            <w:r>
              <w:rPr>
                <w:b/>
                <w:sz w:val="22"/>
                <w:szCs w:val="22"/>
              </w:rPr>
              <w:t>Aktuelle Lage</w:t>
            </w:r>
          </w:p>
          <w:p>
            <w:pPr>
              <w:rPr>
                <w:b/>
                <w:sz w:val="22"/>
                <w:szCs w:val="22"/>
              </w:rPr>
            </w:pPr>
            <w:r>
              <w:rPr>
                <w:b/>
                <w:sz w:val="22"/>
                <w:szCs w:val="22"/>
              </w:rPr>
              <w:t xml:space="preserve">International </w:t>
            </w:r>
          </w:p>
          <w:p>
            <w:pPr>
              <w:pStyle w:val="Listenabsatz"/>
              <w:numPr>
                <w:ilvl w:val="0"/>
                <w:numId w:val="26"/>
              </w:numPr>
              <w:rPr>
                <w:rStyle w:val="Hyperlink"/>
                <w:color w:val="auto"/>
                <w:sz w:val="22"/>
                <w:szCs w:val="22"/>
                <w:u w:val="none"/>
              </w:rPr>
            </w:pPr>
            <w:r>
              <w:rPr>
                <w:sz w:val="22"/>
                <w:szCs w:val="22"/>
              </w:rPr>
              <w:t>Fälle, Ausbreitung (</w:t>
            </w:r>
            <w:hyperlink r:id="rId7" w:history="1">
              <w:r>
                <w:rPr>
                  <w:rStyle w:val="Hyperlink"/>
                  <w:sz w:val="22"/>
                  <w:szCs w:val="22"/>
                </w:rPr>
                <w:t>Folien</w:t>
              </w:r>
            </w:hyperlink>
            <w:r>
              <w:rPr>
                <w:rStyle w:val="Hyperlink"/>
                <w:sz w:val="22"/>
                <w:szCs w:val="22"/>
              </w:rPr>
              <w:t>)</w:t>
            </w:r>
          </w:p>
          <w:p>
            <w:pPr>
              <w:pStyle w:val="Listenabsatz"/>
              <w:numPr>
                <w:ilvl w:val="1"/>
                <w:numId w:val="11"/>
              </w:numPr>
              <w:ind w:left="1069"/>
              <w:rPr>
                <w:rStyle w:val="Hyperlink"/>
                <w:color w:val="auto"/>
                <w:sz w:val="22"/>
                <w:szCs w:val="22"/>
                <w:u w:val="none"/>
              </w:rPr>
            </w:pPr>
            <w:r>
              <w:rPr>
                <w:rStyle w:val="Hyperlink"/>
                <w:color w:val="auto"/>
                <w:sz w:val="22"/>
                <w:szCs w:val="22"/>
                <w:u w:val="none"/>
              </w:rPr>
              <w:t>Ca. 55 Mio. Fälle und ca. 1,3 Mio. Verstorbene (2,41%)</w:t>
            </w:r>
          </w:p>
          <w:p>
            <w:pPr>
              <w:pStyle w:val="Listenabsatz"/>
              <w:numPr>
                <w:ilvl w:val="0"/>
                <w:numId w:val="11"/>
              </w:numPr>
              <w:rPr>
                <w:rStyle w:val="Hyperlink"/>
                <w:color w:val="auto"/>
                <w:sz w:val="22"/>
                <w:szCs w:val="22"/>
                <w:u w:val="none"/>
              </w:rPr>
            </w:pPr>
            <w:r>
              <w:rPr>
                <w:rStyle w:val="Hyperlink"/>
                <w:color w:val="auto"/>
                <w:sz w:val="22"/>
                <w:szCs w:val="22"/>
                <w:u w:val="none"/>
              </w:rPr>
              <w:t xml:space="preserve">Top 10 Länder nach Anzahl neuer Fälle in den letzten 7 Tagen: </w:t>
            </w:r>
          </w:p>
          <w:p>
            <w:pPr>
              <w:pStyle w:val="Listenabsatz"/>
              <w:numPr>
                <w:ilvl w:val="1"/>
                <w:numId w:val="11"/>
              </w:numPr>
              <w:ind w:left="1069"/>
              <w:rPr>
                <w:rStyle w:val="Hyperlink"/>
                <w:color w:val="auto"/>
                <w:sz w:val="22"/>
                <w:szCs w:val="22"/>
                <w:u w:val="none"/>
              </w:rPr>
            </w:pPr>
            <w:r>
              <w:rPr>
                <w:rStyle w:val="Hyperlink"/>
                <w:color w:val="auto"/>
                <w:sz w:val="22"/>
                <w:szCs w:val="22"/>
                <w:u w:val="none"/>
              </w:rPr>
              <w:t>Reihenfolge leicht verändert, an erster Stelle Vereinigte Staaten, dann Indien, Italien, Brasilien, Frankreich, Großbritannien, Russland, Polen, Deutschland und Spanien.</w:t>
            </w:r>
          </w:p>
          <w:p>
            <w:pPr>
              <w:pStyle w:val="Listenabsatz"/>
              <w:numPr>
                <w:ilvl w:val="0"/>
                <w:numId w:val="11"/>
              </w:numPr>
              <w:rPr>
                <w:rStyle w:val="Hyperlink"/>
                <w:color w:val="auto"/>
                <w:sz w:val="22"/>
                <w:szCs w:val="22"/>
                <w:u w:val="none"/>
              </w:rPr>
            </w:pPr>
            <w:r>
              <w:rPr>
                <w:rStyle w:val="Hyperlink"/>
                <w:color w:val="auto"/>
                <w:sz w:val="22"/>
                <w:szCs w:val="22"/>
                <w:u w:val="none"/>
              </w:rPr>
              <w:t>In 4 Ländern ist der Trend sinkend: Indien, Frankreich, Polen und Spanien.</w:t>
            </w:r>
          </w:p>
          <w:p>
            <w:pPr>
              <w:pStyle w:val="Listenabsatz"/>
              <w:numPr>
                <w:ilvl w:val="0"/>
                <w:numId w:val="11"/>
              </w:numPr>
              <w:rPr>
                <w:rStyle w:val="Hyperlink"/>
                <w:color w:val="auto"/>
                <w:sz w:val="22"/>
                <w:szCs w:val="22"/>
                <w:u w:val="none"/>
              </w:rPr>
            </w:pPr>
            <w:r>
              <w:rPr>
                <w:rStyle w:val="Hyperlink"/>
                <w:color w:val="auto"/>
                <w:sz w:val="22"/>
                <w:szCs w:val="22"/>
                <w:u w:val="none"/>
              </w:rPr>
              <w:t>7-Tages-Inzidenz &gt; 50 pro 100.000 Einwohner</w:t>
            </w:r>
          </w:p>
          <w:p>
            <w:pPr>
              <w:pStyle w:val="Listenabsatz"/>
              <w:numPr>
                <w:ilvl w:val="1"/>
                <w:numId w:val="11"/>
              </w:numPr>
              <w:ind w:left="1069"/>
              <w:rPr>
                <w:rStyle w:val="Hyperlink"/>
                <w:color w:val="auto"/>
                <w:sz w:val="22"/>
                <w:szCs w:val="22"/>
                <w:u w:val="none"/>
              </w:rPr>
            </w:pPr>
            <w:r>
              <w:rPr>
                <w:rStyle w:val="Hyperlink"/>
                <w:color w:val="auto"/>
                <w:sz w:val="22"/>
                <w:szCs w:val="22"/>
                <w:u w:val="none"/>
              </w:rPr>
              <w:t>Botswana wieder in der Liste, zudem hinzugekommen Malediven</w:t>
            </w:r>
          </w:p>
          <w:p>
            <w:pPr>
              <w:pStyle w:val="Listenabsatz"/>
              <w:numPr>
                <w:ilvl w:val="0"/>
                <w:numId w:val="11"/>
              </w:numPr>
              <w:rPr>
                <w:rStyle w:val="Hyperlink"/>
                <w:color w:val="auto"/>
                <w:sz w:val="22"/>
                <w:szCs w:val="22"/>
                <w:u w:val="none"/>
              </w:rPr>
            </w:pPr>
            <w:r>
              <w:rPr>
                <w:rStyle w:val="Hyperlink"/>
                <w:color w:val="auto"/>
                <w:sz w:val="22"/>
                <w:szCs w:val="22"/>
                <w:u w:val="none"/>
              </w:rPr>
              <w:t>7-Tages-Inzidenz pro 100.000 Einwohner – EU/EWR/UK/CH</w:t>
            </w:r>
          </w:p>
          <w:p>
            <w:pPr>
              <w:pStyle w:val="Listenabsatz"/>
              <w:numPr>
                <w:ilvl w:val="1"/>
                <w:numId w:val="11"/>
              </w:numPr>
              <w:ind w:left="1069"/>
              <w:rPr>
                <w:rStyle w:val="Hyperlink"/>
                <w:color w:val="auto"/>
                <w:sz w:val="22"/>
                <w:szCs w:val="22"/>
                <w:u w:val="none"/>
              </w:rPr>
            </w:pPr>
            <w:r>
              <w:rPr>
                <w:rStyle w:val="Hyperlink"/>
                <w:color w:val="auto"/>
                <w:sz w:val="22"/>
                <w:szCs w:val="22"/>
                <w:u w:val="none"/>
              </w:rPr>
              <w:t>In allen Ländern Inzidenz &gt;50, außer in Island und Finnland</w:t>
            </w:r>
          </w:p>
          <w:p>
            <w:pPr>
              <w:pStyle w:val="Listenabsatz"/>
              <w:numPr>
                <w:ilvl w:val="1"/>
                <w:numId w:val="11"/>
              </w:numPr>
              <w:ind w:left="1069"/>
              <w:rPr>
                <w:sz w:val="22"/>
                <w:szCs w:val="22"/>
              </w:rPr>
            </w:pPr>
            <w:r>
              <w:rPr>
                <w:sz w:val="22"/>
                <w:szCs w:val="22"/>
              </w:rPr>
              <w:t>Weiterhin viele Fälle in LUX, Österreich, Slowenien, Schweiz, Liechtenstein, Polen</w:t>
            </w:r>
          </w:p>
          <w:p>
            <w:pPr>
              <w:pStyle w:val="Listenabsatz"/>
              <w:numPr>
                <w:ilvl w:val="1"/>
                <w:numId w:val="11"/>
              </w:numPr>
              <w:ind w:left="1069"/>
              <w:rPr>
                <w:sz w:val="22"/>
                <w:szCs w:val="22"/>
              </w:rPr>
            </w:pPr>
            <w:r>
              <w:rPr>
                <w:sz w:val="22"/>
                <w:szCs w:val="22"/>
              </w:rPr>
              <w:t xml:space="preserve">Neuinfektionen in Europa leicht </w:t>
            </w:r>
            <w:proofErr w:type="spellStart"/>
            <w:r>
              <w:rPr>
                <w:sz w:val="22"/>
                <w:szCs w:val="22"/>
              </w:rPr>
              <w:t>regredient</w:t>
            </w:r>
            <w:proofErr w:type="spellEnd"/>
          </w:p>
          <w:p>
            <w:pPr>
              <w:pStyle w:val="Listenabsatz"/>
              <w:numPr>
                <w:ilvl w:val="0"/>
                <w:numId w:val="27"/>
              </w:numPr>
              <w:rPr>
                <w:sz w:val="22"/>
                <w:szCs w:val="22"/>
              </w:rPr>
            </w:pPr>
            <w:r>
              <w:rPr>
                <w:sz w:val="22"/>
                <w:szCs w:val="22"/>
              </w:rPr>
              <w:t>Zusammenfassung und News:</w:t>
            </w:r>
          </w:p>
          <w:p>
            <w:pPr>
              <w:pStyle w:val="Listenabsatz"/>
              <w:numPr>
                <w:ilvl w:val="1"/>
                <w:numId w:val="11"/>
              </w:numPr>
              <w:ind w:left="1069"/>
              <w:rPr>
                <w:rStyle w:val="Hyperlink"/>
                <w:color w:val="auto"/>
                <w:sz w:val="22"/>
                <w:szCs w:val="22"/>
                <w:u w:val="none"/>
              </w:rPr>
            </w:pPr>
            <w:r>
              <w:rPr>
                <w:rStyle w:val="Hyperlink"/>
                <w:color w:val="auto"/>
                <w:sz w:val="22"/>
                <w:szCs w:val="22"/>
                <w:u w:val="none"/>
              </w:rPr>
              <w:t>Weltweit steigende Fallzahlen, prozentuale Verteilung: Europa 44,8%, Amerika 38%, Asien 14,8%, Afrika 2,3%, Ozeanien 0,07%</w:t>
            </w:r>
          </w:p>
          <w:p>
            <w:pPr>
              <w:pStyle w:val="Listenabsatz"/>
              <w:numPr>
                <w:ilvl w:val="1"/>
                <w:numId w:val="11"/>
              </w:numPr>
              <w:ind w:left="1069"/>
              <w:rPr>
                <w:sz w:val="22"/>
                <w:szCs w:val="22"/>
              </w:rPr>
            </w:pPr>
            <w:r>
              <w:rPr>
                <w:rStyle w:val="Hyperlink"/>
                <w:color w:val="auto"/>
                <w:sz w:val="22"/>
                <w:szCs w:val="22"/>
                <w:u w:val="none"/>
              </w:rPr>
              <w:t>Europa: weiterhin größter Anteil mit neuen Fällen und Todesfällen, sehr unterschiedliche Entwicklung in einzelnen Ländern (Rückgang in Frankreich,</w:t>
            </w:r>
            <w:r>
              <w:rPr>
                <w:sz w:val="22"/>
                <w:szCs w:val="22"/>
              </w:rPr>
              <w:t xml:space="preserve"> Spanien, Polen, Anstieg u.a. in Österreich und Schweden mit verschärften Maßnahmen)</w:t>
            </w:r>
          </w:p>
          <w:p>
            <w:pPr>
              <w:pStyle w:val="Listenabsatz"/>
              <w:numPr>
                <w:ilvl w:val="1"/>
                <w:numId w:val="11"/>
              </w:numPr>
              <w:ind w:left="1069"/>
              <w:rPr>
                <w:sz w:val="22"/>
                <w:szCs w:val="22"/>
              </w:rPr>
            </w:pPr>
            <w:r>
              <w:rPr>
                <w:sz w:val="22"/>
                <w:szCs w:val="22"/>
              </w:rPr>
              <w:t>Details zur Lage in Afrika: siehe nachgereichte Folien von ZIG (</w:t>
            </w:r>
            <w:hyperlink r:id="rId8" w:history="1">
              <w:r>
                <w:rPr>
                  <w:rStyle w:val="Hyperlink"/>
                  <w:sz w:val="22"/>
                  <w:szCs w:val="22"/>
                </w:rPr>
                <w:t>h</w:t>
              </w:r>
              <w:r>
                <w:rPr>
                  <w:rStyle w:val="Hyperlink"/>
                  <w:sz w:val="22"/>
                  <w:szCs w:val="22"/>
                </w:rPr>
                <w:t>i</w:t>
              </w:r>
              <w:r>
                <w:rPr>
                  <w:rStyle w:val="Hyperlink"/>
                  <w:sz w:val="22"/>
                  <w:szCs w:val="22"/>
                </w:rPr>
                <w:t>er</w:t>
              </w:r>
            </w:hyperlink>
            <w:r>
              <w:rPr>
                <w:sz w:val="22"/>
                <w:szCs w:val="22"/>
              </w:rPr>
              <w:t>)</w:t>
            </w:r>
          </w:p>
          <w:p>
            <w:pPr>
              <w:spacing w:before="120" w:line="276" w:lineRule="auto"/>
              <w:rPr>
                <w:b/>
                <w:sz w:val="22"/>
                <w:szCs w:val="22"/>
              </w:rPr>
            </w:pPr>
            <w:r>
              <w:rPr>
                <w:b/>
                <w:sz w:val="22"/>
                <w:szCs w:val="22"/>
              </w:rPr>
              <w:lastRenderedPageBreak/>
              <w:t xml:space="preserve">National </w:t>
            </w:r>
          </w:p>
          <w:p>
            <w:pPr>
              <w:pStyle w:val="Listenabsatz"/>
              <w:numPr>
                <w:ilvl w:val="0"/>
                <w:numId w:val="24"/>
              </w:numPr>
              <w:ind w:left="453" w:hanging="340"/>
              <w:rPr>
                <w:sz w:val="22"/>
                <w:szCs w:val="22"/>
              </w:rPr>
            </w:pPr>
            <w:r>
              <w:rPr>
                <w:sz w:val="22"/>
                <w:szCs w:val="22"/>
              </w:rPr>
              <w:t>Fallzahlen, Todesfälle, Trend (</w:t>
            </w:r>
            <w:hyperlink r:id="rId9" w:history="1">
              <w:r>
                <w:rPr>
                  <w:rStyle w:val="Hyperlink"/>
                  <w:sz w:val="22"/>
                  <w:szCs w:val="22"/>
                </w:rPr>
                <w:t>Folien</w:t>
              </w:r>
            </w:hyperlink>
            <w:r>
              <w:rPr>
                <w:rStyle w:val="Hyperlink"/>
                <w:sz w:val="22"/>
                <w:szCs w:val="22"/>
              </w:rPr>
              <w:t>)</w:t>
            </w:r>
          </w:p>
          <w:p>
            <w:pPr>
              <w:pStyle w:val="Listenabsatz"/>
              <w:numPr>
                <w:ilvl w:val="1"/>
                <w:numId w:val="25"/>
              </w:numPr>
              <w:ind w:left="907" w:hanging="340"/>
              <w:rPr>
                <w:sz w:val="22"/>
                <w:szCs w:val="22"/>
              </w:rPr>
            </w:pPr>
            <w:proofErr w:type="spellStart"/>
            <w:r>
              <w:rPr>
                <w:sz w:val="22"/>
                <w:szCs w:val="22"/>
              </w:rPr>
              <w:t>SurvNet</w:t>
            </w:r>
            <w:proofErr w:type="spellEnd"/>
            <w:r>
              <w:rPr>
                <w:sz w:val="22"/>
                <w:szCs w:val="22"/>
              </w:rPr>
              <w:t xml:space="preserve"> übermittelt: 833.307 (+17.561), davon 13.119 (1,6%) Todesfälle (+305), 7-Tage-Inzidenz 139/100.000 </w:t>
            </w:r>
            <w:proofErr w:type="spellStart"/>
            <w:r>
              <w:rPr>
                <w:sz w:val="22"/>
                <w:szCs w:val="22"/>
              </w:rPr>
              <w:t>Einw</w:t>
            </w:r>
            <w:proofErr w:type="spellEnd"/>
            <w:r>
              <w:rPr>
                <w:sz w:val="22"/>
                <w:szCs w:val="22"/>
              </w:rPr>
              <w:t xml:space="preserve">. </w:t>
            </w:r>
          </w:p>
          <w:p>
            <w:pPr>
              <w:pStyle w:val="Listenabsatz"/>
              <w:numPr>
                <w:ilvl w:val="2"/>
                <w:numId w:val="24"/>
              </w:numPr>
              <w:ind w:left="1491" w:hanging="357"/>
              <w:rPr>
                <w:sz w:val="22"/>
                <w:szCs w:val="22"/>
              </w:rPr>
            </w:pPr>
            <w:r>
              <w:rPr>
                <w:sz w:val="22"/>
                <w:szCs w:val="22"/>
              </w:rPr>
              <w:t>weniger als letzte Woche</w:t>
            </w:r>
          </w:p>
          <w:p>
            <w:pPr>
              <w:pStyle w:val="Listenabsatz"/>
              <w:numPr>
                <w:ilvl w:val="2"/>
                <w:numId w:val="24"/>
              </w:numPr>
              <w:ind w:left="1491" w:hanging="357"/>
              <w:rPr>
                <w:sz w:val="22"/>
                <w:szCs w:val="22"/>
              </w:rPr>
            </w:pPr>
            <w:r>
              <w:rPr>
                <w:sz w:val="22"/>
                <w:szCs w:val="22"/>
              </w:rPr>
              <w:t>ICU-Fälle steigen an</w:t>
            </w:r>
          </w:p>
          <w:p>
            <w:pPr>
              <w:pStyle w:val="Listenabsatz"/>
              <w:numPr>
                <w:ilvl w:val="1"/>
                <w:numId w:val="25"/>
              </w:numPr>
              <w:ind w:left="907" w:hanging="340"/>
              <w:rPr>
                <w:sz w:val="22"/>
                <w:szCs w:val="22"/>
              </w:rPr>
            </w:pPr>
            <w:r>
              <w:rPr>
                <w:sz w:val="22"/>
                <w:szCs w:val="22"/>
              </w:rPr>
              <w:t>4-Tage-R=0,88; 7-Tage-R=0,95</w:t>
            </w:r>
          </w:p>
          <w:p>
            <w:pPr>
              <w:pStyle w:val="Listenabsatz"/>
              <w:numPr>
                <w:ilvl w:val="1"/>
                <w:numId w:val="25"/>
              </w:numPr>
              <w:ind w:left="907" w:hanging="340"/>
              <w:rPr>
                <w:sz w:val="22"/>
                <w:szCs w:val="22"/>
              </w:rPr>
            </w:pPr>
            <w:r>
              <w:rPr>
                <w:sz w:val="22"/>
                <w:szCs w:val="22"/>
              </w:rPr>
              <w:t>ITS: 3.517 (+81), invasiv beatmet: 2.010 (+39)</w:t>
            </w:r>
          </w:p>
          <w:p>
            <w:pPr>
              <w:pStyle w:val="Listenabsatz"/>
              <w:numPr>
                <w:ilvl w:val="1"/>
                <w:numId w:val="24"/>
              </w:numPr>
              <w:ind w:left="924" w:hanging="357"/>
              <w:rPr>
                <w:sz w:val="22"/>
                <w:szCs w:val="22"/>
              </w:rPr>
            </w:pPr>
            <w:r>
              <w:rPr>
                <w:sz w:val="22"/>
                <w:szCs w:val="22"/>
              </w:rPr>
              <w:t>7-Tages-Inzidenz der Bundesländer nach Berichtsdatum</w:t>
            </w:r>
          </w:p>
          <w:p>
            <w:pPr>
              <w:pStyle w:val="Listenabsatz"/>
              <w:numPr>
                <w:ilvl w:val="2"/>
                <w:numId w:val="24"/>
              </w:numPr>
              <w:ind w:left="1491" w:hanging="357"/>
              <w:rPr>
                <w:sz w:val="22"/>
                <w:szCs w:val="22"/>
              </w:rPr>
            </w:pPr>
            <w:r>
              <w:rPr>
                <w:sz w:val="22"/>
                <w:szCs w:val="22"/>
              </w:rPr>
              <w:t>Abflachung ist weiter sichtbar</w:t>
            </w:r>
          </w:p>
          <w:p>
            <w:pPr>
              <w:pStyle w:val="Listenabsatz"/>
              <w:numPr>
                <w:ilvl w:val="2"/>
                <w:numId w:val="24"/>
              </w:numPr>
              <w:ind w:left="1491" w:hanging="357"/>
              <w:rPr>
                <w:sz w:val="22"/>
                <w:szCs w:val="22"/>
              </w:rPr>
            </w:pPr>
            <w:r>
              <w:rPr>
                <w:sz w:val="22"/>
                <w:szCs w:val="22"/>
              </w:rPr>
              <w:t>Rückgang in Berlin hat sich nicht fortgesetzt</w:t>
            </w:r>
          </w:p>
          <w:p>
            <w:pPr>
              <w:pStyle w:val="Listenabsatz"/>
              <w:numPr>
                <w:ilvl w:val="2"/>
                <w:numId w:val="24"/>
              </w:numPr>
              <w:ind w:left="1491" w:hanging="357"/>
              <w:rPr>
                <w:sz w:val="22"/>
                <w:szCs w:val="22"/>
              </w:rPr>
            </w:pPr>
            <w:r>
              <w:rPr>
                <w:sz w:val="22"/>
                <w:szCs w:val="22"/>
              </w:rPr>
              <w:t>Bayern auf Plateau, Bremen zeigt Rückgang</w:t>
            </w:r>
          </w:p>
          <w:p>
            <w:pPr>
              <w:pStyle w:val="Listenabsatz"/>
              <w:numPr>
                <w:ilvl w:val="2"/>
                <w:numId w:val="24"/>
              </w:numPr>
              <w:ind w:left="1491" w:hanging="357"/>
              <w:rPr>
                <w:sz w:val="22"/>
                <w:szCs w:val="22"/>
              </w:rPr>
            </w:pPr>
            <w:r>
              <w:rPr>
                <w:sz w:val="22"/>
                <w:szCs w:val="22"/>
              </w:rPr>
              <w:t>Sachsen unter den TOP 5</w:t>
            </w:r>
          </w:p>
          <w:p>
            <w:pPr>
              <w:pStyle w:val="Listenabsatz"/>
              <w:numPr>
                <w:ilvl w:val="1"/>
                <w:numId w:val="24"/>
              </w:numPr>
              <w:ind w:left="924" w:hanging="357"/>
              <w:rPr>
                <w:sz w:val="22"/>
                <w:szCs w:val="22"/>
              </w:rPr>
            </w:pPr>
            <w:r>
              <w:rPr>
                <w:sz w:val="22"/>
                <w:szCs w:val="22"/>
              </w:rPr>
              <w:t>Geografische Verteilung in Deutschland: 7-Tage-Inzidenz</w:t>
            </w:r>
          </w:p>
          <w:p>
            <w:pPr>
              <w:pStyle w:val="Listenabsatz"/>
              <w:numPr>
                <w:ilvl w:val="2"/>
                <w:numId w:val="24"/>
              </w:numPr>
              <w:ind w:left="1491" w:hanging="357"/>
              <w:rPr>
                <w:sz w:val="22"/>
                <w:szCs w:val="22"/>
              </w:rPr>
            </w:pPr>
            <w:r>
              <w:rPr>
                <w:sz w:val="22"/>
                <w:szCs w:val="22"/>
              </w:rPr>
              <w:t>Ca. 115.000 Fälle; 245 LK mit Inzidenz &gt;100-250/100.000 Fälle und 21 LK mit Inzidenz &gt;250-500/100.000 Fälle.</w:t>
            </w:r>
          </w:p>
          <w:p>
            <w:pPr>
              <w:pStyle w:val="Listenabsatz"/>
              <w:numPr>
                <w:ilvl w:val="2"/>
                <w:numId w:val="24"/>
              </w:numPr>
              <w:ind w:left="1491" w:hanging="357"/>
              <w:rPr>
                <w:sz w:val="22"/>
                <w:szCs w:val="22"/>
              </w:rPr>
            </w:pPr>
            <w:r>
              <w:rPr>
                <w:sz w:val="22"/>
                <w:szCs w:val="22"/>
              </w:rPr>
              <w:t>Spitzenreiter ist Berlin-Mitte mit 367,8/100.000</w:t>
            </w:r>
          </w:p>
          <w:p>
            <w:pPr>
              <w:pStyle w:val="Listenabsatz"/>
              <w:numPr>
                <w:ilvl w:val="2"/>
                <w:numId w:val="24"/>
              </w:numPr>
              <w:ind w:left="1491" w:hanging="357"/>
              <w:rPr>
                <w:sz w:val="22"/>
                <w:szCs w:val="22"/>
              </w:rPr>
            </w:pPr>
            <w:proofErr w:type="spellStart"/>
            <w:r>
              <w:rPr>
                <w:sz w:val="22"/>
                <w:szCs w:val="22"/>
              </w:rPr>
              <w:t>Heatmap</w:t>
            </w:r>
            <w:proofErr w:type="spellEnd"/>
            <w:r>
              <w:rPr>
                <w:sz w:val="22"/>
                <w:szCs w:val="22"/>
              </w:rPr>
              <w:t>: Höchste 7-Tagesinzidenzen bei den 20-29jährigen und &gt;90jährigen, bei den 0-9jährigen und 70-90jährigen niedrigste Inzidenzen</w:t>
            </w:r>
          </w:p>
          <w:p>
            <w:pPr>
              <w:pStyle w:val="Listenabsatz"/>
              <w:numPr>
                <w:ilvl w:val="2"/>
                <w:numId w:val="24"/>
              </w:numPr>
              <w:ind w:left="1491" w:hanging="357"/>
              <w:rPr>
                <w:sz w:val="22"/>
                <w:szCs w:val="22"/>
              </w:rPr>
            </w:pPr>
            <w:r>
              <w:rPr>
                <w:sz w:val="22"/>
                <w:szCs w:val="22"/>
              </w:rPr>
              <w:t>Fallzahlen ähnliches Niveau wie letzte Woche, Mittelwert bei 42 Jahren, kaum Änderung der Hospitalisierten im Vergleich zur Vorwoche</w:t>
            </w:r>
          </w:p>
          <w:p>
            <w:pPr>
              <w:pStyle w:val="Listenabsatz"/>
              <w:numPr>
                <w:ilvl w:val="2"/>
                <w:numId w:val="24"/>
              </w:numPr>
              <w:ind w:left="1491" w:hanging="357"/>
              <w:rPr>
                <w:sz w:val="22"/>
                <w:szCs w:val="22"/>
              </w:rPr>
            </w:pPr>
            <w:r>
              <w:rPr>
                <w:sz w:val="22"/>
                <w:szCs w:val="22"/>
              </w:rPr>
              <w:t xml:space="preserve">Trend </w:t>
            </w:r>
            <w:proofErr w:type="gramStart"/>
            <w:r>
              <w:rPr>
                <w:sz w:val="22"/>
                <w:szCs w:val="22"/>
              </w:rPr>
              <w:t>der ansteigenden Todesfällen</w:t>
            </w:r>
            <w:proofErr w:type="gramEnd"/>
            <w:r>
              <w:rPr>
                <w:sz w:val="22"/>
                <w:szCs w:val="22"/>
              </w:rPr>
              <w:t xml:space="preserve"> hält vermutlich nicht an</w:t>
            </w:r>
          </w:p>
          <w:p>
            <w:pPr>
              <w:pStyle w:val="Listenabsatz"/>
              <w:numPr>
                <w:ilvl w:val="2"/>
                <w:numId w:val="24"/>
              </w:numPr>
              <w:ind w:left="1491" w:hanging="357"/>
              <w:rPr>
                <w:sz w:val="22"/>
                <w:szCs w:val="22"/>
              </w:rPr>
            </w:pPr>
            <w:r>
              <w:rPr>
                <w:sz w:val="22"/>
                <w:szCs w:val="22"/>
              </w:rPr>
              <w:t>Altersgruppe der Kinder und Jugendlichen (10-19) wird intern nochmal differenzierter dargestellt, um Unterschiede zwischen Kindern und Jugendlichen bessern darzustellen, aktuell höchste Inzidenz gemäß ARZ bei 10-14jährgein</w:t>
            </w:r>
          </w:p>
          <w:p>
            <w:pPr>
              <w:pStyle w:val="Listenabsatz"/>
              <w:numPr>
                <w:ilvl w:val="2"/>
                <w:numId w:val="24"/>
              </w:numPr>
              <w:ind w:left="1491" w:hanging="357"/>
              <w:rPr>
                <w:sz w:val="22"/>
                <w:szCs w:val="22"/>
              </w:rPr>
            </w:pPr>
            <w:r>
              <w:rPr>
                <w:sz w:val="22"/>
                <w:szCs w:val="22"/>
              </w:rPr>
              <w:t>Unterschied in Grund- und weiterführenden Schulen bei Inzidenzen?</w:t>
            </w:r>
          </w:p>
          <w:p>
            <w:pPr>
              <w:pStyle w:val="Listenabsatz"/>
              <w:numPr>
                <w:ilvl w:val="0"/>
                <w:numId w:val="24"/>
              </w:numPr>
              <w:rPr>
                <w:i/>
                <w:sz w:val="22"/>
                <w:szCs w:val="22"/>
              </w:rPr>
            </w:pPr>
            <w:r>
              <w:rPr>
                <w:i/>
                <w:sz w:val="22"/>
                <w:szCs w:val="22"/>
              </w:rPr>
              <w:t>Diskussion zur Erweiterung der Maßnahmen und Entwicklung der Fallzahlen:</w:t>
            </w:r>
          </w:p>
          <w:p>
            <w:pPr>
              <w:pStyle w:val="Listenabsatz"/>
              <w:numPr>
                <w:ilvl w:val="2"/>
                <w:numId w:val="24"/>
              </w:numPr>
              <w:ind w:left="1491" w:hanging="357"/>
              <w:rPr>
                <w:sz w:val="22"/>
                <w:szCs w:val="22"/>
              </w:rPr>
            </w:pPr>
            <w:r>
              <w:rPr>
                <w:sz w:val="22"/>
                <w:szCs w:val="22"/>
              </w:rPr>
              <w:t xml:space="preserve">Avisiertes Ziel von &lt;50/100.000 wird vermutlich bis Weihnachten nicht erreicht, Abflachung der Kurve ist </w:t>
            </w:r>
            <w:proofErr w:type="spellStart"/>
            <w:r>
              <w:rPr>
                <w:sz w:val="22"/>
                <w:szCs w:val="22"/>
              </w:rPr>
              <w:t>ist</w:t>
            </w:r>
            <w:proofErr w:type="spellEnd"/>
            <w:r>
              <w:rPr>
                <w:sz w:val="22"/>
                <w:szCs w:val="22"/>
              </w:rPr>
              <w:t xml:space="preserve"> langsamer als ihr Anstieg, Compliance der Bevölkerung kritischer Punkt</w:t>
            </w:r>
          </w:p>
          <w:p>
            <w:pPr>
              <w:pStyle w:val="Listenabsatz"/>
              <w:numPr>
                <w:ilvl w:val="2"/>
                <w:numId w:val="24"/>
              </w:numPr>
              <w:ind w:left="1491" w:hanging="357"/>
              <w:rPr>
                <w:sz w:val="22"/>
                <w:szCs w:val="22"/>
              </w:rPr>
            </w:pPr>
            <w:r>
              <w:rPr>
                <w:sz w:val="22"/>
                <w:szCs w:val="22"/>
              </w:rPr>
              <w:t>Ggf. weitere Auswertung der Großstädte: warum geht es in Bremen zurück, aber nicht in Berlin?</w:t>
            </w:r>
          </w:p>
          <w:p>
            <w:pPr>
              <w:pStyle w:val="Listenabsatz"/>
              <w:numPr>
                <w:ilvl w:val="2"/>
                <w:numId w:val="24"/>
              </w:numPr>
              <w:ind w:left="1491" w:hanging="357"/>
              <w:rPr>
                <w:sz w:val="22"/>
                <w:szCs w:val="22"/>
              </w:rPr>
            </w:pPr>
            <w:r>
              <w:rPr>
                <w:sz w:val="22"/>
                <w:szCs w:val="22"/>
              </w:rPr>
              <w:t>Ggf. kann Gruppe der 50-90jährigen mehr/besser Maßnahmen umsetzen da auch hier hohe Inzidenzen?</w:t>
            </w:r>
          </w:p>
          <w:p>
            <w:pPr>
              <w:pStyle w:val="Listenabsatz"/>
              <w:numPr>
                <w:ilvl w:val="2"/>
                <w:numId w:val="24"/>
              </w:numPr>
              <w:ind w:left="1491" w:hanging="357"/>
              <w:rPr>
                <w:sz w:val="22"/>
                <w:szCs w:val="22"/>
              </w:rPr>
            </w:pPr>
            <w:r>
              <w:rPr>
                <w:sz w:val="22"/>
                <w:szCs w:val="22"/>
              </w:rPr>
              <w:t xml:space="preserve">Limitationen der </w:t>
            </w:r>
            <w:proofErr w:type="spellStart"/>
            <w:r>
              <w:rPr>
                <w:sz w:val="22"/>
                <w:szCs w:val="22"/>
              </w:rPr>
              <w:t>Heatmp</w:t>
            </w:r>
            <w:proofErr w:type="spellEnd"/>
            <w:r>
              <w:rPr>
                <w:sz w:val="22"/>
                <w:szCs w:val="22"/>
              </w:rPr>
              <w:t xml:space="preserve">: </w:t>
            </w:r>
            <w:proofErr w:type="spellStart"/>
            <w:r>
              <w:rPr>
                <w:sz w:val="22"/>
                <w:szCs w:val="22"/>
              </w:rPr>
              <w:t>Heatmap</w:t>
            </w:r>
            <w:proofErr w:type="spellEnd"/>
            <w:r>
              <w:rPr>
                <w:sz w:val="22"/>
                <w:szCs w:val="22"/>
              </w:rPr>
              <w:t xml:space="preserve"> </w:t>
            </w:r>
            <w:proofErr w:type="spellStart"/>
            <w:r>
              <w:rPr>
                <w:sz w:val="22"/>
                <w:szCs w:val="22"/>
              </w:rPr>
              <w:t>spigelt</w:t>
            </w:r>
            <w:proofErr w:type="spellEnd"/>
            <w:r>
              <w:rPr>
                <w:sz w:val="22"/>
                <w:szCs w:val="22"/>
              </w:rPr>
              <w:t xml:space="preserve"> nicht Testhäufigkeit in Altersgruppen wieder, ggf. kann begrenzte Laborkapazität zur „Stabilisierung“ der Fallzahlen beitragen</w:t>
            </w:r>
          </w:p>
          <w:p>
            <w:pPr>
              <w:pStyle w:val="Listenabsatz"/>
              <w:ind w:left="0"/>
              <w:rPr>
                <w:i/>
                <w:sz w:val="22"/>
                <w:szCs w:val="22"/>
              </w:rPr>
            </w:pPr>
            <w:r>
              <w:rPr>
                <w:i/>
                <w:sz w:val="22"/>
                <w:szCs w:val="22"/>
              </w:rPr>
              <w:lastRenderedPageBreak/>
              <w:t xml:space="preserve">TODO: Daten der altersbezogenen Inzidenzen der Kinder und Jugendlichen weiter nach Subgruppen stratifizieren (M. Diercke) </w:t>
            </w:r>
          </w:p>
          <w:p>
            <w:pPr>
              <w:pStyle w:val="Listenabsatz"/>
              <w:ind w:left="0"/>
              <w:rPr>
                <w:sz w:val="22"/>
                <w:szCs w:val="22"/>
              </w:rPr>
            </w:pPr>
          </w:p>
          <w:p>
            <w:pPr>
              <w:rPr>
                <w:sz w:val="22"/>
                <w:szCs w:val="22"/>
              </w:rPr>
            </w:pPr>
          </w:p>
          <w:p>
            <w:pPr>
              <w:pStyle w:val="Listenabsatz"/>
              <w:numPr>
                <w:ilvl w:val="0"/>
                <w:numId w:val="11"/>
              </w:numPr>
              <w:rPr>
                <w:sz w:val="22"/>
                <w:szCs w:val="22"/>
              </w:rPr>
            </w:pPr>
            <w:proofErr w:type="spellStart"/>
            <w:r>
              <w:rPr>
                <w:sz w:val="22"/>
                <w:szCs w:val="22"/>
              </w:rPr>
              <w:t>Syndromische</w:t>
            </w:r>
            <w:proofErr w:type="spellEnd"/>
            <w:r>
              <w:rPr>
                <w:sz w:val="22"/>
                <w:szCs w:val="22"/>
              </w:rPr>
              <w:t xml:space="preserve"> Surveillance (</w:t>
            </w:r>
            <w:hyperlink r:id="rId10" w:history="1">
              <w:r>
                <w:rPr>
                  <w:rStyle w:val="Hyperlink"/>
                  <w:sz w:val="22"/>
                  <w:szCs w:val="22"/>
                </w:rPr>
                <w:t>Folien</w:t>
              </w:r>
            </w:hyperlink>
            <w:r>
              <w:rPr>
                <w:sz w:val="22"/>
                <w:szCs w:val="22"/>
              </w:rPr>
              <w:t>)</w:t>
            </w:r>
          </w:p>
          <w:p>
            <w:pPr>
              <w:pStyle w:val="Listenabsatz"/>
              <w:numPr>
                <w:ilvl w:val="1"/>
                <w:numId w:val="11"/>
              </w:numPr>
              <w:ind w:left="1069"/>
              <w:rPr>
                <w:sz w:val="22"/>
                <w:szCs w:val="22"/>
              </w:rPr>
            </w:pPr>
            <w:r>
              <w:rPr>
                <w:sz w:val="22"/>
                <w:szCs w:val="22"/>
              </w:rPr>
              <w:t xml:space="preserve">Grippeweb: </w:t>
            </w:r>
            <w:proofErr w:type="spellStart"/>
            <w:r>
              <w:rPr>
                <w:sz w:val="22"/>
                <w:szCs w:val="22"/>
              </w:rPr>
              <w:t>Atemwegserrkankungen</w:t>
            </w:r>
            <w:proofErr w:type="spellEnd"/>
            <w:r>
              <w:rPr>
                <w:sz w:val="22"/>
                <w:szCs w:val="22"/>
              </w:rPr>
              <w:t xml:space="preserve"> deutlich unter Vorjahresniveau mit sinkendem Trend</w:t>
            </w:r>
          </w:p>
          <w:p>
            <w:pPr>
              <w:pStyle w:val="Listenabsatz"/>
              <w:numPr>
                <w:ilvl w:val="1"/>
                <w:numId w:val="11"/>
              </w:numPr>
              <w:ind w:left="1069"/>
              <w:rPr>
                <w:sz w:val="22"/>
                <w:szCs w:val="22"/>
              </w:rPr>
            </w:pPr>
            <w:r>
              <w:rPr>
                <w:sz w:val="22"/>
                <w:szCs w:val="22"/>
              </w:rPr>
              <w:t>Auch ARE-Konsultationen seit 2 Wochen deutlich unter Vorsaison und rückläufig, ca. 830.000 ARE-Konsultationen in der letzten Woche</w:t>
            </w:r>
          </w:p>
          <w:p>
            <w:pPr>
              <w:pStyle w:val="Listenabsatz"/>
              <w:numPr>
                <w:ilvl w:val="1"/>
                <w:numId w:val="11"/>
              </w:numPr>
              <w:ind w:left="1069"/>
              <w:rPr>
                <w:sz w:val="22"/>
                <w:szCs w:val="22"/>
              </w:rPr>
            </w:pPr>
            <w:r>
              <w:rPr>
                <w:sz w:val="22"/>
                <w:szCs w:val="22"/>
              </w:rPr>
              <w:t>SARI-Fälle im ICOSARI-Sentinel: bei den &lt;60jährigen kein Anstieg mehr, aber bei 35-59jährigen deutlich erhöhtes Niveau, hier bereits Niveau von Frühjahr erreicht</w:t>
            </w:r>
          </w:p>
          <w:p>
            <w:pPr>
              <w:pStyle w:val="Listenabsatz"/>
              <w:numPr>
                <w:ilvl w:val="1"/>
                <w:numId w:val="11"/>
              </w:numPr>
              <w:ind w:left="1069"/>
              <w:rPr>
                <w:sz w:val="22"/>
                <w:szCs w:val="22"/>
              </w:rPr>
            </w:pPr>
            <w:r>
              <w:rPr>
                <w:sz w:val="22"/>
                <w:szCs w:val="22"/>
              </w:rPr>
              <w:t>Anteil der COVID-Fälle unter SARI-Fällen bei &gt;50%, unter 35-59jährigen bei 75% in der 44. KW</w:t>
            </w:r>
          </w:p>
          <w:p>
            <w:pPr>
              <w:pStyle w:val="Listenabsatz"/>
              <w:numPr>
                <w:ilvl w:val="1"/>
                <w:numId w:val="11"/>
              </w:numPr>
              <w:ind w:left="1069"/>
              <w:rPr>
                <w:sz w:val="22"/>
                <w:szCs w:val="22"/>
              </w:rPr>
            </w:pPr>
            <w:r>
              <w:rPr>
                <w:sz w:val="22"/>
                <w:szCs w:val="22"/>
              </w:rPr>
              <w:t>ARS-D</w:t>
            </w:r>
            <w:r>
              <w:t>aten</w:t>
            </w:r>
            <w:r>
              <w:rPr>
                <w:sz w:val="22"/>
                <w:szCs w:val="22"/>
              </w:rPr>
              <w:t xml:space="preserve"> </w:t>
            </w:r>
            <w:r>
              <w:t>(</w:t>
            </w:r>
            <w:hyperlink r:id="rId11" w:history="1">
              <w:r>
                <w:rPr>
                  <w:rStyle w:val="Hyperlink"/>
                </w:rPr>
                <w:t>Folien</w:t>
              </w:r>
            </w:hyperlink>
            <w:r>
              <w:t>):</w:t>
            </w:r>
            <w:r>
              <w:rPr>
                <w:sz w:val="22"/>
                <w:szCs w:val="22"/>
              </w:rPr>
              <w:t xml:space="preserve"> 45.KW niedriger als 44. KW, keine größere Testverzögerung im Vergleich zur Vorwoche, Anzahl der Testungen in allen Altersgruppen zurückgegangen, </w:t>
            </w:r>
            <w:proofErr w:type="spellStart"/>
            <w:r>
              <w:rPr>
                <w:sz w:val="22"/>
                <w:szCs w:val="22"/>
              </w:rPr>
              <w:t>Positivenanteil</w:t>
            </w:r>
            <w:proofErr w:type="spellEnd"/>
            <w:r>
              <w:rPr>
                <w:sz w:val="22"/>
                <w:szCs w:val="22"/>
              </w:rPr>
              <w:t xml:space="preserve"> bei den 0-4jährigen langsamerer Anstieg und geringster </w:t>
            </w:r>
            <w:proofErr w:type="spellStart"/>
            <w:r>
              <w:rPr>
                <w:sz w:val="22"/>
                <w:szCs w:val="22"/>
              </w:rPr>
              <w:t>Positivenanteil</w:t>
            </w:r>
            <w:proofErr w:type="spellEnd"/>
            <w:r>
              <w:rPr>
                <w:sz w:val="22"/>
                <w:szCs w:val="22"/>
              </w:rPr>
              <w:t xml:space="preserve">, ebenso bei den 5-14jährigen, unterschiedliches Bild des </w:t>
            </w:r>
            <w:proofErr w:type="spellStart"/>
            <w:r>
              <w:rPr>
                <w:sz w:val="22"/>
                <w:szCs w:val="22"/>
              </w:rPr>
              <w:t>Positivenanteils</w:t>
            </w:r>
            <w:proofErr w:type="spellEnd"/>
            <w:r>
              <w:rPr>
                <w:sz w:val="22"/>
                <w:szCs w:val="22"/>
              </w:rPr>
              <w:t xml:space="preserve"> bei Stratifizierung nach Bundesländern, kein Anhalt für viele Übertragungen in den Schulen</w:t>
            </w:r>
          </w:p>
          <w:p>
            <w:pPr>
              <w:pStyle w:val="Listenabsatz"/>
              <w:numPr>
                <w:ilvl w:val="0"/>
                <w:numId w:val="11"/>
              </w:numPr>
              <w:rPr>
                <w:i/>
                <w:sz w:val="22"/>
                <w:szCs w:val="22"/>
              </w:rPr>
            </w:pPr>
            <w:r>
              <w:rPr>
                <w:i/>
                <w:sz w:val="22"/>
                <w:szCs w:val="22"/>
              </w:rPr>
              <w:t>Diskussion zu Inzidenzen bei Kindern und Jugendlichen sowie Maßnahmen an Schulen:</w:t>
            </w:r>
          </w:p>
          <w:p>
            <w:pPr>
              <w:pStyle w:val="Listenabsatz"/>
              <w:numPr>
                <w:ilvl w:val="1"/>
                <w:numId w:val="11"/>
              </w:numPr>
              <w:ind w:left="1069"/>
              <w:rPr>
                <w:sz w:val="22"/>
                <w:szCs w:val="22"/>
              </w:rPr>
            </w:pPr>
            <w:r>
              <w:rPr>
                <w:sz w:val="22"/>
                <w:szCs w:val="22"/>
              </w:rPr>
              <w:t>Grundsätzlich ist Übertragung bei Kindern/</w:t>
            </w:r>
            <w:proofErr w:type="spellStart"/>
            <w:r>
              <w:rPr>
                <w:sz w:val="22"/>
                <w:szCs w:val="22"/>
              </w:rPr>
              <w:t>Jungedlichen</w:t>
            </w:r>
            <w:proofErr w:type="spellEnd"/>
            <w:r>
              <w:rPr>
                <w:sz w:val="22"/>
                <w:szCs w:val="22"/>
              </w:rPr>
              <w:t xml:space="preserve"> vergleichbar mit Situation bei Erwachsenen, kein Anhalt für geringere Betroffenheit von Kindern/Jugendlichen bis auf Kita/</w:t>
            </w:r>
            <w:proofErr w:type="spellStart"/>
            <w:r>
              <w:rPr>
                <w:sz w:val="22"/>
                <w:szCs w:val="22"/>
              </w:rPr>
              <w:t>Gundschulkinder</w:t>
            </w:r>
            <w:proofErr w:type="spellEnd"/>
            <w:r>
              <w:rPr>
                <w:sz w:val="22"/>
                <w:szCs w:val="22"/>
              </w:rPr>
              <w:t xml:space="preserve">, ggf. aber auch viele </w:t>
            </w:r>
            <w:proofErr w:type="spellStart"/>
            <w:r>
              <w:rPr>
                <w:sz w:val="22"/>
                <w:szCs w:val="22"/>
              </w:rPr>
              <w:t>undiagnostizierte</w:t>
            </w:r>
            <w:proofErr w:type="spellEnd"/>
            <w:r>
              <w:rPr>
                <w:sz w:val="22"/>
                <w:szCs w:val="22"/>
              </w:rPr>
              <w:t xml:space="preserve"> asymptomatische Fälle in dieser Altersgruppe im Sinne von diagnostischem Bias</w:t>
            </w:r>
          </w:p>
          <w:p>
            <w:pPr>
              <w:pStyle w:val="Listenabsatz"/>
              <w:numPr>
                <w:ilvl w:val="1"/>
                <w:numId w:val="11"/>
              </w:numPr>
              <w:ind w:left="1069"/>
              <w:rPr>
                <w:sz w:val="22"/>
                <w:szCs w:val="22"/>
              </w:rPr>
            </w:pPr>
            <w:r>
              <w:rPr>
                <w:sz w:val="22"/>
                <w:szCs w:val="22"/>
              </w:rPr>
              <w:t xml:space="preserve">Obwohl die aktuellen Maßnahmen sich nicht auf Schulen konzentriert kommt es nicht zu einem größeren Anstieg bei den </w:t>
            </w:r>
            <w:proofErr w:type="spellStart"/>
            <w:r>
              <w:rPr>
                <w:sz w:val="22"/>
                <w:szCs w:val="22"/>
              </w:rPr>
              <w:t>Kidnern</w:t>
            </w:r>
            <w:proofErr w:type="spellEnd"/>
            <w:r>
              <w:rPr>
                <w:sz w:val="22"/>
                <w:szCs w:val="22"/>
              </w:rPr>
              <w:t>/Jugendlichen</w:t>
            </w:r>
          </w:p>
          <w:p>
            <w:pPr>
              <w:pStyle w:val="Listenabsatz"/>
              <w:numPr>
                <w:ilvl w:val="1"/>
                <w:numId w:val="11"/>
              </w:numPr>
              <w:ind w:left="1069"/>
              <w:rPr>
                <w:sz w:val="22"/>
                <w:szCs w:val="22"/>
              </w:rPr>
            </w:pPr>
            <w:r>
              <w:rPr>
                <w:sz w:val="22"/>
                <w:szCs w:val="22"/>
              </w:rPr>
              <w:t>Ziel bleibt, die Schulen offen zu halten aber mit verschärften präventiven Maßnahmen</w:t>
            </w:r>
          </w:p>
          <w:p>
            <w:pPr>
              <w:pStyle w:val="Listenabsatz"/>
              <w:numPr>
                <w:ilvl w:val="1"/>
                <w:numId w:val="11"/>
              </w:numPr>
              <w:ind w:left="1069"/>
              <w:rPr>
                <w:sz w:val="22"/>
                <w:szCs w:val="22"/>
              </w:rPr>
            </w:pPr>
            <w:r>
              <w:rPr>
                <w:sz w:val="22"/>
                <w:szCs w:val="22"/>
              </w:rPr>
              <w:t xml:space="preserve">Konzentration auf </w:t>
            </w:r>
            <w:proofErr w:type="spellStart"/>
            <w:r>
              <w:rPr>
                <w:sz w:val="22"/>
                <w:szCs w:val="22"/>
              </w:rPr>
              <w:t>BuLä</w:t>
            </w:r>
            <w:proofErr w:type="spellEnd"/>
            <w:r>
              <w:rPr>
                <w:sz w:val="22"/>
                <w:szCs w:val="22"/>
              </w:rPr>
              <w:t xml:space="preserve">, in denen es wenig Hygienekonzepte in Schulen gibt, ggf. erneut Stratifizierung der Daten nach </w:t>
            </w:r>
            <w:proofErr w:type="spellStart"/>
            <w:r>
              <w:rPr>
                <w:sz w:val="22"/>
                <w:szCs w:val="22"/>
              </w:rPr>
              <w:t>Positivenrate</w:t>
            </w:r>
            <w:proofErr w:type="spellEnd"/>
            <w:r>
              <w:rPr>
                <w:sz w:val="22"/>
                <w:szCs w:val="22"/>
              </w:rPr>
              <w:t xml:space="preserve"> nach </w:t>
            </w:r>
            <w:proofErr w:type="spellStart"/>
            <w:r>
              <w:rPr>
                <w:sz w:val="22"/>
                <w:szCs w:val="22"/>
              </w:rPr>
              <w:t>BuLä</w:t>
            </w:r>
            <w:proofErr w:type="spellEnd"/>
          </w:p>
          <w:p>
            <w:pPr>
              <w:pStyle w:val="Listenabsatz"/>
              <w:numPr>
                <w:ilvl w:val="1"/>
                <w:numId w:val="11"/>
              </w:numPr>
              <w:ind w:left="1069"/>
              <w:rPr>
                <w:sz w:val="22"/>
                <w:szCs w:val="22"/>
              </w:rPr>
            </w:pPr>
            <w:r>
              <w:rPr>
                <w:sz w:val="22"/>
                <w:szCs w:val="22"/>
              </w:rPr>
              <w:t>Ggf. Empfehlungen zu Sport- und Musikunterricht anpassen, da diese bisher weiterhin stattfinden</w:t>
            </w:r>
          </w:p>
          <w:p>
            <w:pPr>
              <w:pStyle w:val="Listenabsatz"/>
              <w:numPr>
                <w:ilvl w:val="1"/>
                <w:numId w:val="11"/>
              </w:numPr>
              <w:ind w:left="1069"/>
              <w:rPr>
                <w:sz w:val="22"/>
                <w:szCs w:val="22"/>
              </w:rPr>
            </w:pPr>
            <w:r>
              <w:rPr>
                <w:sz w:val="22"/>
                <w:szCs w:val="22"/>
              </w:rPr>
              <w:t xml:space="preserve">Gibt es wirklich </w:t>
            </w:r>
            <w:proofErr w:type="gramStart"/>
            <w:r>
              <w:rPr>
                <w:sz w:val="22"/>
                <w:szCs w:val="22"/>
              </w:rPr>
              <w:t>einen diagnostischen Bias</w:t>
            </w:r>
            <w:proofErr w:type="gramEnd"/>
            <w:r>
              <w:rPr>
                <w:sz w:val="22"/>
                <w:szCs w:val="22"/>
              </w:rPr>
              <w:t xml:space="preserve"> bei asymptomatischen Kindern oder ist niedriger </w:t>
            </w:r>
            <w:proofErr w:type="spellStart"/>
            <w:r>
              <w:rPr>
                <w:sz w:val="22"/>
                <w:szCs w:val="22"/>
              </w:rPr>
              <w:t>Positivenanteil</w:t>
            </w:r>
            <w:proofErr w:type="spellEnd"/>
            <w:r>
              <w:rPr>
                <w:sz w:val="22"/>
                <w:szCs w:val="22"/>
              </w:rPr>
              <w:t xml:space="preserve"> nicht etwa sogar unterschätzt aufgrund von Testung von eher symptomatischen Kindern?</w:t>
            </w:r>
          </w:p>
          <w:p>
            <w:pPr>
              <w:pStyle w:val="Listenabsatz"/>
              <w:numPr>
                <w:ilvl w:val="1"/>
                <w:numId w:val="11"/>
              </w:numPr>
              <w:ind w:left="1069"/>
              <w:rPr>
                <w:sz w:val="22"/>
                <w:szCs w:val="22"/>
              </w:rPr>
            </w:pPr>
            <w:r>
              <w:rPr>
                <w:sz w:val="22"/>
                <w:szCs w:val="22"/>
              </w:rPr>
              <w:t>Unsere Empfehlungen sind aktuell aber werden leider bisher nur z.T. umgesetzt</w:t>
            </w:r>
          </w:p>
          <w:p>
            <w:pPr>
              <w:pStyle w:val="Listenabsatz"/>
              <w:numPr>
                <w:ilvl w:val="1"/>
                <w:numId w:val="11"/>
              </w:numPr>
              <w:ind w:left="1069"/>
              <w:rPr>
                <w:sz w:val="22"/>
                <w:szCs w:val="22"/>
              </w:rPr>
            </w:pPr>
            <w:r>
              <w:rPr>
                <w:sz w:val="22"/>
                <w:szCs w:val="22"/>
              </w:rPr>
              <w:lastRenderedPageBreak/>
              <w:t>Datengrundlage von Negativtests wird wegfallen, es bleibt nur ARS</w:t>
            </w:r>
          </w:p>
          <w:p>
            <w:pPr>
              <w:rPr>
                <w:sz w:val="22"/>
                <w:szCs w:val="22"/>
              </w:rPr>
            </w:pPr>
          </w:p>
          <w:p>
            <w:pPr>
              <w:rPr>
                <w:i/>
                <w:sz w:val="22"/>
                <w:szCs w:val="22"/>
              </w:rPr>
            </w:pPr>
            <w:r>
              <w:rPr>
                <w:i/>
                <w:sz w:val="22"/>
                <w:szCs w:val="22"/>
              </w:rPr>
              <w:t>TODO: Dialog mit BMG über Kompensation von wegfallenden Daten über Ausweitung von ARS (</w:t>
            </w:r>
            <w:proofErr w:type="spellStart"/>
            <w:r>
              <w:rPr>
                <w:i/>
                <w:sz w:val="22"/>
                <w:szCs w:val="22"/>
              </w:rPr>
              <w:t>Leiung</w:t>
            </w:r>
            <w:proofErr w:type="spellEnd"/>
            <w:r>
              <w:rPr>
                <w:i/>
                <w:sz w:val="22"/>
                <w:szCs w:val="22"/>
              </w:rPr>
              <w:t xml:space="preserve">/T. </w:t>
            </w:r>
            <w:proofErr w:type="spellStart"/>
            <w:r>
              <w:rPr>
                <w:i/>
                <w:sz w:val="22"/>
                <w:szCs w:val="22"/>
              </w:rPr>
              <w:t>Eckmanns</w:t>
            </w:r>
            <w:proofErr w:type="spellEnd"/>
            <w:r>
              <w:rPr>
                <w:i/>
                <w:sz w:val="22"/>
                <w:szCs w:val="22"/>
              </w:rPr>
              <w:t>)</w:t>
            </w:r>
          </w:p>
          <w:p>
            <w:pPr>
              <w:rPr>
                <w:sz w:val="22"/>
                <w:szCs w:val="22"/>
              </w:rPr>
            </w:pPr>
          </w:p>
          <w:p>
            <w:pPr>
              <w:pStyle w:val="Listenabsatz"/>
              <w:numPr>
                <w:ilvl w:val="0"/>
                <w:numId w:val="11"/>
              </w:numPr>
              <w:rPr>
                <w:sz w:val="22"/>
                <w:szCs w:val="22"/>
              </w:rPr>
            </w:pPr>
            <w:r>
              <w:rPr>
                <w:sz w:val="22"/>
                <w:szCs w:val="22"/>
              </w:rPr>
              <w:t xml:space="preserve">Testkapazität und Testungen (mittwochs </w:t>
            </w:r>
            <w:hyperlink r:id="rId12" w:history="1">
              <w:r>
                <w:rPr>
                  <w:rStyle w:val="Hyperlink"/>
                  <w:sz w:val="22"/>
                  <w:szCs w:val="22"/>
                </w:rPr>
                <w:t>Folien</w:t>
              </w:r>
            </w:hyperlink>
            <w:r>
              <w:rPr>
                <w:sz w:val="22"/>
                <w:szCs w:val="22"/>
              </w:rPr>
              <w:t>)</w:t>
            </w:r>
          </w:p>
          <w:p>
            <w:pPr>
              <w:pStyle w:val="Listenabsatz"/>
              <w:numPr>
                <w:ilvl w:val="1"/>
                <w:numId w:val="11"/>
              </w:numPr>
              <w:ind w:left="1069"/>
              <w:rPr>
                <w:sz w:val="22"/>
                <w:szCs w:val="22"/>
              </w:rPr>
            </w:pPr>
            <w:r>
              <w:rPr>
                <w:sz w:val="22"/>
                <w:szCs w:val="22"/>
              </w:rPr>
              <w:t xml:space="preserve">Zahl der Tests rückläufig, </w:t>
            </w:r>
            <w:proofErr w:type="spellStart"/>
            <w:r>
              <w:rPr>
                <w:sz w:val="22"/>
                <w:szCs w:val="22"/>
              </w:rPr>
              <w:t>dh</w:t>
            </w:r>
            <w:proofErr w:type="spellEnd"/>
            <w:r>
              <w:rPr>
                <w:sz w:val="22"/>
                <w:szCs w:val="22"/>
              </w:rPr>
              <w:t xml:space="preserve">. Kapazität ist nicht mehr voll ausgelastet, Positivquote angestiegen auf 9%, allerdings aufgrund der neuen Testkriterien vom 11.11.2020 nur bedingt zur Vorwoche direkt vergleichbar, der weitere Verlauf wird dann wieder vergleichbar, trotzdem Untererfassung vermutlich steigend, Probenrückstau hat abgenommen, neuer Absatz bezüglich des </w:t>
            </w:r>
            <w:proofErr w:type="spellStart"/>
            <w:r>
              <w:rPr>
                <w:sz w:val="22"/>
                <w:szCs w:val="22"/>
              </w:rPr>
              <w:t>Positivenanteils</w:t>
            </w:r>
            <w:proofErr w:type="spellEnd"/>
            <w:r>
              <w:rPr>
                <w:sz w:val="22"/>
                <w:szCs w:val="22"/>
              </w:rPr>
              <w:t xml:space="preserve"> unter den neuen Testkriterien im Lagebericht</w:t>
            </w:r>
          </w:p>
          <w:p>
            <w:pPr>
              <w:pStyle w:val="Listenabsatz"/>
              <w:ind w:left="1069"/>
              <w:rPr>
                <w:sz w:val="22"/>
                <w:szCs w:val="22"/>
              </w:rPr>
            </w:pPr>
          </w:p>
          <w:p>
            <w:pPr>
              <w:pStyle w:val="Listenabsatz"/>
              <w:numPr>
                <w:ilvl w:val="0"/>
                <w:numId w:val="11"/>
              </w:numPr>
              <w:rPr>
                <w:sz w:val="22"/>
                <w:szCs w:val="22"/>
              </w:rPr>
            </w:pPr>
            <w:r>
              <w:rPr>
                <w:sz w:val="22"/>
                <w:szCs w:val="22"/>
              </w:rPr>
              <w:t>Austausch GA Offenbach (Rexroth)</w:t>
            </w:r>
          </w:p>
          <w:p>
            <w:pPr>
              <w:pStyle w:val="Listenabsatz"/>
              <w:numPr>
                <w:ilvl w:val="1"/>
                <w:numId w:val="11"/>
              </w:numPr>
              <w:rPr>
                <w:sz w:val="22"/>
                <w:szCs w:val="22"/>
              </w:rPr>
            </w:pPr>
            <w:r>
              <w:rPr>
                <w:sz w:val="22"/>
                <w:szCs w:val="22"/>
              </w:rPr>
              <w:t xml:space="preserve">Work in </w:t>
            </w:r>
            <w:proofErr w:type="spellStart"/>
            <w:r>
              <w:rPr>
                <w:sz w:val="22"/>
                <w:szCs w:val="22"/>
              </w:rPr>
              <w:t>progress</w:t>
            </w:r>
            <w:proofErr w:type="spellEnd"/>
          </w:p>
        </w:tc>
        <w:tc>
          <w:tcPr>
            <w:tcW w:w="1809" w:type="dxa"/>
          </w:tcPr>
          <w:p>
            <w:pPr>
              <w:rPr>
                <w:sz w:val="22"/>
                <w:szCs w:val="22"/>
              </w:rPr>
            </w:pPr>
          </w:p>
          <w:p>
            <w:pPr>
              <w:rPr>
                <w:sz w:val="22"/>
                <w:szCs w:val="22"/>
              </w:rPr>
            </w:pPr>
          </w:p>
          <w:p>
            <w:pPr>
              <w:rPr>
                <w:sz w:val="22"/>
                <w:szCs w:val="22"/>
              </w:rPr>
            </w:pPr>
            <w:r>
              <w:rPr>
                <w:sz w:val="22"/>
                <w:szCs w:val="22"/>
              </w:rPr>
              <w:t>ZIG 1/Regina Singer</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rStyle w:val="Hyperlink"/>
                <w:sz w:val="22"/>
                <w:szCs w:val="22"/>
              </w:rPr>
            </w:pPr>
            <w:r>
              <w:rPr>
                <w:sz w:val="22"/>
                <w:szCs w:val="22"/>
              </w:rPr>
              <w:t>FG 32/M.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36/S.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37/T. </w:t>
            </w:r>
            <w:proofErr w:type="spellStart"/>
            <w:r>
              <w:rPr>
                <w:sz w:val="22"/>
                <w:szCs w:val="22"/>
              </w:rPr>
              <w:t>Eckmanns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Abt. 3/O. </w:t>
            </w:r>
            <w:proofErr w:type="spellStart"/>
            <w:r>
              <w:rPr>
                <w:sz w:val="22"/>
                <w:szCs w:val="22"/>
              </w:rPr>
              <w:t>Hamouda</w:t>
            </w:r>
            <w:proofErr w:type="spellEnd"/>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U. Rexroth</w:t>
            </w:r>
          </w:p>
        </w:tc>
      </w:tr>
      <w:tr>
        <w:tc>
          <w:tcPr>
            <w:tcW w:w="684" w:type="dxa"/>
          </w:tcPr>
          <w:p>
            <w:pPr>
              <w:rPr>
                <w:sz w:val="22"/>
                <w:szCs w:val="22"/>
              </w:rPr>
            </w:pPr>
            <w:r>
              <w:rPr>
                <w:sz w:val="22"/>
                <w:szCs w:val="22"/>
              </w:rPr>
              <w:lastRenderedPageBreak/>
              <w:t>2</w:t>
            </w:r>
          </w:p>
        </w:tc>
        <w:tc>
          <w:tcPr>
            <w:tcW w:w="6408" w:type="dxa"/>
          </w:tcPr>
          <w:p>
            <w:pPr>
              <w:rPr>
                <w:b/>
                <w:color w:val="FF0000"/>
                <w:sz w:val="22"/>
                <w:szCs w:val="22"/>
              </w:rPr>
            </w:pPr>
            <w:r>
              <w:rPr>
                <w:b/>
                <w:sz w:val="22"/>
                <w:szCs w:val="22"/>
              </w:rPr>
              <w:t xml:space="preserve">Internationales </w:t>
            </w:r>
            <w:r>
              <w:rPr>
                <w:b/>
                <w:color w:val="FF0000"/>
                <w:sz w:val="22"/>
                <w:szCs w:val="22"/>
              </w:rPr>
              <w:t>(nur freitags)</w:t>
            </w:r>
          </w:p>
          <w:p>
            <w:pPr>
              <w:pStyle w:val="Listenabsatz"/>
              <w:numPr>
                <w:ilvl w:val="0"/>
                <w:numId w:val="12"/>
              </w:numPr>
              <w:rPr>
                <w:sz w:val="22"/>
                <w:szCs w:val="22"/>
              </w:rPr>
            </w:pPr>
          </w:p>
        </w:tc>
        <w:tc>
          <w:tcPr>
            <w:tcW w:w="1809" w:type="dxa"/>
          </w:tcPr>
          <w:p>
            <w:pPr>
              <w:rPr>
                <w:sz w:val="22"/>
                <w:szCs w:val="22"/>
              </w:rPr>
            </w:pPr>
            <w:r>
              <w:rPr>
                <w:sz w:val="22"/>
                <w:szCs w:val="22"/>
              </w:rPr>
              <w:t>ZIG</w:t>
            </w:r>
          </w:p>
        </w:tc>
      </w:tr>
      <w:tr>
        <w:tc>
          <w:tcPr>
            <w:tcW w:w="684" w:type="dxa"/>
          </w:tcPr>
          <w:p>
            <w:pPr>
              <w:rPr>
                <w:sz w:val="22"/>
                <w:szCs w:val="22"/>
              </w:rPr>
            </w:pPr>
            <w:r>
              <w:rPr>
                <w:sz w:val="22"/>
                <w:szCs w:val="22"/>
              </w:rPr>
              <w:t>3</w:t>
            </w:r>
          </w:p>
        </w:tc>
        <w:tc>
          <w:tcPr>
            <w:tcW w:w="6408" w:type="dxa"/>
          </w:tcPr>
          <w:p>
            <w:pPr>
              <w:rPr>
                <w:b/>
                <w:color w:val="FF0000"/>
                <w:sz w:val="22"/>
                <w:szCs w:val="22"/>
              </w:rPr>
            </w:pPr>
            <w:r>
              <w:rPr>
                <w:b/>
                <w:sz w:val="22"/>
                <w:szCs w:val="22"/>
              </w:rPr>
              <w:t xml:space="preserve">Update Digitale Projekte </w:t>
            </w:r>
            <w:r>
              <w:rPr>
                <w:b/>
                <w:color w:val="FF0000"/>
                <w:sz w:val="22"/>
                <w:szCs w:val="22"/>
              </w:rPr>
              <w:t>(nur montags)</w:t>
            </w:r>
          </w:p>
          <w:p>
            <w:pPr>
              <w:rPr>
                <w:b/>
                <w:sz w:val="22"/>
                <w:szCs w:val="22"/>
              </w:rPr>
            </w:pPr>
          </w:p>
        </w:tc>
        <w:tc>
          <w:tcPr>
            <w:tcW w:w="1809" w:type="dxa"/>
          </w:tcPr>
          <w:p>
            <w:pPr>
              <w:rPr>
                <w:sz w:val="22"/>
                <w:szCs w:val="22"/>
              </w:rPr>
            </w:pPr>
            <w:proofErr w:type="spellStart"/>
            <w:r>
              <w:rPr>
                <w:sz w:val="22"/>
                <w:szCs w:val="22"/>
              </w:rPr>
              <w:t>Schmich</w:t>
            </w:r>
            <w:proofErr w:type="spellEnd"/>
          </w:p>
        </w:tc>
      </w:tr>
      <w:tr>
        <w:trPr>
          <w:trHeight w:val="319"/>
        </w:trPr>
        <w:tc>
          <w:tcPr>
            <w:tcW w:w="684" w:type="dxa"/>
          </w:tcPr>
          <w:p>
            <w:pPr>
              <w:rPr>
                <w:sz w:val="22"/>
                <w:szCs w:val="22"/>
              </w:rPr>
            </w:pPr>
            <w:r>
              <w:rPr>
                <w:sz w:val="22"/>
                <w:szCs w:val="22"/>
              </w:rPr>
              <w:t>4</w:t>
            </w:r>
          </w:p>
        </w:tc>
        <w:tc>
          <w:tcPr>
            <w:tcW w:w="6408" w:type="dxa"/>
          </w:tcPr>
          <w:p>
            <w:pPr>
              <w:rPr>
                <w:b/>
                <w:sz w:val="22"/>
                <w:szCs w:val="22"/>
              </w:rPr>
            </w:pPr>
            <w:r>
              <w:rPr>
                <w:b/>
                <w:sz w:val="22"/>
                <w:szCs w:val="22"/>
              </w:rPr>
              <w:t>Aktuelle Risikobewertung</w:t>
            </w:r>
          </w:p>
          <w:p>
            <w:pPr>
              <w:rPr>
                <w:sz w:val="22"/>
                <w:szCs w:val="22"/>
              </w:rPr>
            </w:pPr>
          </w:p>
          <w:p>
            <w:pPr>
              <w:rPr>
                <w:i/>
                <w:sz w:val="22"/>
                <w:szCs w:val="22"/>
              </w:rPr>
            </w:pPr>
            <w:r>
              <w:rPr>
                <w:i/>
                <w:sz w:val="22"/>
                <w:szCs w:val="22"/>
              </w:rPr>
              <w:t xml:space="preserve">TODO: bis Freitag Risikobewertung erneut anschauen so dass am Freitag diskutiert </w:t>
            </w:r>
            <w:proofErr w:type="spellStart"/>
            <w:r>
              <w:rPr>
                <w:i/>
                <w:sz w:val="22"/>
                <w:szCs w:val="22"/>
              </w:rPr>
              <w:t>weren</w:t>
            </w:r>
            <w:proofErr w:type="spellEnd"/>
            <w:r>
              <w:rPr>
                <w:i/>
                <w:sz w:val="22"/>
                <w:szCs w:val="22"/>
              </w:rPr>
              <w:t xml:space="preserve"> </w:t>
            </w:r>
            <w:proofErr w:type="spellStart"/>
            <w:r>
              <w:rPr>
                <w:i/>
                <w:sz w:val="22"/>
                <w:szCs w:val="22"/>
              </w:rPr>
              <w:t>aknn</w:t>
            </w:r>
            <w:proofErr w:type="spellEnd"/>
            <w:r>
              <w:rPr>
                <w:i/>
                <w:sz w:val="22"/>
                <w:szCs w:val="22"/>
              </w:rPr>
              <w:t xml:space="preserve"> (alle)</w:t>
            </w:r>
          </w:p>
        </w:tc>
        <w:tc>
          <w:tcPr>
            <w:tcW w:w="1809" w:type="dxa"/>
          </w:tcPr>
          <w:p>
            <w:pPr>
              <w:rPr>
                <w:sz w:val="22"/>
                <w:szCs w:val="22"/>
              </w:rPr>
            </w:pPr>
          </w:p>
          <w:p>
            <w:pPr>
              <w:rPr>
                <w:sz w:val="22"/>
                <w:szCs w:val="22"/>
              </w:rPr>
            </w:pPr>
          </w:p>
          <w:p>
            <w:pPr>
              <w:rPr>
                <w:sz w:val="22"/>
                <w:szCs w:val="22"/>
              </w:rPr>
            </w:pPr>
            <w:r>
              <w:rPr>
                <w:sz w:val="22"/>
                <w:szCs w:val="22"/>
              </w:rPr>
              <w:t>alle</w:t>
            </w:r>
          </w:p>
        </w:tc>
      </w:tr>
      <w:tr>
        <w:tc>
          <w:tcPr>
            <w:tcW w:w="684" w:type="dxa"/>
          </w:tcPr>
          <w:p>
            <w:pPr>
              <w:rPr>
                <w:sz w:val="22"/>
                <w:szCs w:val="22"/>
              </w:rPr>
            </w:pPr>
            <w:r>
              <w:rPr>
                <w:sz w:val="22"/>
                <w:szCs w:val="22"/>
              </w:rPr>
              <w:t>5</w:t>
            </w:r>
          </w:p>
        </w:tc>
        <w:tc>
          <w:tcPr>
            <w:tcW w:w="6408" w:type="dxa"/>
          </w:tcPr>
          <w:p>
            <w:pPr>
              <w:rPr>
                <w:b/>
                <w:sz w:val="22"/>
                <w:szCs w:val="22"/>
              </w:rPr>
            </w:pPr>
            <w:r>
              <w:rPr>
                <w:b/>
                <w:sz w:val="22"/>
                <w:szCs w:val="22"/>
              </w:rPr>
              <w:t>Kommunikation</w:t>
            </w:r>
          </w:p>
          <w:p>
            <w:pPr>
              <w:pStyle w:val="Listenabsatz"/>
              <w:numPr>
                <w:ilvl w:val="0"/>
                <w:numId w:val="5"/>
              </w:numPr>
              <w:rPr>
                <w:sz w:val="22"/>
                <w:szCs w:val="22"/>
              </w:rPr>
            </w:pPr>
            <w:r>
              <w:rPr>
                <w:sz w:val="22"/>
                <w:szCs w:val="22"/>
              </w:rPr>
              <w:t xml:space="preserve">Impfschema wird </w:t>
            </w:r>
            <w:proofErr w:type="spellStart"/>
            <w:r>
              <w:rPr>
                <w:sz w:val="22"/>
                <w:szCs w:val="22"/>
              </w:rPr>
              <w:t>angespasst</w:t>
            </w:r>
            <w:proofErr w:type="spellEnd"/>
            <w:r>
              <w:rPr>
                <w:sz w:val="22"/>
                <w:szCs w:val="22"/>
              </w:rPr>
              <w:t xml:space="preserve"> und bis Ende der Woche finalisiert</w:t>
            </w:r>
          </w:p>
        </w:tc>
        <w:tc>
          <w:tcPr>
            <w:tcW w:w="1809" w:type="dxa"/>
          </w:tcPr>
          <w:p>
            <w:pPr>
              <w:rPr>
                <w:sz w:val="22"/>
                <w:szCs w:val="22"/>
              </w:rPr>
            </w:pPr>
          </w:p>
          <w:p>
            <w:pPr>
              <w:rPr>
                <w:sz w:val="22"/>
                <w:szCs w:val="22"/>
              </w:rPr>
            </w:pPr>
            <w:r>
              <w:rPr>
                <w:sz w:val="22"/>
                <w:szCs w:val="22"/>
              </w:rPr>
              <w:t xml:space="preserve">BZgA </w:t>
            </w:r>
          </w:p>
          <w:p>
            <w:pPr>
              <w:rPr>
                <w:sz w:val="22"/>
                <w:szCs w:val="22"/>
              </w:rPr>
            </w:pPr>
          </w:p>
        </w:tc>
      </w:tr>
      <w:tr>
        <w:tc>
          <w:tcPr>
            <w:tcW w:w="684" w:type="dxa"/>
          </w:tcPr>
          <w:p>
            <w:pPr>
              <w:rPr>
                <w:sz w:val="22"/>
                <w:szCs w:val="22"/>
              </w:rPr>
            </w:pPr>
            <w:r>
              <w:rPr>
                <w:sz w:val="22"/>
                <w:szCs w:val="22"/>
              </w:rPr>
              <w:t>6</w:t>
            </w:r>
          </w:p>
        </w:tc>
        <w:tc>
          <w:tcPr>
            <w:tcW w:w="6408" w:type="dxa"/>
          </w:tcPr>
          <w:p>
            <w:pPr>
              <w:rPr>
                <w:b/>
                <w:sz w:val="22"/>
                <w:szCs w:val="22"/>
              </w:rPr>
            </w:pPr>
            <w:r>
              <w:rPr>
                <w:b/>
                <w:sz w:val="22"/>
                <w:szCs w:val="22"/>
              </w:rPr>
              <w:t>Strategie Fragen</w:t>
            </w:r>
          </w:p>
          <w:p>
            <w:pPr>
              <w:pStyle w:val="Listenabsatz"/>
              <w:numPr>
                <w:ilvl w:val="0"/>
                <w:numId w:val="15"/>
              </w:numPr>
              <w:rPr>
                <w:b/>
                <w:sz w:val="22"/>
                <w:szCs w:val="22"/>
              </w:rPr>
            </w:pPr>
            <w:r>
              <w:rPr>
                <w:b/>
                <w:sz w:val="22"/>
                <w:szCs w:val="22"/>
              </w:rPr>
              <w:t>Allgemein</w:t>
            </w:r>
          </w:p>
          <w:p>
            <w:pPr>
              <w:pStyle w:val="Listenabsatz"/>
              <w:numPr>
                <w:ilvl w:val="0"/>
                <w:numId w:val="5"/>
              </w:numPr>
              <w:rPr>
                <w:rStyle w:val="Hyperlink"/>
                <w:color w:val="auto"/>
                <w:sz w:val="22"/>
                <w:szCs w:val="22"/>
                <w:u w:val="none"/>
              </w:rPr>
            </w:pPr>
            <w:bookmarkStart w:id="0" w:name="_Hlk56329219"/>
            <w:r>
              <w:rPr>
                <w:sz w:val="22"/>
                <w:szCs w:val="22"/>
              </w:rPr>
              <w:t xml:space="preserve">Effekt vorliegender Grundkrankheiten </w:t>
            </w:r>
            <w:proofErr w:type="gramStart"/>
            <w:r>
              <w:rPr>
                <w:sz w:val="22"/>
                <w:szCs w:val="22"/>
              </w:rPr>
              <w:t>auf das Outcome</w:t>
            </w:r>
            <w:proofErr w:type="gramEnd"/>
            <w:r>
              <w:rPr>
                <w:sz w:val="22"/>
                <w:szCs w:val="22"/>
              </w:rPr>
              <w:t xml:space="preserve"> von COVID-19 Erkrankungen (</w:t>
            </w:r>
            <w:hyperlink r:id="rId13" w:history="1">
              <w:r>
                <w:rPr>
                  <w:rStyle w:val="Hyperlink"/>
                  <w:sz w:val="22"/>
                  <w:szCs w:val="22"/>
                </w:rPr>
                <w:t>Folien</w:t>
              </w:r>
            </w:hyperlink>
            <w:r>
              <w:rPr>
                <w:sz w:val="22"/>
                <w:szCs w:val="22"/>
              </w:rPr>
              <w:t>)</w:t>
            </w:r>
          </w:p>
          <w:p>
            <w:pPr>
              <w:pStyle w:val="Listenabsatz"/>
              <w:numPr>
                <w:ilvl w:val="1"/>
                <w:numId w:val="5"/>
              </w:numPr>
              <w:rPr>
                <w:sz w:val="22"/>
                <w:szCs w:val="22"/>
              </w:rPr>
            </w:pPr>
            <w:proofErr w:type="spellStart"/>
            <w:r>
              <w:rPr>
                <w:sz w:val="22"/>
                <w:szCs w:val="22"/>
              </w:rPr>
              <w:t>Umbrella</w:t>
            </w:r>
            <w:proofErr w:type="spellEnd"/>
            <w:r>
              <w:rPr>
                <w:sz w:val="22"/>
                <w:szCs w:val="22"/>
              </w:rPr>
              <w:t xml:space="preserve"> </w:t>
            </w:r>
            <w:proofErr w:type="spellStart"/>
            <w:r>
              <w:rPr>
                <w:sz w:val="22"/>
                <w:szCs w:val="22"/>
              </w:rPr>
              <w:t>Riview</w:t>
            </w:r>
            <w:proofErr w:type="spellEnd"/>
            <w:r>
              <w:rPr>
                <w:sz w:val="22"/>
                <w:szCs w:val="22"/>
              </w:rPr>
              <w:t xml:space="preserve"> (Meta-Synthese zu existierenden </w:t>
            </w:r>
            <w:proofErr w:type="spellStart"/>
            <w:r>
              <w:rPr>
                <w:sz w:val="22"/>
                <w:szCs w:val="22"/>
              </w:rPr>
              <w:t>sys</w:t>
            </w:r>
            <w:proofErr w:type="spellEnd"/>
            <w:r>
              <w:rPr>
                <w:sz w:val="22"/>
                <w:szCs w:val="22"/>
              </w:rPr>
              <w:t>. Reviews, hier aus USA und Europa):</w:t>
            </w:r>
          </w:p>
          <w:p>
            <w:pPr>
              <w:pStyle w:val="Listenabsatz"/>
              <w:numPr>
                <w:ilvl w:val="1"/>
                <w:numId w:val="5"/>
              </w:numPr>
              <w:rPr>
                <w:sz w:val="22"/>
                <w:szCs w:val="22"/>
              </w:rPr>
            </w:pPr>
            <w:r>
              <w:rPr>
                <w:sz w:val="22"/>
                <w:szCs w:val="22"/>
              </w:rPr>
              <w:t xml:space="preserve">Berechnung von Assoziation von Komorbiditäten und schwerem Outcome von COVID-19 (Risiko für Hospitalisierung bzw. Tod), insgesamt wurden 23 Komorbiditäten für Alter adjustiert &amp; analysiert, einzelne </w:t>
            </w:r>
            <w:proofErr w:type="spellStart"/>
            <w:r>
              <w:rPr>
                <w:sz w:val="22"/>
                <w:szCs w:val="22"/>
              </w:rPr>
              <w:t>Voerkrankungen</w:t>
            </w:r>
            <w:proofErr w:type="spellEnd"/>
            <w:r>
              <w:rPr>
                <w:sz w:val="22"/>
                <w:szCs w:val="22"/>
              </w:rPr>
              <w:t xml:space="preserve"> ergebene unterschiedlich starke Schätzer, </w:t>
            </w:r>
            <w:proofErr w:type="spellStart"/>
            <w:r>
              <w:rPr>
                <w:sz w:val="22"/>
                <w:szCs w:val="22"/>
              </w:rPr>
              <w:t>zB</w:t>
            </w:r>
            <w:proofErr w:type="spellEnd"/>
            <w:r>
              <w:rPr>
                <w:sz w:val="22"/>
                <w:szCs w:val="22"/>
              </w:rPr>
              <w:t xml:space="preserve"> Herzinsuffizienz oder </w:t>
            </w:r>
            <w:proofErr w:type="spellStart"/>
            <w:r>
              <w:rPr>
                <w:sz w:val="22"/>
                <w:szCs w:val="22"/>
              </w:rPr>
              <w:t>Z.n</w:t>
            </w:r>
            <w:proofErr w:type="spellEnd"/>
            <w:r>
              <w:rPr>
                <w:sz w:val="22"/>
                <w:szCs w:val="22"/>
              </w:rPr>
              <w:t xml:space="preserve">. Organtransplantation mit sehr hohen Schätzern für </w:t>
            </w:r>
            <w:proofErr w:type="spellStart"/>
            <w:r>
              <w:rPr>
                <w:sz w:val="22"/>
                <w:szCs w:val="22"/>
              </w:rPr>
              <w:t>Hospitalisation</w:t>
            </w:r>
            <w:proofErr w:type="spellEnd"/>
          </w:p>
          <w:p>
            <w:pPr>
              <w:pStyle w:val="Listenabsatz"/>
              <w:numPr>
                <w:ilvl w:val="1"/>
                <w:numId w:val="5"/>
              </w:numPr>
              <w:rPr>
                <w:sz w:val="22"/>
                <w:szCs w:val="22"/>
              </w:rPr>
            </w:pPr>
            <w:r>
              <w:rPr>
                <w:sz w:val="22"/>
                <w:szCs w:val="22"/>
              </w:rPr>
              <w:t xml:space="preserve">Message: ab 70. LJ ist Risiko für schwere COVID-Erkrankung und </w:t>
            </w:r>
            <w:proofErr w:type="spellStart"/>
            <w:r>
              <w:rPr>
                <w:sz w:val="22"/>
                <w:szCs w:val="22"/>
              </w:rPr>
              <w:t>inshopital-mortality</w:t>
            </w:r>
            <w:proofErr w:type="spellEnd"/>
            <w:r>
              <w:rPr>
                <w:sz w:val="22"/>
                <w:szCs w:val="22"/>
              </w:rPr>
              <w:t xml:space="preserve"> adjustiert für Komorbiditäten erhöht, ab 80. LJ deutlich erhöht</w:t>
            </w:r>
          </w:p>
          <w:p>
            <w:pPr>
              <w:pStyle w:val="Listenabsatz"/>
              <w:numPr>
                <w:ilvl w:val="1"/>
                <w:numId w:val="5"/>
              </w:numPr>
              <w:rPr>
                <w:sz w:val="22"/>
                <w:szCs w:val="22"/>
              </w:rPr>
            </w:pPr>
            <w:r>
              <w:rPr>
                <w:sz w:val="22"/>
                <w:szCs w:val="22"/>
              </w:rPr>
              <w:t xml:space="preserve">Daten werden STIKO </w:t>
            </w:r>
            <w:proofErr w:type="spellStart"/>
            <w:r>
              <w:rPr>
                <w:sz w:val="22"/>
                <w:szCs w:val="22"/>
              </w:rPr>
              <w:t>hisichtlich</w:t>
            </w:r>
            <w:proofErr w:type="spellEnd"/>
            <w:r>
              <w:rPr>
                <w:sz w:val="22"/>
                <w:szCs w:val="22"/>
              </w:rPr>
              <w:t xml:space="preserve"> Impf-Priorisierung vorgestellt </w:t>
            </w:r>
          </w:p>
          <w:p>
            <w:pPr>
              <w:pStyle w:val="Listenabsatz"/>
              <w:numPr>
                <w:ilvl w:val="1"/>
                <w:numId w:val="5"/>
              </w:numPr>
              <w:rPr>
                <w:sz w:val="22"/>
                <w:szCs w:val="22"/>
              </w:rPr>
            </w:pPr>
            <w:r>
              <w:rPr>
                <w:sz w:val="22"/>
                <w:szCs w:val="22"/>
              </w:rPr>
              <w:lastRenderedPageBreak/>
              <w:t xml:space="preserve">Schwere der </w:t>
            </w:r>
            <w:proofErr w:type="spellStart"/>
            <w:r>
              <w:rPr>
                <w:sz w:val="22"/>
                <w:szCs w:val="22"/>
              </w:rPr>
              <w:t>Herzinisuffizienz</w:t>
            </w:r>
            <w:proofErr w:type="spellEnd"/>
            <w:r>
              <w:rPr>
                <w:sz w:val="22"/>
                <w:szCs w:val="22"/>
              </w:rPr>
              <w:t xml:space="preserve"> bzw. Einstellung des bestehenden Diabetes werden leider nicht in Primärdaten berücksichtigt</w:t>
            </w:r>
            <w:bookmarkEnd w:id="0"/>
          </w:p>
        </w:tc>
        <w:tc>
          <w:tcPr>
            <w:tcW w:w="1809" w:type="dxa"/>
          </w:tcPr>
          <w:p>
            <w:pPr>
              <w:rPr>
                <w:sz w:val="22"/>
                <w:szCs w:val="22"/>
              </w:rPr>
            </w:pPr>
          </w:p>
          <w:p>
            <w:pPr>
              <w:rPr>
                <w:sz w:val="22"/>
                <w:szCs w:val="22"/>
              </w:rPr>
            </w:pPr>
          </w:p>
          <w:p>
            <w:pPr>
              <w:rPr>
                <w:sz w:val="22"/>
                <w:szCs w:val="22"/>
              </w:rPr>
            </w:pPr>
            <w:r>
              <w:rPr>
                <w:sz w:val="22"/>
                <w:szCs w:val="22"/>
              </w:rPr>
              <w:t>FG 33/Th. Harder</w:t>
            </w:r>
          </w:p>
        </w:tc>
      </w:tr>
      <w:tr>
        <w:tc>
          <w:tcPr>
            <w:tcW w:w="684" w:type="dxa"/>
          </w:tcPr>
          <w:p>
            <w:pPr>
              <w:rPr>
                <w:sz w:val="22"/>
                <w:szCs w:val="22"/>
              </w:rPr>
            </w:pPr>
            <w:r>
              <w:rPr>
                <w:sz w:val="22"/>
                <w:szCs w:val="22"/>
              </w:rPr>
              <w:t>7</w:t>
            </w:r>
          </w:p>
        </w:tc>
        <w:tc>
          <w:tcPr>
            <w:tcW w:w="6408" w:type="dxa"/>
          </w:tcPr>
          <w:p>
            <w:pPr>
              <w:rPr>
                <w:b/>
                <w:sz w:val="22"/>
                <w:szCs w:val="22"/>
              </w:rPr>
            </w:pPr>
            <w:r>
              <w:rPr>
                <w:b/>
                <w:sz w:val="22"/>
                <w:szCs w:val="22"/>
              </w:rPr>
              <w:t>Dokumente</w:t>
            </w:r>
          </w:p>
          <w:p>
            <w:pPr>
              <w:pStyle w:val="Listenabsatz"/>
              <w:numPr>
                <w:ilvl w:val="0"/>
                <w:numId w:val="5"/>
              </w:numPr>
              <w:rPr>
                <w:sz w:val="22"/>
                <w:szCs w:val="22"/>
              </w:rPr>
            </w:pPr>
            <w:r>
              <w:rPr>
                <w:sz w:val="22"/>
                <w:szCs w:val="22"/>
              </w:rPr>
              <w:t>KP-Management soll überarbeitet werden: Reduktion auf 10 Tage Quarantäne?</w:t>
            </w:r>
          </w:p>
          <w:p>
            <w:pPr>
              <w:pStyle w:val="Listenabsatz"/>
              <w:numPr>
                <w:ilvl w:val="1"/>
                <w:numId w:val="5"/>
              </w:numPr>
              <w:rPr>
                <w:sz w:val="22"/>
                <w:szCs w:val="22"/>
              </w:rPr>
            </w:pPr>
            <w:r>
              <w:rPr>
                <w:sz w:val="22"/>
                <w:szCs w:val="22"/>
              </w:rPr>
              <w:t xml:space="preserve">Muss erneut dem Ministerium vorgelegt werden und kommende Woche finalisiert werden </w:t>
            </w:r>
          </w:p>
          <w:p>
            <w:pPr>
              <w:pStyle w:val="Listenabsatz"/>
              <w:ind w:left="1440"/>
              <w:rPr>
                <w:sz w:val="22"/>
                <w:szCs w:val="22"/>
              </w:rPr>
            </w:pPr>
          </w:p>
          <w:p>
            <w:pPr>
              <w:pStyle w:val="Listenabsatz"/>
              <w:ind w:left="0"/>
              <w:rPr>
                <w:i/>
                <w:sz w:val="22"/>
                <w:szCs w:val="22"/>
              </w:rPr>
            </w:pPr>
            <w:r>
              <w:rPr>
                <w:i/>
                <w:sz w:val="22"/>
                <w:szCs w:val="22"/>
              </w:rPr>
              <w:t xml:space="preserve">TODO: erneute Rücksprache mit BMG </w:t>
            </w:r>
            <w:proofErr w:type="spellStart"/>
            <w:r>
              <w:rPr>
                <w:i/>
                <w:sz w:val="22"/>
                <w:szCs w:val="22"/>
              </w:rPr>
              <w:t>hinscihtlich</w:t>
            </w:r>
            <w:proofErr w:type="spellEnd"/>
            <w:r>
              <w:rPr>
                <w:i/>
                <w:sz w:val="22"/>
                <w:szCs w:val="22"/>
              </w:rPr>
              <w:t xml:space="preserve"> Verkürzung der Quarantäne auf 10 Tage (Leitung)</w:t>
            </w:r>
          </w:p>
          <w:p>
            <w:pPr>
              <w:pStyle w:val="Listenabsatz"/>
              <w:ind w:left="0"/>
              <w:rPr>
                <w:i/>
                <w:sz w:val="22"/>
                <w:szCs w:val="22"/>
              </w:rPr>
            </w:pPr>
          </w:p>
          <w:p>
            <w:pPr>
              <w:pStyle w:val="Listenabsatz"/>
              <w:numPr>
                <w:ilvl w:val="0"/>
                <w:numId w:val="5"/>
              </w:numPr>
              <w:rPr>
                <w:sz w:val="22"/>
                <w:szCs w:val="22"/>
              </w:rPr>
            </w:pPr>
            <w:r>
              <w:rPr>
                <w:sz w:val="22"/>
                <w:szCs w:val="22"/>
              </w:rPr>
              <w:t>Gibt es noch Rückmeldungen zur „FAQ FFP2-Masken“?</w:t>
            </w:r>
          </w:p>
          <w:p>
            <w:pPr>
              <w:pStyle w:val="Listenabsatz"/>
              <w:numPr>
                <w:ilvl w:val="1"/>
                <w:numId w:val="5"/>
              </w:numPr>
              <w:rPr>
                <w:sz w:val="22"/>
                <w:szCs w:val="22"/>
              </w:rPr>
            </w:pPr>
            <w:r>
              <w:rPr>
                <w:sz w:val="22"/>
                <w:szCs w:val="22"/>
              </w:rPr>
              <w:t xml:space="preserve">„Grundsätzlich“ handelt es sich um Einwegmaterial, sollte mit aufgenommen werden </w:t>
            </w:r>
          </w:p>
        </w:tc>
        <w:tc>
          <w:tcPr>
            <w:tcW w:w="1809" w:type="dxa"/>
          </w:tcPr>
          <w:p>
            <w:pPr>
              <w:rPr>
                <w:sz w:val="22"/>
                <w:szCs w:val="22"/>
              </w:rPr>
            </w:pPr>
          </w:p>
          <w:p>
            <w:pPr>
              <w:rPr>
                <w:sz w:val="22"/>
                <w:szCs w:val="22"/>
              </w:rPr>
            </w:pPr>
            <w:r>
              <w:rPr>
                <w:sz w:val="22"/>
                <w:szCs w:val="22"/>
              </w:rPr>
              <w:t>S.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 </w:t>
            </w:r>
            <w:proofErr w:type="spellStart"/>
            <w:r>
              <w:rPr>
                <w:sz w:val="22"/>
                <w:szCs w:val="22"/>
              </w:rPr>
              <w:t>Bruhnke</w:t>
            </w:r>
            <w:proofErr w:type="spellEnd"/>
          </w:p>
          <w:p>
            <w:pPr>
              <w:rPr>
                <w:sz w:val="22"/>
                <w:szCs w:val="22"/>
              </w:rPr>
            </w:pPr>
          </w:p>
        </w:tc>
      </w:tr>
      <w:tr>
        <w:tc>
          <w:tcPr>
            <w:tcW w:w="684" w:type="dxa"/>
          </w:tcPr>
          <w:p>
            <w:pPr>
              <w:rPr>
                <w:sz w:val="22"/>
                <w:szCs w:val="22"/>
              </w:rPr>
            </w:pPr>
            <w:r>
              <w:rPr>
                <w:sz w:val="22"/>
                <w:szCs w:val="22"/>
              </w:rPr>
              <w:t>8</w:t>
            </w:r>
          </w:p>
        </w:tc>
        <w:tc>
          <w:tcPr>
            <w:tcW w:w="6408" w:type="dxa"/>
          </w:tcPr>
          <w:p>
            <w:pPr>
              <w:rPr>
                <w:b/>
                <w:color w:val="FF0000"/>
                <w:sz w:val="22"/>
                <w:szCs w:val="22"/>
              </w:rPr>
            </w:pPr>
            <w:r>
              <w:rPr>
                <w:b/>
                <w:sz w:val="22"/>
                <w:szCs w:val="22"/>
              </w:rPr>
              <w:t xml:space="preserve">Update Impfen </w:t>
            </w:r>
            <w:r>
              <w:rPr>
                <w:b/>
                <w:color w:val="FF0000"/>
                <w:sz w:val="22"/>
                <w:szCs w:val="22"/>
              </w:rPr>
              <w:t>(nur freitags)</w:t>
            </w:r>
          </w:p>
          <w:p>
            <w:pPr>
              <w:pStyle w:val="Listenabsatz"/>
              <w:numPr>
                <w:ilvl w:val="0"/>
                <w:numId w:val="12"/>
              </w:numPr>
              <w:rPr>
                <w:sz w:val="22"/>
                <w:szCs w:val="22"/>
              </w:rPr>
            </w:pPr>
          </w:p>
        </w:tc>
        <w:tc>
          <w:tcPr>
            <w:tcW w:w="1809" w:type="dxa"/>
          </w:tcPr>
          <w:p>
            <w:pPr>
              <w:rPr>
                <w:sz w:val="22"/>
                <w:szCs w:val="22"/>
              </w:rPr>
            </w:pPr>
            <w:r>
              <w:rPr>
                <w:sz w:val="22"/>
                <w:szCs w:val="22"/>
              </w:rPr>
              <w:t>FG33</w:t>
            </w:r>
          </w:p>
        </w:tc>
      </w:tr>
      <w:tr>
        <w:tc>
          <w:tcPr>
            <w:tcW w:w="684" w:type="dxa"/>
          </w:tcPr>
          <w:p>
            <w:pPr>
              <w:rPr>
                <w:sz w:val="22"/>
                <w:szCs w:val="22"/>
              </w:rPr>
            </w:pPr>
            <w:r>
              <w:rPr>
                <w:sz w:val="22"/>
                <w:szCs w:val="22"/>
              </w:rPr>
              <w:t>9</w:t>
            </w:r>
          </w:p>
        </w:tc>
        <w:tc>
          <w:tcPr>
            <w:tcW w:w="6408" w:type="dxa"/>
          </w:tcPr>
          <w:p>
            <w:pPr>
              <w:rPr>
                <w:b/>
                <w:sz w:val="22"/>
                <w:szCs w:val="22"/>
              </w:rPr>
            </w:pPr>
            <w:r>
              <w:rPr>
                <w:b/>
                <w:sz w:val="22"/>
                <w:szCs w:val="22"/>
              </w:rPr>
              <w:t>Labordiagnostik</w:t>
            </w:r>
          </w:p>
          <w:p>
            <w:pPr>
              <w:pStyle w:val="Listenabsatz"/>
              <w:numPr>
                <w:ilvl w:val="0"/>
                <w:numId w:val="12"/>
              </w:numPr>
              <w:rPr>
                <w:sz w:val="22"/>
                <w:szCs w:val="22"/>
              </w:rPr>
            </w:pPr>
            <w:r>
              <w:rPr>
                <w:sz w:val="22"/>
                <w:szCs w:val="22"/>
              </w:rPr>
              <w:t xml:space="preserve">67 Einsendungen letzte Woche, davon 6 COVID-positiv, 14 </w:t>
            </w:r>
            <w:proofErr w:type="spellStart"/>
            <w:r>
              <w:rPr>
                <w:sz w:val="22"/>
                <w:szCs w:val="22"/>
              </w:rPr>
              <w:t>Rhinoviren</w:t>
            </w:r>
            <w:proofErr w:type="spellEnd"/>
            <w:r>
              <w:rPr>
                <w:sz w:val="22"/>
                <w:szCs w:val="22"/>
              </w:rPr>
              <w:t xml:space="preserve">, alle anderen negativ, </w:t>
            </w:r>
            <w:proofErr w:type="spellStart"/>
            <w:r>
              <w:rPr>
                <w:sz w:val="22"/>
                <w:szCs w:val="22"/>
              </w:rPr>
              <w:t>Rhinoviren</w:t>
            </w:r>
            <w:proofErr w:type="spellEnd"/>
            <w:r>
              <w:rPr>
                <w:sz w:val="22"/>
                <w:szCs w:val="22"/>
              </w:rPr>
              <w:t xml:space="preserve"> rückläufig, ggf. </w:t>
            </w:r>
            <w:proofErr w:type="spellStart"/>
            <w:r>
              <w:rPr>
                <w:sz w:val="22"/>
                <w:szCs w:val="22"/>
              </w:rPr>
              <w:t>Rhinoviren</w:t>
            </w:r>
            <w:proofErr w:type="spellEnd"/>
            <w:r>
              <w:rPr>
                <w:sz w:val="22"/>
                <w:szCs w:val="22"/>
              </w:rPr>
              <w:t>-Rückgang als Konsequenz der Maßnahmen zu interpretieren, seit Wochen kein Influenza-Nachweis, auch in der WHO-EURO Region wenige Influenza-Nachweise, mehr Probeneinsendungen wären wünschenswert</w:t>
            </w:r>
          </w:p>
          <w:p>
            <w:pPr>
              <w:pStyle w:val="Listenabsatz"/>
              <w:numPr>
                <w:ilvl w:val="0"/>
                <w:numId w:val="12"/>
              </w:numPr>
              <w:rPr>
                <w:sz w:val="22"/>
                <w:szCs w:val="22"/>
              </w:rPr>
            </w:pPr>
            <w:r>
              <w:rPr>
                <w:sz w:val="22"/>
                <w:szCs w:val="22"/>
              </w:rPr>
              <w:t>Diskrepanz zwischen hohem COVID-</w:t>
            </w:r>
            <w:proofErr w:type="spellStart"/>
            <w:r>
              <w:rPr>
                <w:sz w:val="22"/>
                <w:szCs w:val="22"/>
              </w:rPr>
              <w:t>Positivenanteil</w:t>
            </w:r>
            <w:proofErr w:type="spellEnd"/>
            <w:r>
              <w:rPr>
                <w:sz w:val="22"/>
                <w:szCs w:val="22"/>
              </w:rPr>
              <w:t xml:space="preserve"> und </w:t>
            </w:r>
            <w:proofErr w:type="spellStart"/>
            <w:r>
              <w:rPr>
                <w:sz w:val="22"/>
                <w:szCs w:val="22"/>
              </w:rPr>
              <w:t>regredientem</w:t>
            </w:r>
            <w:proofErr w:type="spellEnd"/>
            <w:r>
              <w:rPr>
                <w:sz w:val="22"/>
                <w:szCs w:val="22"/>
              </w:rPr>
              <w:t xml:space="preserve"> </w:t>
            </w:r>
            <w:proofErr w:type="spellStart"/>
            <w:r>
              <w:rPr>
                <w:sz w:val="22"/>
                <w:szCs w:val="22"/>
              </w:rPr>
              <w:t>Rhinovirenpositivenanteil</w:t>
            </w:r>
            <w:proofErr w:type="spellEnd"/>
            <w:r>
              <w:rPr>
                <w:sz w:val="22"/>
                <w:szCs w:val="22"/>
              </w:rPr>
              <w:t xml:space="preserve"> zu bemerken, vermutlich hinken COVID-Nachweise nach?</w:t>
            </w:r>
          </w:p>
        </w:tc>
        <w:tc>
          <w:tcPr>
            <w:tcW w:w="1809" w:type="dxa"/>
          </w:tcPr>
          <w:p>
            <w:pPr>
              <w:rPr>
                <w:sz w:val="22"/>
                <w:szCs w:val="22"/>
              </w:rPr>
            </w:pPr>
          </w:p>
          <w:p>
            <w:pPr>
              <w:rPr>
                <w:sz w:val="22"/>
                <w:szCs w:val="22"/>
              </w:rPr>
            </w:pPr>
            <w:r>
              <w:rPr>
                <w:sz w:val="22"/>
                <w:szCs w:val="22"/>
              </w:rPr>
              <w:t>FG17/</w:t>
            </w:r>
          </w:p>
          <w:p>
            <w:pPr>
              <w:rPr>
                <w:sz w:val="22"/>
                <w:szCs w:val="22"/>
              </w:rPr>
            </w:pPr>
            <w:proofErr w:type="spellStart"/>
            <w:r>
              <w:rPr>
                <w:sz w:val="22"/>
                <w:szCs w:val="22"/>
              </w:rPr>
              <w:t>Dürrwald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sz w:val="22"/>
                <w:szCs w:val="22"/>
              </w:rPr>
            </w:pPr>
            <w:r>
              <w:rPr>
                <w:sz w:val="22"/>
                <w:szCs w:val="22"/>
              </w:rPr>
              <w:t>10</w:t>
            </w:r>
          </w:p>
        </w:tc>
        <w:tc>
          <w:tcPr>
            <w:tcW w:w="6408" w:type="dxa"/>
          </w:tcPr>
          <w:p>
            <w:pPr>
              <w:rPr>
                <w:b/>
                <w:sz w:val="22"/>
                <w:szCs w:val="22"/>
              </w:rPr>
            </w:pPr>
            <w:r>
              <w:rPr>
                <w:b/>
                <w:sz w:val="22"/>
                <w:szCs w:val="22"/>
              </w:rPr>
              <w:t>Klinisches Management/Entlassungsmanagement</w:t>
            </w:r>
          </w:p>
          <w:p>
            <w:pPr>
              <w:pStyle w:val="Listenabsatz"/>
              <w:numPr>
                <w:ilvl w:val="0"/>
                <w:numId w:val="5"/>
              </w:numPr>
              <w:rPr>
                <w:sz w:val="22"/>
                <w:szCs w:val="22"/>
              </w:rPr>
            </w:pPr>
            <w:r>
              <w:rPr>
                <w:sz w:val="22"/>
                <w:szCs w:val="22"/>
              </w:rPr>
              <w:t xml:space="preserve">Internationale Anfragen zur Verlegung von Patienten nach </w:t>
            </w:r>
            <w:proofErr w:type="spellStart"/>
            <w:r>
              <w:rPr>
                <w:sz w:val="22"/>
                <w:szCs w:val="22"/>
              </w:rPr>
              <w:t>Dtld</w:t>
            </w:r>
            <w:proofErr w:type="spellEnd"/>
            <w:r>
              <w:rPr>
                <w:sz w:val="22"/>
                <w:szCs w:val="22"/>
              </w:rPr>
              <w:t xml:space="preserve">. haben sich erledigt, nationales Gremium für Verlegung von Patienten innerhalb Deutschlands tagt regelmäßig, Ansprechpartner Email-Adresse: </w:t>
            </w:r>
            <w:hyperlink r:id="rId14" w:history="1">
              <w:r>
                <w:rPr>
                  <w:rStyle w:val="Hyperlink"/>
                  <w:sz w:val="22"/>
                  <w:szCs w:val="22"/>
                </w:rPr>
                <w:t>ibbs-lage@rki.de</w:t>
              </w:r>
            </w:hyperlink>
            <w:r>
              <w:rPr>
                <w:sz w:val="22"/>
                <w:szCs w:val="22"/>
              </w:rPr>
              <w:t xml:space="preserve"> für internationale Lage, email-Adresse für nationale Lage: GMLZ für Koordinierung bzw. Fachgruppe COVRIIN für </w:t>
            </w:r>
            <w:proofErr w:type="spellStart"/>
            <w:r>
              <w:rPr>
                <w:sz w:val="22"/>
                <w:szCs w:val="22"/>
              </w:rPr>
              <w:t>fachl</w:t>
            </w:r>
            <w:proofErr w:type="spellEnd"/>
            <w:r>
              <w:rPr>
                <w:sz w:val="22"/>
                <w:szCs w:val="22"/>
              </w:rPr>
              <w:t>. Beratung</w:t>
            </w:r>
          </w:p>
          <w:p>
            <w:pPr>
              <w:pStyle w:val="Listenabsatz"/>
              <w:numPr>
                <w:ilvl w:val="0"/>
                <w:numId w:val="5"/>
              </w:numPr>
              <w:rPr>
                <w:sz w:val="22"/>
                <w:szCs w:val="22"/>
              </w:rPr>
            </w:pPr>
            <w:r>
              <w:rPr>
                <w:sz w:val="22"/>
                <w:szCs w:val="22"/>
              </w:rPr>
              <w:t>In DIVI leider nach wie vor keine Differenzierung in wirklich betreibbare Betten vorgenommen</w:t>
            </w:r>
          </w:p>
          <w:p>
            <w:pPr>
              <w:pStyle w:val="Listenabsatz"/>
              <w:rPr>
                <w:sz w:val="22"/>
                <w:szCs w:val="22"/>
              </w:rPr>
            </w:pPr>
          </w:p>
          <w:p>
            <w:pPr>
              <w:rPr>
                <w:i/>
                <w:sz w:val="22"/>
                <w:szCs w:val="22"/>
              </w:rPr>
            </w:pPr>
            <w:r>
              <w:rPr>
                <w:i/>
                <w:sz w:val="22"/>
                <w:szCs w:val="22"/>
              </w:rPr>
              <w:t>TODO: Optimierung des DIVI Registers hinsichtlich betreibbarer Betten ausstehend</w:t>
            </w:r>
            <w:bookmarkStart w:id="1" w:name="_GoBack"/>
            <w:bookmarkEnd w:id="1"/>
          </w:p>
        </w:tc>
        <w:tc>
          <w:tcPr>
            <w:tcW w:w="1809" w:type="dxa"/>
          </w:tcPr>
          <w:p>
            <w:pPr>
              <w:rPr>
                <w:sz w:val="22"/>
                <w:szCs w:val="22"/>
              </w:rPr>
            </w:pPr>
            <w:r>
              <w:rPr>
                <w:sz w:val="22"/>
                <w:szCs w:val="22"/>
              </w:rPr>
              <w:t>IBBS</w:t>
            </w:r>
          </w:p>
          <w:p>
            <w:pPr>
              <w:rPr>
                <w:sz w:val="22"/>
                <w:szCs w:val="22"/>
              </w:rPr>
            </w:pPr>
            <w:r>
              <w:rPr>
                <w:sz w:val="22"/>
                <w:szCs w:val="22"/>
              </w:rPr>
              <w:t>C. Herzog/alle</w:t>
            </w:r>
          </w:p>
        </w:tc>
      </w:tr>
      <w:tr>
        <w:tc>
          <w:tcPr>
            <w:tcW w:w="684" w:type="dxa"/>
          </w:tcPr>
          <w:p>
            <w:pPr>
              <w:rPr>
                <w:sz w:val="22"/>
                <w:szCs w:val="22"/>
              </w:rPr>
            </w:pPr>
            <w:r>
              <w:rPr>
                <w:sz w:val="22"/>
                <w:szCs w:val="22"/>
              </w:rPr>
              <w:t>11</w:t>
            </w:r>
          </w:p>
        </w:tc>
        <w:tc>
          <w:tcPr>
            <w:tcW w:w="6408" w:type="dxa"/>
          </w:tcPr>
          <w:p>
            <w:pPr>
              <w:rPr>
                <w:b/>
                <w:sz w:val="22"/>
                <w:szCs w:val="22"/>
              </w:rPr>
            </w:pPr>
            <w:r>
              <w:rPr>
                <w:b/>
                <w:sz w:val="22"/>
                <w:szCs w:val="22"/>
              </w:rPr>
              <w:t>Maßnahmen zum Infektionsschutz</w:t>
            </w:r>
          </w:p>
          <w:p>
            <w:pPr>
              <w:pStyle w:val="Listenabsatz"/>
              <w:numPr>
                <w:ilvl w:val="0"/>
                <w:numId w:val="5"/>
              </w:numPr>
              <w:rPr>
                <w:sz w:val="22"/>
                <w:szCs w:val="22"/>
              </w:rPr>
            </w:pPr>
            <w:r>
              <w:rPr>
                <w:sz w:val="22"/>
                <w:szCs w:val="22"/>
              </w:rPr>
              <w:t>entfallen</w:t>
            </w:r>
          </w:p>
        </w:tc>
        <w:tc>
          <w:tcPr>
            <w:tcW w:w="1809" w:type="dxa"/>
          </w:tcPr>
          <w:p>
            <w:pPr>
              <w:rPr>
                <w:sz w:val="22"/>
                <w:szCs w:val="22"/>
              </w:rPr>
            </w:pPr>
            <w:r>
              <w:rPr>
                <w:sz w:val="22"/>
                <w:szCs w:val="22"/>
              </w:rPr>
              <w:t>Alle</w:t>
            </w:r>
          </w:p>
        </w:tc>
      </w:tr>
      <w:tr>
        <w:tc>
          <w:tcPr>
            <w:tcW w:w="684" w:type="dxa"/>
          </w:tcPr>
          <w:p>
            <w:pPr>
              <w:rPr>
                <w:sz w:val="22"/>
                <w:szCs w:val="22"/>
              </w:rPr>
            </w:pPr>
            <w:r>
              <w:rPr>
                <w:sz w:val="22"/>
                <w:szCs w:val="22"/>
              </w:rPr>
              <w:t>12</w:t>
            </w:r>
          </w:p>
        </w:tc>
        <w:tc>
          <w:tcPr>
            <w:tcW w:w="6408" w:type="dxa"/>
          </w:tcPr>
          <w:p>
            <w:pPr>
              <w:rPr>
                <w:b/>
                <w:sz w:val="22"/>
                <w:szCs w:val="22"/>
              </w:rPr>
            </w:pPr>
            <w:r>
              <w:rPr>
                <w:b/>
                <w:sz w:val="22"/>
                <w:szCs w:val="22"/>
              </w:rPr>
              <w:t>Surveillance</w:t>
            </w:r>
          </w:p>
          <w:p>
            <w:pPr>
              <w:pStyle w:val="Listenabsatz"/>
              <w:numPr>
                <w:ilvl w:val="0"/>
                <w:numId w:val="5"/>
              </w:numPr>
              <w:rPr>
                <w:b/>
                <w:sz w:val="22"/>
                <w:szCs w:val="22"/>
              </w:rPr>
            </w:pPr>
            <w:r>
              <w:rPr>
                <w:sz w:val="22"/>
                <w:szCs w:val="22"/>
              </w:rPr>
              <w:t xml:space="preserve">Abweichung der Inzidenz für Deutschland zwischen RKI und ECDC Daten; Ergebnis Anfrage beim ECDC </w:t>
            </w:r>
          </w:p>
          <w:p>
            <w:pPr>
              <w:pStyle w:val="Listenabsatz"/>
              <w:numPr>
                <w:ilvl w:val="1"/>
                <w:numId w:val="5"/>
              </w:numPr>
              <w:rPr>
                <w:sz w:val="22"/>
                <w:szCs w:val="22"/>
              </w:rPr>
            </w:pPr>
            <w:r>
              <w:rPr>
                <w:sz w:val="22"/>
                <w:szCs w:val="22"/>
              </w:rPr>
              <w:t>ECDC berechnet 7-Tagesinzidenz selbst nach einem anderen Algorithmus als RKI, RKI-Daten vermutlich etwas unterschätzt</w:t>
            </w:r>
          </w:p>
          <w:p>
            <w:pPr>
              <w:pStyle w:val="Listenabsatz"/>
              <w:rPr>
                <w:sz w:val="22"/>
                <w:szCs w:val="22"/>
              </w:rPr>
            </w:pPr>
          </w:p>
          <w:p>
            <w:pPr>
              <w:rPr>
                <w:i/>
                <w:sz w:val="22"/>
                <w:szCs w:val="22"/>
              </w:rPr>
            </w:pPr>
            <w:r>
              <w:rPr>
                <w:i/>
                <w:sz w:val="22"/>
                <w:szCs w:val="22"/>
              </w:rPr>
              <w:lastRenderedPageBreak/>
              <w:t>TODO: bitte erneute Kontaktaufnahme mit ECDC und Bitte um Kohärenz zu unseren Daten (M. Diercke) und erneute Rückmeldung an BMG</w:t>
            </w:r>
          </w:p>
          <w:p>
            <w:pPr>
              <w:rPr>
                <w:sz w:val="22"/>
                <w:szCs w:val="22"/>
              </w:rPr>
            </w:pPr>
          </w:p>
          <w:p>
            <w:pPr>
              <w:pStyle w:val="Listenabsatz"/>
              <w:numPr>
                <w:ilvl w:val="0"/>
                <w:numId w:val="5"/>
              </w:numPr>
              <w:rPr>
                <w:sz w:val="22"/>
                <w:szCs w:val="22"/>
              </w:rPr>
            </w:pPr>
            <w:r>
              <w:rPr>
                <w:sz w:val="22"/>
                <w:szCs w:val="22"/>
              </w:rPr>
              <w:t xml:space="preserve">Morgen tritt 3. „Gesetz zum </w:t>
            </w:r>
            <w:r>
              <w:rPr>
                <w:bCs/>
                <w:sz w:val="22"/>
                <w:szCs w:val="22"/>
              </w:rPr>
              <w:t xml:space="preserve">Schutz der Bevölkerung bei einer epidemischen Lage von nationaler Tragweite“ </w:t>
            </w:r>
            <w:r>
              <w:rPr>
                <w:sz w:val="22"/>
                <w:szCs w:val="22"/>
              </w:rPr>
              <w:t xml:space="preserve">in Kraft, alle Dokumente müssen aktualisiert werden, insbesondere zur Meldepflicht etc. </w:t>
            </w:r>
          </w:p>
          <w:p>
            <w:pPr>
              <w:pStyle w:val="Listenabsatz"/>
              <w:numPr>
                <w:ilvl w:val="0"/>
                <w:numId w:val="5"/>
              </w:numPr>
              <w:rPr>
                <w:sz w:val="22"/>
                <w:szCs w:val="22"/>
              </w:rPr>
            </w:pPr>
            <w:r>
              <w:rPr>
                <w:sz w:val="22"/>
                <w:szCs w:val="22"/>
              </w:rPr>
              <w:t xml:space="preserve">Corona-KiTa-Studie </w:t>
            </w:r>
            <w:r>
              <w:rPr>
                <w:b/>
                <w:color w:val="FF0000"/>
                <w:sz w:val="22"/>
                <w:szCs w:val="22"/>
              </w:rPr>
              <w:t>(nur montags)</w:t>
            </w:r>
          </w:p>
        </w:tc>
        <w:tc>
          <w:tcPr>
            <w:tcW w:w="1809" w:type="dxa"/>
          </w:tcPr>
          <w:p>
            <w:pPr>
              <w:rPr>
                <w:sz w:val="22"/>
                <w:szCs w:val="22"/>
              </w:rPr>
            </w:pPr>
          </w:p>
          <w:p>
            <w:pPr>
              <w:rPr>
                <w:sz w:val="22"/>
                <w:szCs w:val="22"/>
              </w:rPr>
            </w:pPr>
            <w:r>
              <w:rPr>
                <w:sz w:val="22"/>
                <w:szCs w:val="22"/>
              </w:rPr>
              <w:t>FG32/</w:t>
            </w:r>
            <w:r>
              <w:rPr>
                <w:sz w:val="22"/>
                <w:szCs w:val="22"/>
              </w:rPr>
              <w:br/>
              <w:t>M. Diercke</w:t>
            </w:r>
          </w:p>
        </w:tc>
      </w:tr>
      <w:tr>
        <w:tc>
          <w:tcPr>
            <w:tcW w:w="684" w:type="dxa"/>
          </w:tcPr>
          <w:p>
            <w:pPr>
              <w:rPr>
                <w:sz w:val="22"/>
                <w:szCs w:val="22"/>
              </w:rPr>
            </w:pPr>
            <w:r>
              <w:rPr>
                <w:sz w:val="22"/>
                <w:szCs w:val="22"/>
              </w:rPr>
              <w:t>13</w:t>
            </w:r>
          </w:p>
        </w:tc>
        <w:tc>
          <w:tcPr>
            <w:tcW w:w="6408" w:type="dxa"/>
          </w:tcPr>
          <w:p>
            <w:pPr>
              <w:rPr>
                <w:b/>
                <w:sz w:val="22"/>
                <w:szCs w:val="22"/>
              </w:rPr>
            </w:pPr>
            <w:r>
              <w:rPr>
                <w:b/>
                <w:sz w:val="22"/>
                <w:szCs w:val="22"/>
              </w:rPr>
              <w:t xml:space="preserve">Transport und Grenzübergangsstellen </w:t>
            </w:r>
            <w:r>
              <w:rPr>
                <w:b/>
                <w:color w:val="FF0000"/>
                <w:sz w:val="22"/>
                <w:szCs w:val="22"/>
              </w:rPr>
              <w:t>(nur freitags)</w:t>
            </w:r>
          </w:p>
          <w:p>
            <w:pPr>
              <w:pStyle w:val="Listenabsatz"/>
              <w:numPr>
                <w:ilvl w:val="0"/>
                <w:numId w:val="5"/>
              </w:numPr>
              <w:rPr>
                <w:sz w:val="22"/>
                <w:szCs w:val="22"/>
              </w:rPr>
            </w:pPr>
          </w:p>
        </w:tc>
        <w:tc>
          <w:tcPr>
            <w:tcW w:w="1809" w:type="dxa"/>
          </w:tcPr>
          <w:p>
            <w:pPr>
              <w:rPr>
                <w:sz w:val="22"/>
                <w:szCs w:val="22"/>
              </w:rPr>
            </w:pPr>
            <w:r>
              <w:rPr>
                <w:sz w:val="22"/>
                <w:szCs w:val="22"/>
              </w:rPr>
              <w:t>FG38</w:t>
            </w:r>
          </w:p>
        </w:tc>
      </w:tr>
      <w:tr>
        <w:tc>
          <w:tcPr>
            <w:tcW w:w="684" w:type="dxa"/>
          </w:tcPr>
          <w:p>
            <w:pPr>
              <w:rPr>
                <w:sz w:val="22"/>
                <w:szCs w:val="22"/>
              </w:rPr>
            </w:pPr>
            <w:r>
              <w:rPr>
                <w:sz w:val="22"/>
                <w:szCs w:val="22"/>
              </w:rPr>
              <w:t>14</w:t>
            </w:r>
          </w:p>
        </w:tc>
        <w:tc>
          <w:tcPr>
            <w:tcW w:w="6408" w:type="dxa"/>
          </w:tcPr>
          <w:p>
            <w:pPr>
              <w:rPr>
                <w:b/>
                <w:sz w:val="22"/>
                <w:szCs w:val="22"/>
              </w:rPr>
            </w:pPr>
            <w:r>
              <w:rPr>
                <w:b/>
                <w:sz w:val="22"/>
                <w:szCs w:val="22"/>
              </w:rPr>
              <w:t xml:space="preserve">Information aus dem Lagezentrum </w:t>
            </w:r>
            <w:r>
              <w:rPr>
                <w:b/>
                <w:color w:val="FF0000"/>
                <w:sz w:val="22"/>
                <w:szCs w:val="22"/>
              </w:rPr>
              <w:t>(nur freitags)</w:t>
            </w:r>
          </w:p>
          <w:p>
            <w:pPr>
              <w:pStyle w:val="Listenabsatz"/>
              <w:numPr>
                <w:ilvl w:val="0"/>
                <w:numId w:val="5"/>
              </w:numPr>
              <w:rPr>
                <w:sz w:val="22"/>
                <w:szCs w:val="22"/>
              </w:rPr>
            </w:pPr>
          </w:p>
        </w:tc>
        <w:tc>
          <w:tcPr>
            <w:tcW w:w="1809" w:type="dxa"/>
          </w:tcPr>
          <w:p>
            <w:pPr>
              <w:rPr>
                <w:sz w:val="22"/>
                <w:szCs w:val="22"/>
              </w:rPr>
            </w:pPr>
            <w:r>
              <w:rPr>
                <w:sz w:val="22"/>
                <w:szCs w:val="22"/>
              </w:rPr>
              <w:t>FG38</w:t>
            </w:r>
          </w:p>
        </w:tc>
      </w:tr>
      <w:tr>
        <w:tc>
          <w:tcPr>
            <w:tcW w:w="684" w:type="dxa"/>
          </w:tcPr>
          <w:p>
            <w:pPr>
              <w:rPr>
                <w:sz w:val="22"/>
                <w:szCs w:val="22"/>
              </w:rPr>
            </w:pPr>
            <w:r>
              <w:rPr>
                <w:sz w:val="22"/>
                <w:szCs w:val="22"/>
              </w:rPr>
              <w:t>15</w:t>
            </w:r>
          </w:p>
        </w:tc>
        <w:tc>
          <w:tcPr>
            <w:tcW w:w="6408" w:type="dxa"/>
          </w:tcPr>
          <w:p>
            <w:pPr>
              <w:rPr>
                <w:b/>
                <w:sz w:val="22"/>
                <w:szCs w:val="22"/>
              </w:rPr>
            </w:pPr>
            <w:r>
              <w:rPr>
                <w:b/>
                <w:sz w:val="22"/>
                <w:szCs w:val="22"/>
              </w:rPr>
              <w:t>Wichtige Termine</w:t>
            </w:r>
          </w:p>
          <w:p>
            <w:pPr>
              <w:pStyle w:val="Listenabsatz"/>
              <w:numPr>
                <w:ilvl w:val="0"/>
                <w:numId w:val="5"/>
              </w:numPr>
              <w:rPr>
                <w:sz w:val="22"/>
                <w:szCs w:val="22"/>
              </w:rPr>
            </w:pPr>
            <w:r>
              <w:rPr>
                <w:sz w:val="22"/>
                <w:szCs w:val="22"/>
              </w:rPr>
              <w:t>Expertenbeirat Influenza (Do 19.11.)</w:t>
            </w:r>
          </w:p>
          <w:p>
            <w:pPr>
              <w:pStyle w:val="Listenabsatz"/>
              <w:numPr>
                <w:ilvl w:val="0"/>
                <w:numId w:val="5"/>
              </w:numPr>
              <w:rPr>
                <w:b/>
                <w:sz w:val="22"/>
                <w:szCs w:val="22"/>
              </w:rPr>
            </w:pPr>
            <w:r>
              <w:rPr>
                <w:sz w:val="22"/>
                <w:szCs w:val="22"/>
              </w:rPr>
              <w:t>Austausch mit Frankreich (Fr 20.11. RKI ZIG Teilnehmer noch nicht klar</w:t>
            </w:r>
            <w:proofErr w:type="gramStart"/>
            <w:r>
              <w:rPr>
                <w:sz w:val="22"/>
                <w:szCs w:val="22"/>
              </w:rPr>
              <w:t>) ,</w:t>
            </w:r>
            <w:proofErr w:type="gramEnd"/>
            <w:r>
              <w:rPr>
                <w:sz w:val="22"/>
                <w:szCs w:val="22"/>
              </w:rPr>
              <w:t xml:space="preserve"> Teilnehmer aus AG Diagnostik ausstehend</w:t>
            </w:r>
          </w:p>
          <w:p>
            <w:pPr>
              <w:rPr>
                <w:b/>
                <w:sz w:val="22"/>
                <w:szCs w:val="22"/>
              </w:rPr>
            </w:pPr>
          </w:p>
          <w:p>
            <w:pPr>
              <w:rPr>
                <w:i/>
                <w:sz w:val="22"/>
                <w:szCs w:val="22"/>
              </w:rPr>
            </w:pPr>
            <w:r>
              <w:rPr>
                <w:i/>
                <w:sz w:val="22"/>
                <w:szCs w:val="22"/>
              </w:rPr>
              <w:t xml:space="preserve">TODO: Rücksprache mit Frau </w:t>
            </w:r>
            <w:proofErr w:type="spellStart"/>
            <w:r>
              <w:rPr>
                <w:i/>
                <w:sz w:val="22"/>
                <w:szCs w:val="22"/>
              </w:rPr>
              <w:t>Handefeld</w:t>
            </w:r>
            <w:proofErr w:type="spellEnd"/>
            <w:r>
              <w:rPr>
                <w:i/>
                <w:sz w:val="22"/>
                <w:szCs w:val="22"/>
              </w:rPr>
              <w:t xml:space="preserve">, Herrn Aebischer, Herrn Mielke erbeten </w:t>
            </w:r>
            <w:proofErr w:type="gramStart"/>
            <w:r>
              <w:rPr>
                <w:i/>
                <w:sz w:val="22"/>
                <w:szCs w:val="22"/>
              </w:rPr>
              <w:t>bezüglich ausstehenden Teilnehmer</w:t>
            </w:r>
            <w:proofErr w:type="gramEnd"/>
            <w:r>
              <w:rPr>
                <w:i/>
                <w:sz w:val="22"/>
                <w:szCs w:val="22"/>
              </w:rPr>
              <w:t xml:space="preserve"> aus AG Diagnostik, um nicht allzu viele verschiedene Leute einzubinden (Maria an der Heiden)</w:t>
            </w:r>
          </w:p>
          <w:p>
            <w:pPr>
              <w:rPr>
                <w:b/>
                <w:sz w:val="22"/>
                <w:szCs w:val="22"/>
              </w:rPr>
            </w:pPr>
          </w:p>
        </w:tc>
        <w:tc>
          <w:tcPr>
            <w:tcW w:w="1809" w:type="dxa"/>
          </w:tcPr>
          <w:p>
            <w:pPr>
              <w:rPr>
                <w:sz w:val="22"/>
                <w:szCs w:val="22"/>
              </w:rPr>
            </w:pPr>
            <w:r>
              <w:rPr>
                <w:sz w:val="22"/>
                <w:szCs w:val="22"/>
              </w:rPr>
              <w:t>Alle</w:t>
            </w:r>
          </w:p>
        </w:tc>
      </w:tr>
      <w:tr>
        <w:tc>
          <w:tcPr>
            <w:tcW w:w="684" w:type="dxa"/>
          </w:tcPr>
          <w:p>
            <w:pPr>
              <w:rPr>
                <w:sz w:val="22"/>
                <w:szCs w:val="22"/>
              </w:rPr>
            </w:pPr>
            <w:r>
              <w:rPr>
                <w:sz w:val="22"/>
                <w:szCs w:val="22"/>
              </w:rPr>
              <w:t>16</w:t>
            </w:r>
          </w:p>
        </w:tc>
        <w:tc>
          <w:tcPr>
            <w:tcW w:w="6408" w:type="dxa"/>
          </w:tcPr>
          <w:p>
            <w:pPr>
              <w:rPr>
                <w:b/>
                <w:sz w:val="22"/>
                <w:szCs w:val="22"/>
              </w:rPr>
            </w:pPr>
            <w:r>
              <w:rPr>
                <w:b/>
                <w:sz w:val="22"/>
                <w:szCs w:val="22"/>
              </w:rPr>
              <w:t>Andere Themen</w:t>
            </w:r>
          </w:p>
          <w:p>
            <w:pPr>
              <w:pStyle w:val="Listenabsatz"/>
              <w:numPr>
                <w:ilvl w:val="0"/>
                <w:numId w:val="5"/>
              </w:numPr>
              <w:rPr>
                <w:b/>
                <w:sz w:val="22"/>
                <w:szCs w:val="22"/>
              </w:rPr>
            </w:pPr>
            <w:r>
              <w:rPr>
                <w:sz w:val="22"/>
                <w:szCs w:val="22"/>
              </w:rPr>
              <w:t>Nächste Sitzung: Freitag 20.11.2020, 11:00</w:t>
            </w:r>
          </w:p>
          <w:p>
            <w:pPr>
              <w:pStyle w:val="Listenabsatz"/>
              <w:rPr>
                <w:b/>
                <w:sz w:val="22"/>
                <w:szCs w:val="22"/>
              </w:rPr>
            </w:pPr>
          </w:p>
        </w:tc>
        <w:tc>
          <w:tcPr>
            <w:tcW w:w="1809" w:type="dxa"/>
          </w:tcPr>
          <w:p>
            <w:pPr>
              <w:rPr>
                <w:sz w:val="22"/>
                <w:szCs w:val="22"/>
              </w:rPr>
            </w:pPr>
          </w:p>
        </w:tc>
      </w:tr>
    </w:tbl>
    <w:p>
      <w:pPr>
        <w:spacing w:after="240" w:line="360" w:lineRule="auto"/>
        <w:rPr>
          <w:sz w:val="22"/>
          <w:szCs w:val="22"/>
        </w:rPr>
      </w:pPr>
    </w:p>
    <w:sectPr>
      <w:headerReference w:type="default" r:id="rId15"/>
      <w:footerReference w:type="even" r:id="rId16"/>
      <w:footerReference w:type="default" r:id="rId17"/>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pPr>
      <w:pStyle w:val="Fuzeile"/>
      <w:ind w:right="360"/>
      <w:rPr>
        <w:i/>
        <w:color w:val="7F7F7F" w:themeColor="text1"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i/>
        <w:color w:val="808080" w:themeColor="background1" w:themeShade="80"/>
      </w:rPr>
    </w:pPr>
    <w:r>
      <w:rPr>
        <w:i/>
        <w:color w:val="808080" w:themeColor="background1" w:themeShade="80"/>
      </w:rPr>
      <w:tab/>
      <w:t>VS – NUR FÜR DEN DIENSTGEBRAUCH</w:t>
    </w:r>
    <w:r>
      <w:rPr>
        <w:i/>
        <w:color w:val="808080" w:themeColor="background1" w:themeShade="80"/>
      </w:rPr>
      <w:tab/>
    </w:r>
    <w:r>
      <w:rPr>
        <w:i/>
        <w:noProof/>
        <w:color w:val="808080" w:themeColor="background1" w:themeShade="80"/>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 Krisenstabs</w:t>
    </w:r>
  </w:p>
  <w:p>
    <w:pPr>
      <w:pStyle w:val="Kopfzeile"/>
      <w:rPr>
        <w:color w:val="1F497D"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6986"/>
    <w:multiLevelType w:val="hybridMultilevel"/>
    <w:tmpl w:val="307C4DFC"/>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54C7A"/>
    <w:multiLevelType w:val="hybridMultilevel"/>
    <w:tmpl w:val="6B3A23E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3B70B64"/>
    <w:multiLevelType w:val="hybridMultilevel"/>
    <w:tmpl w:val="428455A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27F"/>
    <w:multiLevelType w:val="hybridMultilevel"/>
    <w:tmpl w:val="EC785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F003E"/>
    <w:multiLevelType w:val="hybridMultilevel"/>
    <w:tmpl w:val="0E5C30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75F65"/>
    <w:multiLevelType w:val="hybridMultilevel"/>
    <w:tmpl w:val="780A7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0941A7"/>
    <w:multiLevelType w:val="hybridMultilevel"/>
    <w:tmpl w:val="AEE64A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397807"/>
    <w:multiLevelType w:val="hybridMultilevel"/>
    <w:tmpl w:val="CDEEB5BC"/>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F21567"/>
    <w:multiLevelType w:val="hybridMultilevel"/>
    <w:tmpl w:val="99E679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E35088B"/>
    <w:multiLevelType w:val="hybridMultilevel"/>
    <w:tmpl w:val="E2709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F13A1"/>
    <w:multiLevelType w:val="hybridMultilevel"/>
    <w:tmpl w:val="5D6EA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FD59C2"/>
    <w:multiLevelType w:val="hybridMultilevel"/>
    <w:tmpl w:val="6DC0B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F0180D"/>
    <w:multiLevelType w:val="hybridMultilevel"/>
    <w:tmpl w:val="B3A6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C0447"/>
    <w:multiLevelType w:val="hybridMultilevel"/>
    <w:tmpl w:val="340E4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B865CB"/>
    <w:multiLevelType w:val="hybridMultilevel"/>
    <w:tmpl w:val="E1786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07176"/>
    <w:multiLevelType w:val="hybridMultilevel"/>
    <w:tmpl w:val="76FE6EB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C720573"/>
    <w:multiLevelType w:val="hybridMultilevel"/>
    <w:tmpl w:val="5BB48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24"/>
  </w:num>
  <w:num w:numId="4">
    <w:abstractNumId w:val="13"/>
  </w:num>
  <w:num w:numId="5">
    <w:abstractNumId w:val="15"/>
  </w:num>
  <w:num w:numId="6">
    <w:abstractNumId w:val="8"/>
  </w:num>
  <w:num w:numId="7">
    <w:abstractNumId w:val="19"/>
  </w:num>
  <w:num w:numId="8">
    <w:abstractNumId w:val="12"/>
  </w:num>
  <w:num w:numId="9">
    <w:abstractNumId w:val="18"/>
  </w:num>
  <w:num w:numId="10">
    <w:abstractNumId w:val="20"/>
  </w:num>
  <w:num w:numId="11">
    <w:abstractNumId w:val="26"/>
  </w:num>
  <w:num w:numId="12">
    <w:abstractNumId w:val="22"/>
  </w:num>
  <w:num w:numId="13">
    <w:abstractNumId w:val="9"/>
  </w:num>
  <w:num w:numId="14">
    <w:abstractNumId w:val="21"/>
  </w:num>
  <w:num w:numId="15">
    <w:abstractNumId w:val="11"/>
  </w:num>
  <w:num w:numId="16">
    <w:abstractNumId w:val="16"/>
  </w:num>
  <w:num w:numId="17">
    <w:abstractNumId w:val="2"/>
  </w:num>
  <w:num w:numId="18">
    <w:abstractNumId w:val="1"/>
  </w:num>
  <w:num w:numId="19">
    <w:abstractNumId w:val="17"/>
  </w:num>
  <w:num w:numId="20">
    <w:abstractNumId w:val="23"/>
  </w:num>
  <w:num w:numId="21">
    <w:abstractNumId w:val="4"/>
  </w:num>
  <w:num w:numId="22">
    <w:abstractNumId w:val="3"/>
  </w:num>
  <w:num w:numId="23">
    <w:abstractNumId w:val="7"/>
  </w:num>
  <w:num w:numId="24">
    <w:abstractNumId w:val="10"/>
  </w:num>
  <w:num w:numId="25">
    <w:abstractNumId w:val="14"/>
  </w:num>
  <w:num w:numId="26">
    <w:abstractNumId w:val="27"/>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1EBAB-3600-4569-9AF9-7C63BC95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 w:type="character" w:styleId="Fett">
    <w:name w:val="Strong"/>
    <w:basedOn w:val="Absatz-Standardschriftar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929655269">
      <w:bodyDiv w:val="1"/>
      <w:marLeft w:val="0"/>
      <w:marRight w:val="0"/>
      <w:marTop w:val="0"/>
      <w:marBottom w:val="0"/>
      <w:divBdr>
        <w:top w:val="none" w:sz="0" w:space="0" w:color="auto"/>
        <w:left w:val="none" w:sz="0" w:space="0" w:color="auto"/>
        <w:bottom w:val="none" w:sz="0" w:space="0" w:color="auto"/>
        <w:right w:val="none" w:sz="0" w:space="0" w:color="auto"/>
      </w:divBdr>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rona%20Response_%20Wessam.pptx" TargetMode="External"/><Relationship Id="rId13" Type="http://schemas.openxmlformats.org/officeDocument/2006/relationships/hyperlink" Target="Krisenstab_18_Nov_Umbrella_Review_FG33.ppt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rki.local\daten\Wissdaten\RKI_nCoV-Lage\1.Lagemanagement\1.3.Besprechungen_TKs\1.Lage_AG\2020-11-18_Lage_AG\COVID-19_Internationale_Lage_2020-11-18.pptx" TargetMode="External"/><Relationship Id="rId12" Type="http://schemas.openxmlformats.org/officeDocument/2006/relationships/hyperlink" Target="file:///C:\Users\poertnerk\AppData\Roaming\Microsoft\Word\Testzahlerfassung%20am%20RKI_2020-22-18.ppt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ARS-CoV-2%20in%20ARS_20201117_Krisenstabssitzung_2.ppt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syndrom-ARE-SARI-COVID_bis_KW46_2020_f&#252;r-Krisenstab.pptx"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rki.local\daten\Wissdaten\RKI_nCoV-Lage\1.Lagemanagement\1.3.Besprechungen_TKs\1.Lage_AG\2020-11-18_Lage_AG\Lage-National_2020_11_18_draft.pptx" TargetMode="External"/><Relationship Id="rId14" Type="http://schemas.openxmlformats.org/officeDocument/2006/relationships/hyperlink" Target="mailto:ibbs-lage@rk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B7E8BAFD-3910-4358-8CF7-DB554159E866}"/>
      </w:docPartPr>
      <w:docPartBody>
        <w:p>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1632</Words>
  <Characters>10284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 Rexroth</dc:creator>
  <cp:keywords/>
  <dc:description/>
  <cp:lastModifiedBy>Pörtner, Kirsten</cp:lastModifiedBy>
  <cp:revision>6</cp:revision>
  <cp:lastPrinted>2020-03-13T12:00:00Z</cp:lastPrinted>
  <dcterms:created xsi:type="dcterms:W3CDTF">2020-11-18T09:18:00Z</dcterms:created>
  <dcterms:modified xsi:type="dcterms:W3CDTF">2020-11-18T15:34:00Z</dcterms:modified>
</cp:coreProperties>
</file>