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23.11.2020,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Webexkonferenz</w:t>
          </w:r>
          <w:proofErr w:type="spellEnd"/>
        </w:sdtContent>
      </w:sdt>
    </w:p>
    <w:p>
      <w:pPr>
        <w:rPr>
          <w:b/>
          <w:sz w:val="22"/>
        </w:rPr>
      </w:pPr>
      <w:r>
        <w:rPr>
          <w:b/>
          <w:sz w:val="22"/>
        </w:rPr>
        <w:t>Moderation: Lars Schaade</w:t>
      </w:r>
    </w:p>
    <w:p>
      <w:pPr>
        <w:spacing w:after="0"/>
        <w:rPr>
          <w:b/>
          <w:sz w:val="22"/>
        </w:rPr>
      </w:pPr>
      <w:r>
        <w:rPr>
          <w:b/>
          <w:sz w:val="22"/>
        </w:rPr>
        <w:t xml:space="preserve">Teilnehmende: </w:t>
      </w:r>
    </w:p>
    <w:p>
      <w:pPr>
        <w:pStyle w:val="Listenabsatz"/>
        <w:numPr>
          <w:ilvl w:val="0"/>
          <w:numId w:val="3"/>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1"/>
          <w:numId w:val="2"/>
        </w:numPr>
        <w:spacing w:after="0"/>
        <w:contextualSpacing w:val="0"/>
        <w:rPr>
          <w:sz w:val="22"/>
        </w:rPr>
      </w:pPr>
      <w:r>
        <w:rPr>
          <w:sz w:val="22"/>
        </w:rPr>
        <w:t>Lothar Wieler</w:t>
      </w:r>
    </w:p>
    <w:p>
      <w:pPr>
        <w:pStyle w:val="Listenabsatz"/>
        <w:numPr>
          <w:ilvl w:val="0"/>
          <w:numId w:val="2"/>
        </w:numPr>
        <w:spacing w:after="0" w:line="233" w:lineRule="auto"/>
        <w:ind w:hanging="357"/>
        <w:contextualSpacing w:val="0"/>
        <w:rPr>
          <w:sz w:val="22"/>
        </w:rPr>
      </w:pPr>
      <w:r>
        <w:rPr>
          <w:sz w:val="22"/>
        </w:rPr>
        <w:t>Abt. 1</w:t>
      </w:r>
    </w:p>
    <w:p>
      <w:pPr>
        <w:pStyle w:val="Listenabsatz"/>
        <w:numPr>
          <w:ilvl w:val="1"/>
          <w:numId w:val="2"/>
        </w:numPr>
        <w:spacing w:after="0" w:line="233" w:lineRule="auto"/>
        <w:contextualSpacing w:val="0"/>
        <w:rPr>
          <w:sz w:val="22"/>
        </w:rPr>
      </w:pPr>
      <w:r>
        <w:rPr>
          <w:sz w:val="22"/>
        </w:rPr>
        <w:t>Martin Mielke</w:t>
      </w:r>
    </w:p>
    <w:p>
      <w:pPr>
        <w:pStyle w:val="Listenabsatz"/>
        <w:numPr>
          <w:ilvl w:val="0"/>
          <w:numId w:val="2"/>
        </w:numPr>
        <w:spacing w:after="0" w:line="233" w:lineRule="auto"/>
        <w:ind w:hanging="357"/>
        <w:contextualSpacing w:val="0"/>
        <w:rPr>
          <w:sz w:val="22"/>
        </w:rPr>
      </w:pPr>
      <w:r>
        <w:rPr>
          <w:sz w:val="22"/>
        </w:rPr>
        <w:t>Abt. 3</w:t>
      </w:r>
    </w:p>
    <w:p>
      <w:pPr>
        <w:pStyle w:val="Listenabsatz"/>
        <w:numPr>
          <w:ilvl w:val="1"/>
          <w:numId w:val="2"/>
        </w:numPr>
        <w:spacing w:after="0" w:line="233" w:lineRule="auto"/>
        <w:contextualSpacing w:val="0"/>
        <w:rPr>
          <w:sz w:val="22"/>
        </w:rPr>
      </w:pPr>
      <w:r>
        <w:rPr>
          <w:sz w:val="22"/>
        </w:rPr>
        <w:t>Osamah Hamouda</w:t>
      </w:r>
    </w:p>
    <w:p>
      <w:pPr>
        <w:pStyle w:val="Listenabsatz"/>
        <w:numPr>
          <w:ilvl w:val="0"/>
          <w:numId w:val="2"/>
        </w:numPr>
        <w:spacing w:after="0" w:line="233" w:lineRule="auto"/>
        <w:ind w:hanging="357"/>
        <w:contextualSpacing w:val="0"/>
        <w:rPr>
          <w:sz w:val="22"/>
        </w:rPr>
      </w:pPr>
      <w:r>
        <w:rPr>
          <w:sz w:val="22"/>
        </w:rPr>
        <w:t>ZIG</w:t>
      </w:r>
    </w:p>
    <w:p>
      <w:pPr>
        <w:pStyle w:val="Listenabsatz"/>
        <w:numPr>
          <w:ilvl w:val="1"/>
          <w:numId w:val="2"/>
        </w:numPr>
        <w:spacing w:after="0" w:line="233" w:lineRule="auto"/>
        <w:contextualSpacing w:val="0"/>
        <w:rPr>
          <w:sz w:val="22"/>
        </w:rPr>
      </w:pPr>
      <w:r>
        <w:rPr>
          <w:sz w:val="22"/>
        </w:rPr>
        <w:t>Johanna Hanefeld</w:t>
      </w:r>
    </w:p>
    <w:p>
      <w:pPr>
        <w:pStyle w:val="Listenabsatz"/>
        <w:numPr>
          <w:ilvl w:val="0"/>
          <w:numId w:val="2"/>
        </w:numPr>
        <w:spacing w:after="0"/>
        <w:contextualSpacing w:val="0"/>
        <w:rPr>
          <w:sz w:val="22"/>
        </w:rPr>
      </w:pPr>
      <w:r>
        <w:rPr>
          <w:sz w:val="22"/>
        </w:rPr>
        <w:t>FG12</w:t>
      </w:r>
    </w:p>
    <w:p>
      <w:pPr>
        <w:pStyle w:val="Listenabsatz"/>
        <w:numPr>
          <w:ilvl w:val="1"/>
          <w:numId w:val="2"/>
        </w:numPr>
        <w:spacing w:after="0" w:line="233" w:lineRule="auto"/>
        <w:contextualSpacing w:val="0"/>
        <w:rPr>
          <w:sz w:val="22"/>
        </w:rPr>
      </w:pPr>
      <w:r>
        <w:rPr>
          <w:sz w:val="22"/>
        </w:rPr>
        <w:t>Annette Mankertz</w:t>
      </w:r>
    </w:p>
    <w:p>
      <w:pPr>
        <w:pStyle w:val="Listenabsatz"/>
        <w:numPr>
          <w:ilvl w:val="0"/>
          <w:numId w:val="3"/>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3"/>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Thorsten Wolff</w:t>
      </w:r>
    </w:p>
    <w:p>
      <w:pPr>
        <w:pStyle w:val="Listenabsatz"/>
        <w:numPr>
          <w:ilvl w:val="0"/>
          <w:numId w:val="3"/>
        </w:numPr>
        <w:spacing w:after="0"/>
        <w:contextualSpacing w:val="0"/>
        <w:rPr>
          <w:sz w:val="22"/>
        </w:rPr>
      </w:pPr>
      <w:r>
        <w:rPr>
          <w:sz w:val="22"/>
        </w:rPr>
        <w:t xml:space="preserve">FG21 </w:t>
      </w:r>
    </w:p>
    <w:p>
      <w:pPr>
        <w:pStyle w:val="Listenabsatz"/>
        <w:numPr>
          <w:ilvl w:val="1"/>
          <w:numId w:val="2"/>
        </w:numPr>
        <w:spacing w:after="0"/>
        <w:contextualSpacing w:val="0"/>
        <w:rPr>
          <w:sz w:val="22"/>
        </w:rPr>
      </w:pPr>
      <w:r>
        <w:rPr>
          <w:sz w:val="22"/>
        </w:rPr>
        <w:t>Wolfgang Scheida</w:t>
      </w:r>
    </w:p>
    <w:p>
      <w:pPr>
        <w:pStyle w:val="Listenabsatz"/>
        <w:numPr>
          <w:ilvl w:val="0"/>
          <w:numId w:val="2"/>
        </w:numPr>
        <w:spacing w:after="0"/>
        <w:contextualSpacing w:val="0"/>
        <w:rPr>
          <w:sz w:val="22"/>
        </w:rPr>
      </w:pPr>
      <w:r>
        <w:rPr>
          <w:sz w:val="22"/>
        </w:rPr>
        <w:t xml:space="preserve">FG24 </w:t>
      </w:r>
    </w:p>
    <w:p>
      <w:pPr>
        <w:pStyle w:val="Listenabsatz"/>
        <w:numPr>
          <w:ilvl w:val="1"/>
          <w:numId w:val="2"/>
        </w:numPr>
        <w:spacing w:after="0"/>
        <w:contextualSpacing w:val="0"/>
        <w:rPr>
          <w:sz w:val="22"/>
        </w:rPr>
      </w:pPr>
      <w:r>
        <w:rPr>
          <w:sz w:val="22"/>
        </w:rPr>
        <w:t>Thomas Ziese</w:t>
      </w:r>
    </w:p>
    <w:p>
      <w:pPr>
        <w:pStyle w:val="Listenabsatz"/>
        <w:numPr>
          <w:ilvl w:val="0"/>
          <w:numId w:val="4"/>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Michaela Diercke</w:t>
      </w:r>
    </w:p>
    <w:p>
      <w:pPr>
        <w:pStyle w:val="Listenabsatz"/>
        <w:numPr>
          <w:ilvl w:val="0"/>
          <w:numId w:val="4"/>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Viviane Bremer</w:t>
      </w:r>
    </w:p>
    <w:p>
      <w:pPr>
        <w:pStyle w:val="Listenabsatz"/>
        <w:numPr>
          <w:ilvl w:val="1"/>
          <w:numId w:val="2"/>
        </w:numPr>
        <w:spacing w:after="0"/>
        <w:contextualSpacing w:val="0"/>
        <w:rPr>
          <w:sz w:val="22"/>
        </w:rPr>
      </w:pPr>
      <w:r>
        <w:rPr>
          <w:sz w:val="22"/>
        </w:rPr>
        <w:t>Matthias an der Heiden</w:t>
      </w:r>
    </w:p>
    <w:p>
      <w:pPr>
        <w:pStyle w:val="Listenabsatz"/>
        <w:numPr>
          <w:ilvl w:val="1"/>
          <w:numId w:val="2"/>
        </w:numPr>
        <w:spacing w:after="0"/>
        <w:contextualSpacing w:val="0"/>
        <w:rPr>
          <w:sz w:val="22"/>
        </w:rPr>
      </w:pPr>
      <w:r>
        <w:rPr>
          <w:sz w:val="22"/>
        </w:rPr>
        <w:t>Andrea Sailer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Silke Buda</w:t>
      </w:r>
    </w:p>
    <w:p>
      <w:pPr>
        <w:pStyle w:val="Listenabsatz"/>
        <w:numPr>
          <w:ilvl w:val="1"/>
          <w:numId w:val="2"/>
        </w:numPr>
        <w:spacing w:after="0"/>
        <w:contextualSpacing w:val="0"/>
        <w:rPr>
          <w:sz w:val="22"/>
        </w:rPr>
      </w:pPr>
      <w:r>
        <w:rPr>
          <w:sz w:val="22"/>
        </w:rPr>
        <w:t>Walter Haas</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FG 38</w:t>
      </w:r>
    </w:p>
    <w:p>
      <w:pPr>
        <w:pStyle w:val="Listenabsatz"/>
        <w:numPr>
          <w:ilvl w:val="1"/>
          <w:numId w:val="2"/>
        </w:numPr>
        <w:spacing w:after="0"/>
        <w:contextualSpacing w:val="0"/>
        <w:rPr>
          <w:sz w:val="22"/>
        </w:rPr>
      </w:pPr>
      <w:r>
        <w:rPr>
          <w:sz w:val="22"/>
        </w:rPr>
        <w:t>Maria an der Heiden</w:t>
      </w:r>
    </w:p>
    <w:p>
      <w:pPr>
        <w:pStyle w:val="Listenabsatz"/>
        <w:numPr>
          <w:ilvl w:val="1"/>
          <w:numId w:val="2"/>
        </w:numPr>
        <w:spacing w:after="0"/>
        <w:contextualSpacing w:val="0"/>
        <w:rPr>
          <w:sz w:val="22"/>
        </w:rPr>
      </w:pPr>
      <w:r>
        <w:rPr>
          <w:sz w:val="22"/>
        </w:rPr>
        <w:t>Ute Rexroth</w:t>
      </w:r>
    </w:p>
    <w:p>
      <w:pPr>
        <w:pStyle w:val="Listenabsatz"/>
        <w:numPr>
          <w:ilvl w:val="0"/>
          <w:numId w:val="3"/>
        </w:numPr>
        <w:spacing w:after="0"/>
        <w:contextualSpacing w:val="0"/>
        <w:rPr>
          <w:sz w:val="22"/>
        </w:rPr>
      </w:pPr>
      <w:r>
        <w:rPr>
          <w:sz w:val="22"/>
        </w:rPr>
        <w:t>IBBS</w:t>
      </w:r>
    </w:p>
    <w:p>
      <w:pPr>
        <w:pStyle w:val="Listenabsatz"/>
        <w:numPr>
          <w:ilvl w:val="1"/>
          <w:numId w:val="3"/>
        </w:numPr>
        <w:spacing w:after="0"/>
        <w:contextualSpacing w:val="0"/>
        <w:rPr>
          <w:sz w:val="22"/>
        </w:rPr>
      </w:pPr>
      <w:r>
        <w:rPr>
          <w:sz w:val="22"/>
        </w:rPr>
        <w:t>Bettina Ruehe</w:t>
      </w:r>
    </w:p>
    <w:p>
      <w:pPr>
        <w:pStyle w:val="Listenabsatz"/>
        <w:numPr>
          <w:ilvl w:val="0"/>
          <w:numId w:val="3"/>
        </w:numPr>
        <w:spacing w:after="0"/>
        <w:contextualSpacing w:val="0"/>
        <w:rPr>
          <w:sz w:val="22"/>
        </w:rPr>
      </w:pPr>
      <w:r>
        <w:rPr>
          <w:sz w:val="22"/>
        </w:rPr>
        <w:t>P1</w:t>
      </w:r>
    </w:p>
    <w:p>
      <w:pPr>
        <w:pStyle w:val="Listenabsatz"/>
        <w:numPr>
          <w:ilvl w:val="1"/>
          <w:numId w:val="3"/>
        </w:numPr>
        <w:spacing w:after="0"/>
        <w:contextualSpacing w:val="0"/>
        <w:rPr>
          <w:sz w:val="22"/>
        </w:rPr>
      </w:pPr>
      <w:r>
        <w:rPr>
          <w:sz w:val="22"/>
        </w:rPr>
        <w:t>Mirjam Jenny</w:t>
      </w:r>
    </w:p>
    <w:p>
      <w:pPr>
        <w:pStyle w:val="Listenabsatz"/>
        <w:numPr>
          <w:ilvl w:val="0"/>
          <w:numId w:val="3"/>
        </w:numPr>
        <w:spacing w:after="0"/>
        <w:contextualSpacing w:val="0"/>
        <w:rPr>
          <w:sz w:val="22"/>
        </w:rPr>
      </w:pPr>
      <w:r>
        <w:rPr>
          <w:sz w:val="22"/>
        </w:rPr>
        <w:lastRenderedPageBreak/>
        <w:t>Presse</w:t>
      </w:r>
    </w:p>
    <w:p>
      <w:pPr>
        <w:pStyle w:val="Listenabsatz"/>
        <w:numPr>
          <w:ilvl w:val="1"/>
          <w:numId w:val="3"/>
        </w:numPr>
        <w:spacing w:after="0"/>
        <w:contextualSpacing w:val="0"/>
        <w:rPr>
          <w:sz w:val="22"/>
        </w:rPr>
      </w:pPr>
      <w:r>
        <w:rPr>
          <w:sz w:val="22"/>
        </w:rPr>
        <w:t>Jamela Seedat</w:t>
      </w:r>
    </w:p>
    <w:p>
      <w:pPr>
        <w:pStyle w:val="Listenabsatz"/>
        <w:numPr>
          <w:ilvl w:val="0"/>
          <w:numId w:val="2"/>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Andreas Nitsche</w:t>
      </w:r>
    </w:p>
    <w:p>
      <w:pPr>
        <w:pStyle w:val="Listenabsatz"/>
        <w:numPr>
          <w:ilvl w:val="0"/>
          <w:numId w:val="2"/>
        </w:numPr>
        <w:spacing w:after="0"/>
        <w:contextualSpacing w:val="0"/>
        <w:rPr>
          <w:sz w:val="22"/>
        </w:rPr>
      </w:pPr>
      <w:r>
        <w:rPr>
          <w:sz w:val="22"/>
        </w:rPr>
        <w:t>ZIG1</w:t>
      </w:r>
    </w:p>
    <w:p>
      <w:pPr>
        <w:pStyle w:val="Listenabsatz"/>
        <w:numPr>
          <w:ilvl w:val="1"/>
          <w:numId w:val="2"/>
        </w:numPr>
        <w:spacing w:after="0"/>
        <w:contextualSpacing w:val="0"/>
        <w:rPr>
          <w:sz w:val="22"/>
        </w:rPr>
      </w:pPr>
      <w:r>
        <w:rPr>
          <w:sz w:val="22"/>
        </w:rPr>
        <w:t>Regina Singer</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 xml:space="preserve">Heidrun </w:t>
      </w:r>
      <w:proofErr w:type="spellStart"/>
      <w:r>
        <w:rPr>
          <w:sz w:val="22"/>
        </w:rPr>
        <w:t>Thaiss</w:t>
      </w:r>
      <w:proofErr w:type="spellEnd"/>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5"/>
              </w:numPr>
              <w:ind w:left="453" w:hanging="340"/>
              <w:rPr>
                <w:sz w:val="22"/>
                <w:szCs w:val="22"/>
              </w:rPr>
            </w:pPr>
            <w:r>
              <w:rPr>
                <w:sz w:val="22"/>
                <w:szCs w:val="22"/>
              </w:rPr>
              <w:t xml:space="preserve">Fälle, Ausbreitung (Folien </w:t>
            </w:r>
            <w:hyperlink r:id="rId8" w:history="1">
              <w:r>
                <w:rPr>
                  <w:rStyle w:val="Hyperlink"/>
                  <w:sz w:val="22"/>
                  <w:szCs w:val="22"/>
                </w:rPr>
                <w:t>hier</w:t>
              </w:r>
            </w:hyperlink>
            <w:r>
              <w:rPr>
                <w:sz w:val="22"/>
                <w:szCs w:val="22"/>
              </w:rPr>
              <w:t>)</w:t>
            </w:r>
          </w:p>
          <w:p>
            <w:pPr>
              <w:pStyle w:val="Listenabsatz"/>
              <w:numPr>
                <w:ilvl w:val="1"/>
                <w:numId w:val="5"/>
              </w:numPr>
              <w:ind w:left="907" w:hanging="340"/>
              <w:rPr>
                <w:sz w:val="22"/>
                <w:szCs w:val="22"/>
              </w:rPr>
            </w:pPr>
            <w:r>
              <w:rPr>
                <w:sz w:val="22"/>
                <w:szCs w:val="22"/>
              </w:rPr>
              <w:t>Ca. 58 Mio. Fälle und &gt; 1,3 Mio. Verstorbene (2,4%)</w:t>
            </w:r>
          </w:p>
          <w:p>
            <w:pPr>
              <w:pStyle w:val="Listenabsatz"/>
              <w:numPr>
                <w:ilvl w:val="0"/>
                <w:numId w:val="5"/>
              </w:numPr>
              <w:ind w:left="453" w:hanging="340"/>
              <w:rPr>
                <w:sz w:val="22"/>
                <w:szCs w:val="22"/>
              </w:rPr>
            </w:pPr>
            <w:r>
              <w:rPr>
                <w:sz w:val="22"/>
                <w:szCs w:val="22"/>
              </w:rPr>
              <w:t xml:space="preserve">Top 10 Länder nach Anzahl neuer Fälle / letzte 7 Tage </w:t>
            </w:r>
          </w:p>
          <w:p>
            <w:pPr>
              <w:pStyle w:val="Listenabsatz"/>
              <w:numPr>
                <w:ilvl w:val="1"/>
                <w:numId w:val="5"/>
              </w:numPr>
              <w:ind w:left="907" w:hanging="340"/>
              <w:rPr>
                <w:sz w:val="22"/>
                <w:szCs w:val="22"/>
              </w:rPr>
            </w:pPr>
            <w:r>
              <w:rPr>
                <w:sz w:val="22"/>
                <w:szCs w:val="22"/>
              </w:rPr>
              <w:t>Top 10 Länder sind gleichgeblieben.</w:t>
            </w:r>
          </w:p>
          <w:p>
            <w:pPr>
              <w:pStyle w:val="Listenabsatz"/>
              <w:numPr>
                <w:ilvl w:val="1"/>
                <w:numId w:val="5"/>
              </w:numPr>
              <w:ind w:left="907" w:hanging="340"/>
              <w:rPr>
                <w:sz w:val="22"/>
                <w:szCs w:val="22"/>
              </w:rPr>
            </w:pPr>
            <w:r>
              <w:rPr>
                <w:sz w:val="22"/>
                <w:szCs w:val="22"/>
              </w:rPr>
              <w:t>Frankreich hat vom 4. auf den 6. Platz gewechselt. Polen und Großbritannien haben Plätze getauscht.</w:t>
            </w:r>
          </w:p>
          <w:p>
            <w:pPr>
              <w:pStyle w:val="Listenabsatz"/>
              <w:numPr>
                <w:ilvl w:val="1"/>
                <w:numId w:val="5"/>
              </w:numPr>
              <w:ind w:left="907" w:hanging="340"/>
              <w:rPr>
                <w:sz w:val="22"/>
                <w:szCs w:val="22"/>
              </w:rPr>
            </w:pPr>
            <w:r>
              <w:rPr>
                <w:sz w:val="22"/>
                <w:szCs w:val="22"/>
              </w:rPr>
              <w:t>Einen aufsteigenden Trend verzeichnen die Vereinigten Staaten, Brasilien und die Russische Föderation.</w:t>
            </w:r>
          </w:p>
          <w:p>
            <w:pPr>
              <w:pStyle w:val="Listenabsatz"/>
              <w:numPr>
                <w:ilvl w:val="1"/>
                <w:numId w:val="5"/>
              </w:numPr>
              <w:ind w:left="907" w:hanging="340"/>
              <w:rPr>
                <w:sz w:val="22"/>
                <w:szCs w:val="22"/>
              </w:rPr>
            </w:pPr>
            <w:r>
              <w:rPr>
                <w:sz w:val="22"/>
                <w:szCs w:val="22"/>
              </w:rPr>
              <w:t>Bei den anderen Ländern ist der Trend aktuell abnehmend.</w:t>
            </w:r>
          </w:p>
          <w:p>
            <w:pPr>
              <w:pStyle w:val="Listenabsatz"/>
              <w:numPr>
                <w:ilvl w:val="0"/>
                <w:numId w:val="5"/>
              </w:numPr>
              <w:ind w:left="453" w:hanging="340"/>
              <w:rPr>
                <w:sz w:val="22"/>
                <w:szCs w:val="22"/>
              </w:rPr>
            </w:pPr>
            <w:r>
              <w:rPr>
                <w:sz w:val="22"/>
                <w:szCs w:val="22"/>
              </w:rPr>
              <w:t>7-Tages-Inzidenz &gt; 50 pro 100.000 Einwohner</w:t>
            </w:r>
          </w:p>
          <w:p>
            <w:pPr>
              <w:pStyle w:val="Listenabsatz"/>
              <w:numPr>
                <w:ilvl w:val="1"/>
                <w:numId w:val="5"/>
              </w:numPr>
              <w:ind w:left="907" w:hanging="340"/>
              <w:rPr>
                <w:sz w:val="22"/>
                <w:szCs w:val="22"/>
              </w:rPr>
            </w:pPr>
            <w:r>
              <w:rPr>
                <w:sz w:val="22"/>
                <w:szCs w:val="22"/>
              </w:rPr>
              <w:t>81 Länder überschreiten den Schwellenwert.</w:t>
            </w:r>
          </w:p>
          <w:p>
            <w:pPr>
              <w:pStyle w:val="Listenabsatz"/>
              <w:numPr>
                <w:ilvl w:val="1"/>
                <w:numId w:val="5"/>
              </w:numPr>
              <w:ind w:left="907" w:hanging="340"/>
              <w:rPr>
                <w:sz w:val="22"/>
                <w:szCs w:val="22"/>
              </w:rPr>
            </w:pPr>
            <w:r>
              <w:rPr>
                <w:sz w:val="22"/>
                <w:szCs w:val="22"/>
              </w:rPr>
              <w:t xml:space="preserve">Neu hinzugekommen sind Belize und die Turks und </w:t>
            </w:r>
            <w:proofErr w:type="spellStart"/>
            <w:r>
              <w:rPr>
                <w:sz w:val="22"/>
                <w:szCs w:val="22"/>
              </w:rPr>
              <w:t>Caicos</w:t>
            </w:r>
            <w:proofErr w:type="spellEnd"/>
            <w:r>
              <w:rPr>
                <w:sz w:val="22"/>
                <w:szCs w:val="22"/>
              </w:rPr>
              <w:t xml:space="preserve"> Inseln (Amerika).</w:t>
            </w:r>
          </w:p>
          <w:p>
            <w:pPr>
              <w:pStyle w:val="Listenabsatz"/>
              <w:numPr>
                <w:ilvl w:val="1"/>
                <w:numId w:val="5"/>
              </w:numPr>
              <w:ind w:left="907" w:hanging="340"/>
              <w:rPr>
                <w:sz w:val="22"/>
                <w:szCs w:val="22"/>
              </w:rPr>
            </w:pPr>
            <w:r>
              <w:rPr>
                <w:sz w:val="22"/>
                <w:szCs w:val="22"/>
              </w:rPr>
              <w:t>In Nordafrika nimmt die Anzahl der Fälle zu.</w:t>
            </w:r>
          </w:p>
          <w:p>
            <w:pPr>
              <w:pStyle w:val="Listenabsatz"/>
              <w:numPr>
                <w:ilvl w:val="1"/>
                <w:numId w:val="5"/>
              </w:numPr>
              <w:ind w:left="907" w:hanging="340"/>
              <w:rPr>
                <w:sz w:val="22"/>
                <w:szCs w:val="22"/>
              </w:rPr>
            </w:pPr>
            <w:r>
              <w:rPr>
                <w:sz w:val="22"/>
                <w:szCs w:val="22"/>
              </w:rPr>
              <w:t>Chile und die Falklandinseln sind nicht mehr Teil der Liste.</w:t>
            </w:r>
          </w:p>
          <w:p>
            <w:pPr>
              <w:pStyle w:val="Listenabsatz"/>
              <w:numPr>
                <w:ilvl w:val="1"/>
                <w:numId w:val="5"/>
              </w:numPr>
              <w:ind w:left="907" w:hanging="340"/>
              <w:rPr>
                <w:sz w:val="22"/>
                <w:szCs w:val="22"/>
              </w:rPr>
            </w:pPr>
            <w:r>
              <w:rPr>
                <w:sz w:val="22"/>
                <w:szCs w:val="22"/>
              </w:rPr>
              <w:t>In Asien ist der Trend vor allem in Jordanien und Palästina stark ansteigend.</w:t>
            </w:r>
          </w:p>
          <w:p>
            <w:pPr>
              <w:pStyle w:val="Listenabsatz"/>
              <w:numPr>
                <w:ilvl w:val="0"/>
                <w:numId w:val="5"/>
              </w:numPr>
              <w:ind w:left="453" w:hanging="340"/>
              <w:rPr>
                <w:sz w:val="22"/>
                <w:szCs w:val="22"/>
              </w:rPr>
            </w:pPr>
            <w:r>
              <w:rPr>
                <w:sz w:val="22"/>
                <w:szCs w:val="22"/>
              </w:rPr>
              <w:t>7-Tages-Inzidenz pro 100.000 Einwohner – EU/EWR/UK/CH</w:t>
            </w:r>
          </w:p>
          <w:p>
            <w:pPr>
              <w:pStyle w:val="Listenabsatz"/>
              <w:numPr>
                <w:ilvl w:val="1"/>
                <w:numId w:val="5"/>
              </w:numPr>
              <w:ind w:left="907" w:hanging="340"/>
              <w:rPr>
                <w:sz w:val="22"/>
                <w:szCs w:val="22"/>
              </w:rPr>
            </w:pPr>
            <w:r>
              <w:rPr>
                <w:sz w:val="22"/>
                <w:szCs w:val="22"/>
              </w:rPr>
              <w:t>Keine großen Veränderungen</w:t>
            </w:r>
          </w:p>
          <w:p>
            <w:pPr>
              <w:pStyle w:val="Listenabsatz"/>
              <w:numPr>
                <w:ilvl w:val="0"/>
                <w:numId w:val="5"/>
              </w:numPr>
              <w:ind w:left="453" w:hanging="340"/>
              <w:rPr>
                <w:sz w:val="22"/>
                <w:szCs w:val="22"/>
              </w:rPr>
            </w:pPr>
            <w:r>
              <w:rPr>
                <w:sz w:val="22"/>
                <w:szCs w:val="22"/>
              </w:rPr>
              <w:t>Zusammenfassung und News</w:t>
            </w:r>
          </w:p>
          <w:p>
            <w:pPr>
              <w:pStyle w:val="Listenabsatz"/>
              <w:numPr>
                <w:ilvl w:val="1"/>
                <w:numId w:val="5"/>
              </w:numPr>
              <w:ind w:left="907" w:hanging="340"/>
              <w:rPr>
                <w:sz w:val="22"/>
                <w:szCs w:val="22"/>
              </w:rPr>
            </w:pPr>
            <w:r>
              <w:rPr>
                <w:sz w:val="22"/>
                <w:szCs w:val="22"/>
              </w:rPr>
              <w:t>Amerika</w:t>
            </w:r>
          </w:p>
          <w:p>
            <w:pPr>
              <w:pStyle w:val="Listenabsatz"/>
              <w:numPr>
                <w:ilvl w:val="2"/>
                <w:numId w:val="5"/>
              </w:numPr>
              <w:ind w:left="1491" w:hanging="357"/>
              <w:rPr>
                <w:sz w:val="22"/>
                <w:szCs w:val="22"/>
              </w:rPr>
            </w:pPr>
            <w:r>
              <w:rPr>
                <w:sz w:val="22"/>
                <w:szCs w:val="22"/>
              </w:rPr>
              <w:t>USA und Brasilien weiterhin Anstieg der tägl. Neuinfektionen</w:t>
            </w:r>
          </w:p>
          <w:p>
            <w:pPr>
              <w:pStyle w:val="Listenabsatz"/>
              <w:numPr>
                <w:ilvl w:val="2"/>
                <w:numId w:val="5"/>
              </w:numPr>
              <w:ind w:left="1491" w:hanging="357"/>
              <w:rPr>
                <w:sz w:val="22"/>
                <w:szCs w:val="22"/>
              </w:rPr>
            </w:pPr>
            <w:r>
              <w:rPr>
                <w:sz w:val="22"/>
                <w:szCs w:val="22"/>
              </w:rPr>
              <w:t>Mexiko hat Schwellenwert von 100.000 Todesfälle überschritten.</w:t>
            </w:r>
          </w:p>
          <w:p>
            <w:pPr>
              <w:pStyle w:val="Listenabsatz"/>
              <w:numPr>
                <w:ilvl w:val="1"/>
                <w:numId w:val="5"/>
              </w:numPr>
              <w:ind w:left="907" w:hanging="340"/>
              <w:rPr>
                <w:sz w:val="22"/>
                <w:szCs w:val="22"/>
              </w:rPr>
            </w:pPr>
            <w:r>
              <w:rPr>
                <w:sz w:val="22"/>
                <w:szCs w:val="22"/>
              </w:rPr>
              <w:t>Asien/EMRO</w:t>
            </w:r>
          </w:p>
          <w:p>
            <w:pPr>
              <w:pStyle w:val="Listenabsatz"/>
              <w:numPr>
                <w:ilvl w:val="2"/>
                <w:numId w:val="5"/>
              </w:numPr>
              <w:ind w:left="1491" w:hanging="357"/>
              <w:rPr>
                <w:sz w:val="22"/>
                <w:szCs w:val="22"/>
              </w:rPr>
            </w:pPr>
            <w:r>
              <w:rPr>
                <w:sz w:val="22"/>
                <w:szCs w:val="22"/>
              </w:rPr>
              <w:t>In Indien leichter Rückgang der Neuinfektionen</w:t>
            </w:r>
          </w:p>
          <w:p>
            <w:pPr>
              <w:pStyle w:val="Listenabsatz"/>
              <w:numPr>
                <w:ilvl w:val="2"/>
                <w:numId w:val="5"/>
              </w:numPr>
              <w:ind w:left="1491" w:hanging="357"/>
              <w:rPr>
                <w:sz w:val="22"/>
                <w:szCs w:val="22"/>
              </w:rPr>
            </w:pPr>
            <w:r>
              <w:rPr>
                <w:sz w:val="22"/>
                <w:szCs w:val="22"/>
              </w:rPr>
              <w:t>Erneuter Anstieg in Japan und Südkorea</w:t>
            </w:r>
          </w:p>
          <w:p>
            <w:pPr>
              <w:pStyle w:val="Listenabsatz"/>
              <w:numPr>
                <w:ilvl w:val="2"/>
                <w:numId w:val="5"/>
              </w:numPr>
              <w:ind w:left="1491" w:hanging="357"/>
              <w:rPr>
                <w:sz w:val="22"/>
                <w:szCs w:val="22"/>
              </w:rPr>
            </w:pPr>
            <w:r>
              <w:rPr>
                <w:sz w:val="22"/>
                <w:szCs w:val="22"/>
              </w:rPr>
              <w:t>Anstieg der Neuinfektionen in WHO Region EMRO; folge von verfrühten Lockerungsmaßnahmen, wenig Akzeptanz der Maßnahmen</w:t>
            </w:r>
          </w:p>
          <w:p>
            <w:pPr>
              <w:pStyle w:val="Listenabsatz"/>
              <w:numPr>
                <w:ilvl w:val="1"/>
                <w:numId w:val="5"/>
              </w:numPr>
              <w:ind w:left="907" w:hanging="340"/>
              <w:rPr>
                <w:sz w:val="22"/>
                <w:szCs w:val="22"/>
              </w:rPr>
            </w:pPr>
            <w:r>
              <w:rPr>
                <w:sz w:val="22"/>
                <w:szCs w:val="22"/>
              </w:rPr>
              <w:t>Europa</w:t>
            </w:r>
          </w:p>
          <w:p>
            <w:pPr>
              <w:pStyle w:val="Listenabsatz"/>
              <w:numPr>
                <w:ilvl w:val="2"/>
                <w:numId w:val="5"/>
              </w:numPr>
              <w:ind w:left="1491" w:hanging="357"/>
              <w:rPr>
                <w:sz w:val="22"/>
                <w:szCs w:val="22"/>
              </w:rPr>
            </w:pPr>
            <w:r>
              <w:rPr>
                <w:sz w:val="22"/>
                <w:szCs w:val="22"/>
              </w:rPr>
              <w:t>Weiterhin größter Anteil der neuen Fälle in letzten 7 Tagen; Neuinfektionen insgesamt etwas rückläufig, Todesfälle im Vergleich zur Vorwoche weiterhin ansteigend</w:t>
            </w:r>
          </w:p>
          <w:p>
            <w:pPr>
              <w:pStyle w:val="Listenabsatz"/>
              <w:numPr>
                <w:ilvl w:val="2"/>
                <w:numId w:val="5"/>
              </w:numPr>
              <w:ind w:left="1491" w:hanging="357"/>
              <w:rPr>
                <w:sz w:val="22"/>
                <w:szCs w:val="22"/>
              </w:rPr>
            </w:pPr>
            <w:r>
              <w:rPr>
                <w:sz w:val="22"/>
                <w:szCs w:val="22"/>
              </w:rPr>
              <w:t>Zunahme der Neuinfektionen in Russland</w:t>
            </w:r>
          </w:p>
          <w:p>
            <w:pPr>
              <w:pStyle w:val="Listenabsatz"/>
              <w:numPr>
                <w:ilvl w:val="2"/>
                <w:numId w:val="5"/>
              </w:numPr>
              <w:ind w:left="1491" w:hanging="357"/>
              <w:rPr>
                <w:sz w:val="22"/>
                <w:szCs w:val="22"/>
              </w:rPr>
            </w:pPr>
            <w:r>
              <w:rPr>
                <w:sz w:val="22"/>
                <w:szCs w:val="22"/>
              </w:rPr>
              <w:t>ECDC RRA vom 19.11: Anstieg von tödlichen Fällen in Langzeitpflegeeinrichtungen</w:t>
            </w:r>
          </w:p>
          <w:p>
            <w:pPr>
              <w:pStyle w:val="Listenabsatz"/>
              <w:numPr>
                <w:ilvl w:val="0"/>
                <w:numId w:val="5"/>
              </w:numPr>
              <w:ind w:left="453" w:hanging="340"/>
              <w:rPr>
                <w:sz w:val="22"/>
                <w:szCs w:val="22"/>
              </w:rPr>
            </w:pPr>
            <w:r>
              <w:rPr>
                <w:sz w:val="22"/>
                <w:szCs w:val="22"/>
              </w:rPr>
              <w:lastRenderedPageBreak/>
              <w:t>Vorschlag: in Europakarte Inzidenzen farblich stärker variieren, als höchste Kategorie nicht nur &gt;50 Fälle ausweisen.</w:t>
            </w:r>
          </w:p>
          <w:p>
            <w:pPr>
              <w:pStyle w:val="Listenabsatz"/>
              <w:numPr>
                <w:ilvl w:val="0"/>
                <w:numId w:val="5"/>
              </w:numPr>
              <w:ind w:left="453" w:hanging="340"/>
              <w:rPr>
                <w:sz w:val="22"/>
                <w:szCs w:val="22"/>
              </w:rPr>
            </w:pPr>
            <w:r>
              <w:rPr>
                <w:sz w:val="22"/>
                <w:szCs w:val="22"/>
              </w:rPr>
              <w:t xml:space="preserve">Anpassung der Musterquarantäneverordnung: </w:t>
            </w:r>
          </w:p>
          <w:p>
            <w:pPr>
              <w:pStyle w:val="Listenabsatz"/>
              <w:numPr>
                <w:ilvl w:val="1"/>
                <w:numId w:val="5"/>
              </w:numPr>
              <w:ind w:left="907" w:hanging="340"/>
              <w:rPr>
                <w:sz w:val="22"/>
                <w:szCs w:val="22"/>
              </w:rPr>
            </w:pPr>
            <w:r>
              <w:rPr>
                <w:sz w:val="22"/>
                <w:szCs w:val="22"/>
              </w:rPr>
              <w:t>Deutschland will weg von einem festen hin zu einem dynamischen Schwellenwert. Im Gespräch ist eine 7-Tage-Inzidenz, die um 30 höher ist als in Deutschland. Soll diese Woche noch entschieden werden.</w:t>
            </w:r>
          </w:p>
          <w:p>
            <w:pPr>
              <w:spacing w:before="120" w:line="276" w:lineRule="auto"/>
              <w:rPr>
                <w:b/>
                <w:sz w:val="22"/>
                <w:szCs w:val="22"/>
              </w:rPr>
            </w:pPr>
            <w:r>
              <w:rPr>
                <w:b/>
                <w:sz w:val="22"/>
                <w:szCs w:val="22"/>
              </w:rPr>
              <w:t xml:space="preserve">National </w:t>
            </w:r>
          </w:p>
          <w:p>
            <w:pPr>
              <w:pStyle w:val="Listenabsatz"/>
              <w:numPr>
                <w:ilvl w:val="0"/>
                <w:numId w:val="5"/>
              </w:numPr>
              <w:ind w:left="453" w:hanging="340"/>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8"/>
              </w:numPr>
              <w:ind w:left="907" w:hanging="340"/>
              <w:rPr>
                <w:sz w:val="22"/>
                <w:szCs w:val="22"/>
              </w:rPr>
            </w:pPr>
            <w:proofErr w:type="spellStart"/>
            <w:r>
              <w:rPr>
                <w:sz w:val="22"/>
                <w:szCs w:val="22"/>
              </w:rPr>
              <w:t>SurvNet</w:t>
            </w:r>
            <w:proofErr w:type="spellEnd"/>
            <w:r>
              <w:rPr>
                <w:sz w:val="22"/>
                <w:szCs w:val="22"/>
              </w:rPr>
              <w:t xml:space="preserve"> übermittelt: 929.133 (+10.864), davon 14.112 (1,5%) Todesfälle (+90)</w:t>
            </w:r>
          </w:p>
          <w:p>
            <w:pPr>
              <w:pStyle w:val="Listenabsatz"/>
              <w:numPr>
                <w:ilvl w:val="1"/>
                <w:numId w:val="8"/>
              </w:numPr>
              <w:ind w:left="907" w:hanging="340"/>
              <w:rPr>
                <w:sz w:val="22"/>
                <w:szCs w:val="22"/>
              </w:rPr>
            </w:pPr>
            <w:r>
              <w:rPr>
                <w:sz w:val="22"/>
                <w:szCs w:val="22"/>
              </w:rPr>
              <w:t xml:space="preserve">7-Tage-Inzidenz 143/100.000 </w:t>
            </w:r>
            <w:proofErr w:type="spellStart"/>
            <w:r>
              <w:rPr>
                <w:sz w:val="22"/>
                <w:szCs w:val="22"/>
              </w:rPr>
              <w:t>Einw</w:t>
            </w:r>
            <w:proofErr w:type="spellEnd"/>
            <w:r>
              <w:rPr>
                <w:sz w:val="22"/>
                <w:szCs w:val="22"/>
              </w:rPr>
              <w:t xml:space="preserve">. </w:t>
            </w:r>
          </w:p>
          <w:p>
            <w:pPr>
              <w:pStyle w:val="Listenabsatz"/>
              <w:numPr>
                <w:ilvl w:val="1"/>
                <w:numId w:val="8"/>
              </w:numPr>
              <w:ind w:left="907" w:hanging="340"/>
              <w:rPr>
                <w:sz w:val="22"/>
                <w:szCs w:val="22"/>
              </w:rPr>
            </w:pPr>
            <w:r>
              <w:rPr>
                <w:sz w:val="22"/>
                <w:szCs w:val="22"/>
              </w:rPr>
              <w:t>4-Tage-R=1,04; 7-Tage-R=0,97</w:t>
            </w:r>
          </w:p>
          <w:p>
            <w:pPr>
              <w:pStyle w:val="Listenabsatz"/>
              <w:numPr>
                <w:ilvl w:val="1"/>
                <w:numId w:val="8"/>
              </w:numPr>
              <w:ind w:left="907" w:hanging="340"/>
              <w:rPr>
                <w:sz w:val="22"/>
                <w:szCs w:val="22"/>
              </w:rPr>
            </w:pPr>
            <w:r>
              <w:rPr>
                <w:sz w:val="22"/>
                <w:szCs w:val="22"/>
              </w:rPr>
              <w:t>ITS: 3.709 (+79), invasiv beatmet: 2.132 (+34)</w:t>
            </w:r>
          </w:p>
          <w:p>
            <w:pPr>
              <w:pStyle w:val="Listenabsatz"/>
              <w:numPr>
                <w:ilvl w:val="1"/>
                <w:numId w:val="5"/>
              </w:numPr>
              <w:ind w:left="924" w:hanging="357"/>
              <w:rPr>
                <w:sz w:val="22"/>
                <w:szCs w:val="22"/>
              </w:rPr>
            </w:pPr>
            <w:r>
              <w:rPr>
                <w:sz w:val="22"/>
                <w:szCs w:val="22"/>
              </w:rPr>
              <w:t>7-Tages-Inzidenz der Bundesländer nach Berichtsdatum</w:t>
            </w:r>
          </w:p>
          <w:p>
            <w:pPr>
              <w:pStyle w:val="Listenabsatz"/>
              <w:numPr>
                <w:ilvl w:val="2"/>
                <w:numId w:val="5"/>
              </w:numPr>
              <w:ind w:left="1491" w:hanging="357"/>
              <w:rPr>
                <w:sz w:val="22"/>
                <w:szCs w:val="22"/>
              </w:rPr>
            </w:pPr>
            <w:r>
              <w:rPr>
                <w:sz w:val="22"/>
                <w:szCs w:val="22"/>
              </w:rPr>
              <w:t xml:space="preserve">Bleibt bei Plateau, kein merklicher Rückgang </w:t>
            </w:r>
          </w:p>
          <w:p>
            <w:pPr>
              <w:pStyle w:val="Listenabsatz"/>
              <w:numPr>
                <w:ilvl w:val="2"/>
                <w:numId w:val="5"/>
              </w:numPr>
              <w:ind w:left="1491" w:hanging="357"/>
              <w:rPr>
                <w:sz w:val="22"/>
                <w:szCs w:val="22"/>
              </w:rPr>
            </w:pPr>
            <w:r>
              <w:rPr>
                <w:sz w:val="22"/>
                <w:szCs w:val="22"/>
              </w:rPr>
              <w:t>In einzelnen BL leichter Anstieg oder Abstieg</w:t>
            </w:r>
          </w:p>
          <w:p>
            <w:pPr>
              <w:pStyle w:val="Listenabsatz"/>
              <w:numPr>
                <w:ilvl w:val="1"/>
                <w:numId w:val="5"/>
              </w:numPr>
              <w:ind w:left="924" w:hanging="357"/>
              <w:rPr>
                <w:sz w:val="22"/>
                <w:szCs w:val="22"/>
              </w:rPr>
            </w:pPr>
            <w:r>
              <w:rPr>
                <w:sz w:val="22"/>
                <w:szCs w:val="22"/>
              </w:rPr>
              <w:t>Geografische Verteilung in Deutschland: 7-Tage-Inzidenz</w:t>
            </w:r>
          </w:p>
          <w:p>
            <w:pPr>
              <w:pStyle w:val="Listenabsatz"/>
              <w:numPr>
                <w:ilvl w:val="2"/>
                <w:numId w:val="5"/>
              </w:numPr>
              <w:ind w:left="1491" w:hanging="357"/>
              <w:rPr>
                <w:sz w:val="22"/>
                <w:szCs w:val="22"/>
              </w:rPr>
            </w:pPr>
            <w:r>
              <w:rPr>
                <w:sz w:val="22"/>
                <w:szCs w:val="22"/>
              </w:rPr>
              <w:t xml:space="preserve">Wenig Veränderung, nur wenige LK (38) überschreiten die Inzidenz von 50 nicht. </w:t>
            </w:r>
          </w:p>
          <w:p>
            <w:pPr>
              <w:pStyle w:val="Listenabsatz"/>
              <w:ind w:left="1491"/>
              <w:rPr>
                <w:sz w:val="22"/>
                <w:szCs w:val="22"/>
              </w:rPr>
            </w:pPr>
          </w:p>
          <w:p>
            <w:pPr>
              <w:pStyle w:val="Listenabsatz"/>
              <w:numPr>
                <w:ilvl w:val="0"/>
                <w:numId w:val="5"/>
              </w:numPr>
              <w:ind w:left="453" w:hanging="340"/>
              <w:rPr>
                <w:sz w:val="22"/>
                <w:szCs w:val="22"/>
              </w:rPr>
            </w:pPr>
            <w:r>
              <w:rPr>
                <w:sz w:val="22"/>
                <w:szCs w:val="22"/>
              </w:rPr>
              <w:t xml:space="preserve">Es sollte in Erinnerung behalten werden, dass es nach wie vor eine steigende Tendenz bei den Verstorbenen gibt. </w:t>
            </w:r>
          </w:p>
          <w:p>
            <w:pPr>
              <w:pStyle w:val="Listenabsatz"/>
              <w:numPr>
                <w:ilvl w:val="0"/>
                <w:numId w:val="5"/>
              </w:numPr>
              <w:ind w:left="453" w:hanging="340"/>
              <w:rPr>
                <w:sz w:val="22"/>
                <w:szCs w:val="22"/>
              </w:rPr>
            </w:pPr>
            <w:r>
              <w:rPr>
                <w:sz w:val="22"/>
                <w:szCs w:val="22"/>
              </w:rPr>
              <w:t xml:space="preserve">Liegen die hohen Fallzahlen in Grenzregionen sowohl im Osten wie auch im Westen am Grenzverkehr? </w:t>
            </w:r>
          </w:p>
          <w:p>
            <w:pPr>
              <w:pStyle w:val="Listenabsatz"/>
              <w:numPr>
                <w:ilvl w:val="1"/>
                <w:numId w:val="5"/>
              </w:numPr>
              <w:ind w:left="924" w:hanging="357"/>
              <w:rPr>
                <w:sz w:val="22"/>
                <w:szCs w:val="22"/>
              </w:rPr>
            </w:pPr>
            <w:r>
              <w:rPr>
                <w:sz w:val="22"/>
                <w:szCs w:val="22"/>
              </w:rPr>
              <w:t xml:space="preserve">Nur noch bei 1,4% der Fälle ist der Expositionsort im Ausland (geringer Anteil am Gesamtinfektionsgeschehen). </w:t>
            </w:r>
          </w:p>
          <w:p>
            <w:pPr>
              <w:pStyle w:val="Listenabsatz"/>
              <w:numPr>
                <w:ilvl w:val="1"/>
                <w:numId w:val="5"/>
              </w:numPr>
              <w:ind w:left="924" w:hanging="357"/>
              <w:rPr>
                <w:sz w:val="22"/>
                <w:szCs w:val="22"/>
              </w:rPr>
            </w:pPr>
            <w:r>
              <w:rPr>
                <w:sz w:val="22"/>
                <w:szCs w:val="22"/>
              </w:rPr>
              <w:t>Könnten bei der starken Betroffenheit von Pflege</w:t>
            </w:r>
            <w:r>
              <w:rPr>
                <w:sz w:val="22"/>
                <w:szCs w:val="22"/>
              </w:rPr>
              <w:softHyphen/>
              <w:t xml:space="preserve">einrichtungen z.B. in Sachsen Berufspendler in medizinische Einrichtungen eine Rolle spielen? </w:t>
            </w:r>
          </w:p>
          <w:p>
            <w:pPr>
              <w:pStyle w:val="Listenabsatz"/>
              <w:numPr>
                <w:ilvl w:val="0"/>
                <w:numId w:val="5"/>
              </w:numPr>
              <w:ind w:left="453" w:hanging="340"/>
              <w:rPr>
                <w:sz w:val="22"/>
                <w:szCs w:val="22"/>
              </w:rPr>
            </w:pPr>
            <w:r>
              <w:rPr>
                <w:sz w:val="22"/>
                <w:szCs w:val="22"/>
              </w:rPr>
              <w:t xml:space="preserve">Es fällt auf, dass es in Sachsen, Sachsen-Anhalt und Thüringen entgegen dem Trend keine Abnahme der Fälle gibt. </w:t>
            </w:r>
          </w:p>
          <w:p>
            <w:pPr>
              <w:pStyle w:val="Listenabsatz"/>
              <w:numPr>
                <w:ilvl w:val="1"/>
                <w:numId w:val="5"/>
              </w:numPr>
              <w:ind w:left="924" w:hanging="357"/>
              <w:rPr>
                <w:sz w:val="22"/>
                <w:szCs w:val="22"/>
              </w:rPr>
            </w:pPr>
            <w:r>
              <w:rPr>
                <w:sz w:val="22"/>
                <w:szCs w:val="22"/>
              </w:rPr>
              <w:t xml:space="preserve">Bisher gibt es hierzu keine Rückmeldung aus den BL, M. Diercke wird nachfragen. </w:t>
            </w:r>
          </w:p>
          <w:p>
            <w:pPr>
              <w:pStyle w:val="Listenabsatz"/>
              <w:numPr>
                <w:ilvl w:val="1"/>
                <w:numId w:val="5"/>
              </w:numPr>
              <w:ind w:left="924" w:hanging="357"/>
              <w:rPr>
                <w:sz w:val="22"/>
                <w:szCs w:val="22"/>
              </w:rPr>
            </w:pPr>
            <w:r>
              <w:rPr>
                <w:sz w:val="22"/>
                <w:szCs w:val="22"/>
              </w:rPr>
              <w:t xml:space="preserve">Die Fallzahlen in diesen BL waren bisher niedrig. Vielleicht hinkt das Verhalten der Bevölkerung deshalb etwas hinterher. </w:t>
            </w:r>
          </w:p>
          <w:p>
            <w:pPr>
              <w:pStyle w:val="Listenabsatz"/>
              <w:numPr>
                <w:ilvl w:val="1"/>
                <w:numId w:val="5"/>
              </w:numPr>
              <w:ind w:left="924" w:hanging="357"/>
              <w:rPr>
                <w:sz w:val="22"/>
                <w:szCs w:val="22"/>
              </w:rPr>
            </w:pPr>
            <w:r>
              <w:rPr>
                <w:sz w:val="22"/>
                <w:szCs w:val="22"/>
              </w:rPr>
              <w:t xml:space="preserve">Könnte es an einem hohen Anteil von „Querdenkern“ liegen? Könnte für die Beantwortung dieser Frage die Befragung des sozioökonomischen Panels herangezogen werden? Abt. 2 wird klären, ob sich geeignete Variablen im </w:t>
            </w:r>
            <w:proofErr w:type="spellStart"/>
            <w:r>
              <w:rPr>
                <w:sz w:val="22"/>
                <w:szCs w:val="22"/>
              </w:rPr>
              <w:t>Geda</w:t>
            </w:r>
            <w:proofErr w:type="spellEnd"/>
            <w:r>
              <w:rPr>
                <w:sz w:val="22"/>
                <w:szCs w:val="22"/>
              </w:rPr>
              <w:t xml:space="preserve">-Datensatz befinden. </w:t>
            </w:r>
          </w:p>
          <w:p>
            <w:pPr>
              <w:pStyle w:val="Listenabsatz"/>
              <w:ind w:left="1491"/>
              <w:rPr>
                <w:sz w:val="22"/>
                <w:szCs w:val="22"/>
              </w:rPr>
            </w:pPr>
          </w:p>
        </w:tc>
        <w:tc>
          <w:tcPr>
            <w:tcW w:w="1492" w:type="dxa"/>
          </w:tcPr>
          <w:p>
            <w:pPr>
              <w:rPr>
                <w:sz w:val="22"/>
                <w:szCs w:val="22"/>
              </w:rPr>
            </w:pPr>
          </w:p>
          <w:p>
            <w:pPr>
              <w:rPr>
                <w:sz w:val="22"/>
                <w:szCs w:val="22"/>
              </w:rPr>
            </w:pPr>
          </w:p>
          <w:p>
            <w:pPr>
              <w:rPr>
                <w:sz w:val="22"/>
                <w:szCs w:val="22"/>
              </w:rPr>
            </w:pPr>
            <w:r>
              <w:rPr>
                <w:sz w:val="22"/>
                <w:szCs w:val="22"/>
              </w:rPr>
              <w:t>ZIG1</w:t>
            </w:r>
          </w:p>
          <w:p>
            <w:pPr>
              <w:rPr>
                <w:sz w:val="22"/>
                <w:szCs w:val="22"/>
              </w:rPr>
            </w:pPr>
            <w:r>
              <w:rPr>
                <w:sz w:val="22"/>
                <w:szCs w:val="22"/>
              </w:rPr>
              <w:t>(Singer)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 (Hanefeld)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r>
              <w:rPr>
                <w:sz w:val="22"/>
                <w:szCs w:val="22"/>
              </w:rPr>
              <w:t>(Diercke)</w:t>
            </w: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ind w:left="453" w:hanging="340"/>
              <w:rPr>
                <w:sz w:val="22"/>
                <w:szCs w:val="22"/>
              </w:rPr>
            </w:pPr>
            <w:r>
              <w:rPr>
                <w:sz w:val="22"/>
                <w:szCs w:val="22"/>
              </w:rPr>
              <w:t>2. Usbekistan Mission ist abgeschlossen.</w:t>
            </w:r>
          </w:p>
          <w:p>
            <w:pPr>
              <w:pStyle w:val="Listenabsatz"/>
              <w:numPr>
                <w:ilvl w:val="0"/>
                <w:numId w:val="5"/>
              </w:numPr>
              <w:ind w:left="453" w:hanging="340"/>
              <w:rPr>
                <w:sz w:val="22"/>
                <w:szCs w:val="22"/>
              </w:rPr>
            </w:pPr>
            <w:r>
              <w:rPr>
                <w:sz w:val="22"/>
                <w:szCs w:val="22"/>
              </w:rPr>
              <w:t>1. Mission nach Ecuador geht zu Ende.</w:t>
            </w:r>
          </w:p>
          <w:p>
            <w:pPr>
              <w:pStyle w:val="Listenabsatz"/>
              <w:numPr>
                <w:ilvl w:val="0"/>
                <w:numId w:val="5"/>
              </w:numPr>
              <w:ind w:left="453" w:hanging="340"/>
              <w:rPr>
                <w:sz w:val="22"/>
                <w:szCs w:val="22"/>
              </w:rPr>
            </w:pPr>
            <w:r>
              <w:rPr>
                <w:sz w:val="22"/>
                <w:szCs w:val="22"/>
              </w:rPr>
              <w:t>Ggf. wird es einen 2. Besuch in Namibia geben, um SARS-CoV-2 Testung zu unterstützen.</w:t>
            </w:r>
          </w:p>
          <w:p>
            <w:pPr>
              <w:pStyle w:val="Listenabsatz"/>
              <w:numPr>
                <w:ilvl w:val="0"/>
                <w:numId w:val="5"/>
              </w:numPr>
              <w:ind w:left="453" w:hanging="340"/>
              <w:rPr>
                <w:sz w:val="22"/>
                <w:szCs w:val="22"/>
              </w:rPr>
            </w:pPr>
            <w:r>
              <w:rPr>
                <w:sz w:val="22"/>
                <w:szCs w:val="22"/>
              </w:rPr>
              <w:t>GHPP Corona Global: BMG bat ZIG die externe Begutachtung der Anträge zu organisieren, wird ein länger dauernder Prozess werden.</w:t>
            </w:r>
          </w:p>
          <w:p>
            <w:pPr>
              <w:pStyle w:val="Listenabsatz"/>
              <w:numPr>
                <w:ilvl w:val="0"/>
                <w:numId w:val="5"/>
              </w:numPr>
              <w:ind w:left="453" w:hanging="340"/>
              <w:rPr>
                <w:sz w:val="22"/>
                <w:szCs w:val="22"/>
              </w:rPr>
            </w:pPr>
            <w:r>
              <w:rPr>
                <w:sz w:val="22"/>
                <w:szCs w:val="22"/>
              </w:rPr>
              <w:lastRenderedPageBreak/>
              <w:t>ECDC plant ab Dezember nur noch einmal pro Woche Daten zu veröffentlichen (an welchem Tag ist noch unklar).</w:t>
            </w:r>
          </w:p>
          <w:p>
            <w:pPr>
              <w:pStyle w:val="Listenabsatz"/>
              <w:numPr>
                <w:ilvl w:val="1"/>
                <w:numId w:val="5"/>
              </w:numPr>
              <w:ind w:left="924" w:hanging="357"/>
              <w:rPr>
                <w:sz w:val="22"/>
                <w:szCs w:val="22"/>
              </w:rPr>
            </w:pPr>
            <w:r>
              <w:rPr>
                <w:sz w:val="22"/>
                <w:szCs w:val="22"/>
              </w:rPr>
              <w:t xml:space="preserve">Ab Dezember wird es deshalb nur noch einmal pro Woche ein Update der Internationalen Lage basierend auf den ECDC-Zahlen geben. </w:t>
            </w:r>
          </w:p>
          <w:p>
            <w:pPr>
              <w:pStyle w:val="Listenabsatz"/>
              <w:numPr>
                <w:ilvl w:val="1"/>
                <w:numId w:val="5"/>
              </w:numPr>
              <w:ind w:left="924" w:hanging="357"/>
              <w:rPr>
                <w:sz w:val="22"/>
                <w:szCs w:val="22"/>
              </w:rPr>
            </w:pPr>
            <w:r>
              <w:rPr>
                <w:sz w:val="22"/>
                <w:szCs w:val="22"/>
              </w:rPr>
              <w:t xml:space="preserve">Die anderen beiden Termine werden zur vertieften Vorstellung von Ländern oder Publikationen genutzt. </w:t>
            </w:r>
          </w:p>
          <w:p>
            <w:pPr>
              <w:pStyle w:val="Listenabsatz"/>
              <w:ind w:left="924"/>
              <w:rPr>
                <w:sz w:val="22"/>
                <w:szCs w:val="22"/>
              </w:rPr>
            </w:pPr>
          </w:p>
        </w:tc>
        <w:tc>
          <w:tcPr>
            <w:tcW w:w="1492" w:type="dxa"/>
          </w:tcPr>
          <w:p>
            <w:pPr>
              <w:rPr>
                <w:sz w:val="22"/>
                <w:szCs w:val="22"/>
              </w:rPr>
            </w:pPr>
          </w:p>
          <w:p>
            <w:pPr>
              <w:rPr>
                <w:sz w:val="22"/>
                <w:szCs w:val="22"/>
              </w:rPr>
            </w:pPr>
            <w:r>
              <w:rPr>
                <w:sz w:val="22"/>
                <w:szCs w:val="22"/>
              </w:rPr>
              <w:t>ZIG</w:t>
            </w:r>
          </w:p>
          <w:p>
            <w:pPr>
              <w:rPr>
                <w:sz w:val="22"/>
                <w:szCs w:val="22"/>
              </w:rPr>
            </w:pPr>
            <w:r>
              <w:rPr>
                <w:sz w:val="22"/>
                <w:szCs w:val="22"/>
              </w:rPr>
              <w:t>(Hanefeld)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5"/>
              </w:numPr>
              <w:ind w:left="453" w:hanging="340"/>
              <w:rPr>
                <w:sz w:val="22"/>
                <w:szCs w:val="22"/>
              </w:rPr>
            </w:pPr>
            <w:r>
              <w:rPr>
                <w:sz w:val="22"/>
                <w:szCs w:val="22"/>
              </w:rPr>
              <w:t>Auf Mittwoch verschoben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5"/>
              </w:numPr>
              <w:ind w:left="453" w:hanging="340"/>
              <w:rPr>
                <w:sz w:val="22"/>
                <w:szCs w:val="22"/>
              </w:rPr>
            </w:pPr>
            <w:r>
              <w:rPr>
                <w:sz w:val="22"/>
                <w:szCs w:val="22"/>
              </w:rPr>
              <w:t>Alles rund um Impfkampagne dominiert.</w:t>
            </w:r>
          </w:p>
          <w:p>
            <w:pPr>
              <w:pStyle w:val="Listenabsatz"/>
              <w:numPr>
                <w:ilvl w:val="0"/>
                <w:numId w:val="25"/>
              </w:numPr>
              <w:ind w:left="453" w:hanging="340"/>
              <w:rPr>
                <w:sz w:val="22"/>
                <w:szCs w:val="22"/>
              </w:rPr>
            </w:pPr>
            <w:r>
              <w:rPr>
                <w:sz w:val="22"/>
                <w:szCs w:val="22"/>
              </w:rPr>
              <w:t>Corona-Kontakttagebuch: soll nutzerfreundlich sein, aber präzise für ÖGD, finaler Vorschlag am Mittwoch.</w:t>
            </w:r>
          </w:p>
          <w:p>
            <w:pPr>
              <w:pStyle w:val="Listenabsatz"/>
              <w:numPr>
                <w:ilvl w:val="0"/>
                <w:numId w:val="25"/>
              </w:numPr>
              <w:ind w:left="453" w:hanging="340"/>
              <w:rPr>
                <w:sz w:val="22"/>
                <w:szCs w:val="22"/>
              </w:rPr>
            </w:pPr>
            <w:r>
              <w:rPr>
                <w:sz w:val="22"/>
                <w:szCs w:val="22"/>
              </w:rPr>
              <w:t>Fälle, bei denen akute Krisenintervention nötig ist, steigen.</w:t>
            </w:r>
          </w:p>
          <w:p>
            <w:pPr>
              <w:spacing w:before="120"/>
              <w:rPr>
                <w:b/>
                <w:sz w:val="22"/>
                <w:szCs w:val="22"/>
              </w:rPr>
            </w:pPr>
            <w:r>
              <w:rPr>
                <w:b/>
                <w:sz w:val="22"/>
                <w:szCs w:val="22"/>
              </w:rPr>
              <w:t>Presse</w:t>
            </w:r>
          </w:p>
          <w:p>
            <w:pPr>
              <w:pStyle w:val="Listenabsatz"/>
              <w:numPr>
                <w:ilvl w:val="0"/>
                <w:numId w:val="5"/>
              </w:numPr>
              <w:ind w:left="453" w:hanging="340"/>
              <w:rPr>
                <w:sz w:val="22"/>
                <w:szCs w:val="22"/>
              </w:rPr>
            </w:pPr>
            <w:r>
              <w:rPr>
                <w:sz w:val="22"/>
                <w:szCs w:val="22"/>
              </w:rPr>
              <w:t xml:space="preserve">Es werden zunehmend mehr Artikel für das </w:t>
            </w:r>
            <w:proofErr w:type="spellStart"/>
            <w:r>
              <w:rPr>
                <w:sz w:val="22"/>
                <w:szCs w:val="22"/>
              </w:rPr>
              <w:t>EpidBull</w:t>
            </w:r>
            <w:proofErr w:type="spellEnd"/>
            <w:r>
              <w:rPr>
                <w:sz w:val="22"/>
                <w:szCs w:val="22"/>
              </w:rPr>
              <w:t xml:space="preserve"> von externen Autoren eingereicht. Themen sind z.B.: Testung, Vorkommen in KH, in Bevölkerung, in Schulen. Es musste einiges abgelehnt werden.</w:t>
            </w:r>
          </w:p>
          <w:p>
            <w:pPr>
              <w:pStyle w:val="Listenabsatz"/>
              <w:numPr>
                <w:ilvl w:val="0"/>
                <w:numId w:val="5"/>
              </w:numPr>
              <w:ind w:left="453" w:hanging="340"/>
              <w:rPr>
                <w:sz w:val="22"/>
                <w:szCs w:val="22"/>
              </w:rPr>
            </w:pPr>
            <w:r>
              <w:rPr>
                <w:sz w:val="22"/>
                <w:szCs w:val="22"/>
              </w:rPr>
              <w:t>Ein Artikel zum Vergleich von Antigen vs. PCR-Testung aus der Stuttgarter Notausnahme wurde am Freitag in den Krisenstab geschickt mit der Bitte um ein Peer-Review.</w:t>
            </w:r>
          </w:p>
        </w:tc>
        <w:tc>
          <w:tcPr>
            <w:tcW w:w="1492" w:type="dxa"/>
          </w:tcPr>
          <w:p>
            <w:pPr>
              <w:rPr>
                <w:sz w:val="22"/>
                <w:szCs w:val="22"/>
              </w:rPr>
            </w:pPr>
          </w:p>
          <w:p>
            <w:pPr>
              <w:rPr>
                <w:sz w:val="22"/>
                <w:szCs w:val="22"/>
              </w:rPr>
            </w:pPr>
          </w:p>
          <w:p>
            <w:pPr>
              <w:rPr>
                <w:sz w:val="22"/>
                <w:szCs w:val="22"/>
              </w:rPr>
            </w:pPr>
            <w:r>
              <w:rPr>
                <w:sz w:val="22"/>
                <w:szCs w:val="22"/>
              </w:rPr>
              <w:t xml:space="preserve">BZgA </w:t>
            </w:r>
          </w:p>
          <w:p>
            <w:pPr>
              <w:rPr>
                <w:sz w:val="22"/>
                <w:szCs w:val="22"/>
              </w:rPr>
            </w:pPr>
            <w:r>
              <w:rPr>
                <w:sz w:val="22"/>
                <w:szCs w:val="22"/>
              </w:rPr>
              <w:t>(Thais)</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 (Seedat)</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6</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5"/>
              </w:numPr>
              <w:ind w:left="453" w:hanging="340"/>
              <w:rPr>
                <w:sz w:val="22"/>
                <w:szCs w:val="22"/>
              </w:rPr>
            </w:pPr>
            <w:r>
              <w:rPr>
                <w:sz w:val="22"/>
                <w:szCs w:val="22"/>
              </w:rPr>
              <w:t>Beschluss-Entwurf des MPK-Vorsitzlandes (</w:t>
            </w:r>
            <w:hyperlink r:id="rId10" w:history="1">
              <w:r>
                <w:rPr>
                  <w:rStyle w:val="Hyperlink"/>
                  <w:sz w:val="22"/>
                  <w:szCs w:val="22"/>
                </w:rPr>
                <w:t>hier</w:t>
              </w:r>
            </w:hyperlink>
            <w:r>
              <w:rPr>
                <w:sz w:val="22"/>
                <w:szCs w:val="22"/>
              </w:rPr>
              <w:t>); und deren Auswirkung auf Empfehlungen und Flussdiagramm</w:t>
            </w:r>
          </w:p>
          <w:p>
            <w:pPr>
              <w:pStyle w:val="Listenabsatz"/>
              <w:numPr>
                <w:ilvl w:val="1"/>
                <w:numId w:val="5"/>
              </w:numPr>
              <w:ind w:left="907" w:hanging="340"/>
              <w:rPr>
                <w:sz w:val="22"/>
                <w:szCs w:val="22"/>
              </w:rPr>
            </w:pPr>
            <w:r>
              <w:rPr>
                <w:sz w:val="22"/>
                <w:szCs w:val="22"/>
              </w:rPr>
              <w:t>Quarantänezeit kann bei Durchführung eines Tests verkürzt werden, soll am 01.12. verkündet werden.</w:t>
            </w:r>
          </w:p>
          <w:p>
            <w:pPr>
              <w:rPr>
                <w:i/>
                <w:sz w:val="22"/>
                <w:szCs w:val="22"/>
              </w:rPr>
            </w:pPr>
            <w:commentRangeStart w:id="0"/>
            <w:proofErr w:type="spellStart"/>
            <w:r>
              <w:rPr>
                <w:i/>
                <w:sz w:val="22"/>
                <w:szCs w:val="22"/>
              </w:rPr>
              <w:t>ToDo</w:t>
            </w:r>
            <w:commentRangeEnd w:id="0"/>
            <w:proofErr w:type="spellEnd"/>
            <w:r>
              <w:rPr>
                <w:rStyle w:val="Kommentarzeichen"/>
                <w:rFonts w:ascii="Scala Sans OT" w:hAnsi="Scala Sans OT"/>
                <w:lang w:eastAsia="de-DE"/>
              </w:rPr>
              <w:commentReference w:id="0"/>
            </w:r>
            <w:r>
              <w:rPr>
                <w:i/>
                <w:sz w:val="22"/>
                <w:szCs w:val="22"/>
              </w:rPr>
              <w:t xml:space="preserve">: Anpassung der Dokumente </w:t>
            </w:r>
          </w:p>
          <w:p>
            <w:pPr>
              <w:pStyle w:val="Listenabsatz"/>
              <w:numPr>
                <w:ilvl w:val="1"/>
                <w:numId w:val="5"/>
              </w:numPr>
              <w:ind w:left="907" w:hanging="340"/>
              <w:rPr>
                <w:sz w:val="22"/>
                <w:szCs w:val="22"/>
              </w:rPr>
            </w:pPr>
            <w:r>
              <w:rPr>
                <w:sz w:val="22"/>
                <w:szCs w:val="22"/>
              </w:rPr>
              <w:t>Empfehlung: Bei Infektion eines Schülers in einer Klasse wird die ganze Klasse für 5 Tage in Quarantäne geschickt. Am 5. Tag nach Diagnose des Indexfalls erfolgt ein Antigen-Test. Bei negativem Ergebnis kann der Präsenzunterricht wiederaufgenommen werden.</w:t>
            </w:r>
          </w:p>
          <w:p>
            <w:pPr>
              <w:pStyle w:val="Listenabsatz"/>
              <w:numPr>
                <w:ilvl w:val="2"/>
                <w:numId w:val="5"/>
              </w:numPr>
              <w:ind w:left="1491" w:hanging="357"/>
              <w:rPr>
                <w:sz w:val="22"/>
                <w:szCs w:val="22"/>
              </w:rPr>
            </w:pPr>
            <w:r>
              <w:rPr>
                <w:sz w:val="22"/>
                <w:szCs w:val="22"/>
              </w:rPr>
              <w:t xml:space="preserve">Die Gründe für die Empfehlung sind pragmatische. Soll sich das RKI dazu äußern? </w:t>
            </w:r>
          </w:p>
          <w:p>
            <w:pPr>
              <w:pStyle w:val="Listenabsatz"/>
              <w:numPr>
                <w:ilvl w:val="2"/>
                <w:numId w:val="5"/>
              </w:numPr>
              <w:ind w:left="1491" w:hanging="357"/>
              <w:rPr>
                <w:sz w:val="22"/>
                <w:szCs w:val="22"/>
              </w:rPr>
            </w:pPr>
            <w:r>
              <w:rPr>
                <w:sz w:val="22"/>
                <w:szCs w:val="22"/>
              </w:rPr>
              <w:t>Eigentlich wären nicht alle Schüler der Klasse als Kontaktpersonen der Kat. 1 zu betrachten. Bei Kontaktpersonen der Kat. 1 würde die Quarantäne jedoch 14 Tage oder 10 Tage + Test betragen.</w:t>
            </w:r>
          </w:p>
          <w:p>
            <w:pPr>
              <w:pStyle w:val="Listenabsatz"/>
              <w:numPr>
                <w:ilvl w:val="2"/>
                <w:numId w:val="5"/>
              </w:numPr>
              <w:ind w:left="1491" w:hanging="357"/>
              <w:rPr>
                <w:sz w:val="22"/>
                <w:szCs w:val="22"/>
              </w:rPr>
            </w:pPr>
            <w:r>
              <w:rPr>
                <w:sz w:val="22"/>
                <w:szCs w:val="22"/>
              </w:rPr>
              <w:t xml:space="preserve">Diese Haltung wurde gegenüber Kanzleramt und Minister klar geäußert. Eine weitere Klarstellung macht im Moment keinen Sinn. Zunächst soll abgewartet werden, was beschlossen wird. Auf </w:t>
            </w:r>
            <w:r>
              <w:rPr>
                <w:sz w:val="22"/>
                <w:szCs w:val="22"/>
              </w:rPr>
              <w:lastRenderedPageBreak/>
              <w:t>Rückfrage sollten fachliche Argumente genannt werden.</w:t>
            </w:r>
          </w:p>
          <w:p>
            <w:pPr>
              <w:pStyle w:val="Listenabsatz"/>
              <w:numPr>
                <w:ilvl w:val="2"/>
                <w:numId w:val="5"/>
              </w:numPr>
              <w:ind w:left="1491" w:hanging="357"/>
              <w:rPr>
                <w:sz w:val="22"/>
                <w:szCs w:val="22"/>
              </w:rPr>
            </w:pPr>
            <w:r>
              <w:rPr>
                <w:sz w:val="22"/>
                <w:szCs w:val="22"/>
              </w:rPr>
              <w:t>Das Tool von Hr. von Kleist kann berechnen, welch größeres Risiko durch eine verkürzte Quarantäne zu erwarten ist. Es wurde in der letzten Woche auf einem Preprint-Server publiziert und vom RKI getwittert, ab 23.11.2020 ist es auch von der COVID-Website des RKI verlinkt.</w:t>
            </w:r>
          </w:p>
          <w:p>
            <w:pPr>
              <w:pStyle w:val="Listenabsatz"/>
              <w:numPr>
                <w:ilvl w:val="1"/>
                <w:numId w:val="5"/>
              </w:numPr>
              <w:ind w:left="907" w:hanging="340"/>
              <w:rPr>
                <w:sz w:val="22"/>
                <w:szCs w:val="22"/>
              </w:rPr>
            </w:pPr>
            <w:r>
              <w:rPr>
                <w:sz w:val="22"/>
                <w:szCs w:val="22"/>
              </w:rPr>
              <w:t>Beschränkung auf 5 Personen aus 2 Haushalten</w:t>
            </w:r>
          </w:p>
          <w:p>
            <w:pPr>
              <w:pStyle w:val="Listenabsatz"/>
              <w:numPr>
                <w:ilvl w:val="2"/>
                <w:numId w:val="5"/>
              </w:numPr>
              <w:ind w:left="1491" w:hanging="357"/>
              <w:rPr>
                <w:sz w:val="22"/>
                <w:szCs w:val="22"/>
              </w:rPr>
            </w:pPr>
            <w:r>
              <w:rPr>
                <w:sz w:val="22"/>
                <w:szCs w:val="22"/>
              </w:rPr>
              <w:t xml:space="preserve">Es gibt Familien mit mehr Familienmitgliedern. Nicht die Anzahl der im gleichen Haushalt lebenden Personen ist entscheidend, sondern wie viele Haushalte sich treffen und was als Haushalt definiert wird. Hr. Haas wird einen Satz hierzu vorformulieren. </w:t>
            </w:r>
          </w:p>
          <w:p>
            <w:pPr>
              <w:pStyle w:val="Listenabsatz"/>
              <w:spacing w:line="276" w:lineRule="auto"/>
              <w:ind w:left="340"/>
              <w:rPr>
                <w:b/>
                <w:sz w:val="22"/>
              </w:rPr>
            </w:pPr>
          </w:p>
          <w:p>
            <w:pPr>
              <w:pStyle w:val="Listenabsatz"/>
              <w:numPr>
                <w:ilvl w:val="0"/>
                <w:numId w:val="6"/>
              </w:numPr>
              <w:spacing w:after="120" w:line="276" w:lineRule="auto"/>
              <w:ind w:left="340" w:hanging="340"/>
              <w:rPr>
                <w:i/>
                <w:sz w:val="22"/>
                <w:szCs w:val="22"/>
              </w:rPr>
            </w:pPr>
            <w:r>
              <w:rPr>
                <w:b/>
                <w:sz w:val="22"/>
              </w:rPr>
              <w:t>RKI-intern</w:t>
            </w:r>
          </w:p>
          <w:p>
            <w:pPr>
              <w:pStyle w:val="Listenabsatz"/>
              <w:numPr>
                <w:ilvl w:val="0"/>
                <w:numId w:val="5"/>
              </w:numPr>
              <w:ind w:left="453" w:hanging="340"/>
              <w:rPr>
                <w:sz w:val="22"/>
                <w:szCs w:val="22"/>
              </w:rPr>
            </w:pPr>
            <w:r>
              <w:rPr>
                <w:sz w:val="22"/>
                <w:szCs w:val="22"/>
              </w:rPr>
              <w:t>Massentests in Gesamtbevölkerung oder bestimmten LK</w:t>
            </w:r>
          </w:p>
          <w:p>
            <w:pPr>
              <w:pStyle w:val="Listenabsatz"/>
              <w:numPr>
                <w:ilvl w:val="1"/>
                <w:numId w:val="5"/>
              </w:numPr>
              <w:ind w:left="907" w:hanging="340"/>
              <w:rPr>
                <w:sz w:val="22"/>
                <w:szCs w:val="22"/>
              </w:rPr>
            </w:pPr>
            <w:r>
              <w:rPr>
                <w:sz w:val="22"/>
                <w:szCs w:val="22"/>
              </w:rPr>
              <w:t xml:space="preserve">Diese Frage wird wieder aufs RKI zukommen, deshalb sollen Massentests basierend auf den neuen Erkenntnissen aus Südtirol und Tschechien nochmal neu bewertet werden. </w:t>
            </w:r>
          </w:p>
          <w:p>
            <w:pPr>
              <w:pStyle w:val="Listenabsatz"/>
              <w:numPr>
                <w:ilvl w:val="1"/>
                <w:numId w:val="5"/>
              </w:numPr>
              <w:ind w:left="907" w:hanging="340"/>
              <w:rPr>
                <w:sz w:val="22"/>
                <w:szCs w:val="22"/>
              </w:rPr>
            </w:pPr>
            <w:r>
              <w:rPr>
                <w:sz w:val="22"/>
                <w:szCs w:val="22"/>
              </w:rPr>
              <w:t>Es gibt von heute Morgen bereits eine Aufgabe von Minister Spahn zur Einschätzung der Teststrategie/ Untererfassung bei Reihenuntersuchungen. Hier gibt es zurzeit viele Aktivitäten. Aufnahmeuntersuchungen in Altenheimen und KH geben einen guten Einblick in die Situation. Reihen</w:t>
            </w:r>
            <w:r>
              <w:rPr>
                <w:sz w:val="22"/>
                <w:szCs w:val="22"/>
              </w:rPr>
              <w:softHyphen/>
              <w:t>testungen in bestimmten Risikokonstellationen sind jedoch nicht das gleiche wie Massentests.</w:t>
            </w:r>
          </w:p>
          <w:p>
            <w:pPr>
              <w:pStyle w:val="Listenabsatz"/>
              <w:numPr>
                <w:ilvl w:val="1"/>
                <w:numId w:val="5"/>
              </w:numPr>
              <w:ind w:left="907" w:hanging="340"/>
              <w:rPr>
                <w:sz w:val="22"/>
                <w:szCs w:val="22"/>
              </w:rPr>
            </w:pPr>
            <w:r>
              <w:rPr>
                <w:sz w:val="22"/>
                <w:szCs w:val="22"/>
              </w:rPr>
              <w:t xml:space="preserve">Die Frage ist, wie sinnvoll ist es, die ganze Bevölkerung oder ab einer bestimmten Inzidenz einen ganzen Landkreis zu testen. </w:t>
            </w:r>
          </w:p>
          <w:p>
            <w:pPr>
              <w:pStyle w:val="Listenabsatz"/>
              <w:numPr>
                <w:ilvl w:val="1"/>
                <w:numId w:val="5"/>
              </w:numPr>
              <w:ind w:left="907" w:hanging="340"/>
              <w:rPr>
                <w:sz w:val="22"/>
                <w:szCs w:val="22"/>
              </w:rPr>
            </w:pPr>
            <w:r>
              <w:rPr>
                <w:sz w:val="22"/>
                <w:szCs w:val="22"/>
              </w:rPr>
              <w:t xml:space="preserve">Was sind die Ergebnisse z.B. aus Südtirol? Was ist das additional </w:t>
            </w:r>
            <w:proofErr w:type="spellStart"/>
            <w:r>
              <w:rPr>
                <w:sz w:val="22"/>
                <w:szCs w:val="22"/>
              </w:rPr>
              <w:t>value</w:t>
            </w:r>
            <w:proofErr w:type="spellEnd"/>
            <w:r>
              <w:rPr>
                <w:sz w:val="22"/>
                <w:szCs w:val="22"/>
              </w:rPr>
              <w:t>? Gibt es einen Zusatznutzen für die Steuerung von Maßnahmen?</w:t>
            </w:r>
          </w:p>
          <w:p>
            <w:pPr>
              <w:pStyle w:val="Listenabsatz"/>
              <w:numPr>
                <w:ilvl w:val="1"/>
                <w:numId w:val="5"/>
              </w:numPr>
              <w:ind w:left="907" w:hanging="340"/>
              <w:rPr>
                <w:sz w:val="22"/>
                <w:szCs w:val="22"/>
              </w:rPr>
            </w:pPr>
            <w:r>
              <w:rPr>
                <w:sz w:val="22"/>
                <w:szCs w:val="22"/>
              </w:rPr>
              <w:t>Die Sensitivität der Tests liegt bei ca. 80%, die Spezifität bei ca. 98%. Das Ergebnis hängt von der Güte der Tests ab. Es ist mit einem hohen Anteil falsch positiver Ergebnisse zu rechnen.</w:t>
            </w:r>
          </w:p>
          <w:p>
            <w:pPr>
              <w:pStyle w:val="Listenabsatz"/>
              <w:numPr>
                <w:ilvl w:val="1"/>
                <w:numId w:val="5"/>
              </w:numPr>
              <w:ind w:left="907" w:hanging="340"/>
              <w:rPr>
                <w:sz w:val="22"/>
                <w:szCs w:val="22"/>
              </w:rPr>
            </w:pPr>
            <w:r>
              <w:rPr>
                <w:sz w:val="22"/>
                <w:szCs w:val="22"/>
              </w:rPr>
              <w:t>Antigentests wurden an symptomatischen und nicht an asymptomatischen Patienten validiert. Auch hier kommen jedoch immer mehr Daten dazu.</w:t>
            </w:r>
          </w:p>
          <w:p>
            <w:pPr>
              <w:pStyle w:val="Listenabsatz"/>
              <w:numPr>
                <w:ilvl w:val="1"/>
                <w:numId w:val="5"/>
              </w:numPr>
              <w:ind w:left="907" w:hanging="340"/>
              <w:rPr>
                <w:sz w:val="22"/>
                <w:szCs w:val="22"/>
              </w:rPr>
            </w:pPr>
            <w:r>
              <w:rPr>
                <w:sz w:val="22"/>
                <w:szCs w:val="22"/>
              </w:rPr>
              <w:t>Es darf nicht vergessen werden, dass es sich um selbst</w:t>
            </w:r>
            <w:r>
              <w:rPr>
                <w:sz w:val="22"/>
                <w:szCs w:val="22"/>
              </w:rPr>
              <w:softHyphen/>
              <w:t>selektierte Tests handelt und nicht um Zwangstests.</w:t>
            </w:r>
          </w:p>
          <w:p>
            <w:pPr>
              <w:pStyle w:val="Listenabsatz"/>
              <w:numPr>
                <w:ilvl w:val="1"/>
                <w:numId w:val="5"/>
              </w:numPr>
              <w:ind w:left="907" w:hanging="340"/>
              <w:rPr>
                <w:sz w:val="22"/>
                <w:szCs w:val="22"/>
              </w:rPr>
            </w:pPr>
            <w:r>
              <w:rPr>
                <w:sz w:val="22"/>
                <w:szCs w:val="22"/>
              </w:rPr>
              <w:t>Beim Sozioökonomischen Panel liegt der Anteil positiver Ergebnisse der PCR-Tests unter 1%. Die Beteiligung war deutlich geringer als sonst üblich, vielleicht dem Hinweis auf eine Quarantänepflicht bei positiver Testung geschuldet. Dies ist wichtig für die Bewertung einer bundesweiten Stichprobe.</w:t>
            </w:r>
          </w:p>
          <w:p>
            <w:pPr>
              <w:pStyle w:val="Listenabsatz"/>
              <w:numPr>
                <w:ilvl w:val="1"/>
                <w:numId w:val="5"/>
              </w:numPr>
              <w:ind w:left="907" w:hanging="340"/>
              <w:rPr>
                <w:sz w:val="22"/>
                <w:szCs w:val="22"/>
              </w:rPr>
            </w:pPr>
            <w:r>
              <w:rPr>
                <w:sz w:val="22"/>
                <w:szCs w:val="22"/>
              </w:rPr>
              <w:t>Unerwünschte Wirkungen von Massentests sind das Zusammenbringung vieler Menschen an einem Ort und eine möglicherweise falsche Sicherheit nach negativem Test.</w:t>
            </w:r>
          </w:p>
          <w:p>
            <w:pPr>
              <w:rPr>
                <w:i/>
                <w:sz w:val="22"/>
                <w:szCs w:val="22"/>
              </w:rPr>
            </w:pPr>
            <w:proofErr w:type="spellStart"/>
            <w:r>
              <w:rPr>
                <w:i/>
                <w:sz w:val="22"/>
                <w:szCs w:val="22"/>
              </w:rPr>
              <w:lastRenderedPageBreak/>
              <w:t>ToDo</w:t>
            </w:r>
            <w:proofErr w:type="spellEnd"/>
            <w:r>
              <w:rPr>
                <w:i/>
                <w:sz w:val="22"/>
                <w:szCs w:val="22"/>
              </w:rPr>
              <w:t xml:space="preserve">: Bewertung von Massentests, Fr. Jenny: Erläuterung des Grundprinzips; Hr. Hamouda: Kontaktaufnahme mit Italienern; ZBS1: Güte der Tests </w:t>
            </w:r>
          </w:p>
          <w:p>
            <w:pPr>
              <w:pStyle w:val="Listenabsatz"/>
              <w:numPr>
                <w:ilvl w:val="1"/>
                <w:numId w:val="5"/>
              </w:numPr>
              <w:ind w:left="907" w:hanging="340"/>
              <w:rPr>
                <w:sz w:val="22"/>
                <w:szCs w:val="22"/>
              </w:rPr>
            </w:pPr>
            <w:r>
              <w:rPr>
                <w:sz w:val="22"/>
                <w:szCs w:val="22"/>
              </w:rPr>
              <w:t>Längerfristig werden sicher auch Selbsttests nochmal Thema werden.</w:t>
            </w:r>
          </w:p>
        </w:tc>
        <w:tc>
          <w:tcPr>
            <w:tcW w:w="1492" w:type="dxa"/>
          </w:tcPr>
          <w:p>
            <w:pPr>
              <w:rPr>
                <w:sz w:val="22"/>
                <w:szCs w:val="22"/>
              </w:rPr>
            </w:pPr>
          </w:p>
          <w:p>
            <w:pPr>
              <w:rPr>
                <w:sz w:val="22"/>
                <w:szCs w:val="22"/>
              </w:rPr>
            </w:pPr>
          </w:p>
          <w:p>
            <w:pPr>
              <w:rPr>
                <w:sz w:val="22"/>
                <w:szCs w:val="22"/>
              </w:rPr>
            </w:pPr>
          </w:p>
          <w:p>
            <w:pPr>
              <w:rPr>
                <w:sz w:val="22"/>
                <w:szCs w:val="22"/>
              </w:rPr>
            </w:pPr>
            <w:proofErr w:type="spellStart"/>
            <w:r>
              <w:rPr>
                <w:sz w:val="22"/>
                <w:szCs w:val="22"/>
              </w:rPr>
              <w:t>VPräs</w:t>
            </w:r>
            <w:proofErr w:type="spellEnd"/>
            <w:r>
              <w:rPr>
                <w:sz w:val="22"/>
                <w:szCs w:val="22"/>
              </w:rPr>
              <w:t xml:space="preserve"> / </w:t>
            </w:r>
          </w:p>
          <w:p>
            <w:pPr>
              <w:rPr>
                <w:sz w:val="22"/>
                <w:szCs w:val="22"/>
              </w:rPr>
            </w:pPr>
            <w:r>
              <w:rPr>
                <w:sz w:val="22"/>
                <w:szCs w:val="22"/>
              </w:rPr>
              <w:t xml:space="preserve">Alle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VPräs</w:t>
            </w:r>
            <w:proofErr w:type="spellEnd"/>
            <w:r>
              <w:rPr>
                <w:sz w:val="22"/>
                <w:szCs w:val="22"/>
              </w:rPr>
              <w:t xml:space="preserve"> / </w:t>
            </w:r>
          </w:p>
          <w:p>
            <w:pPr>
              <w:rPr>
                <w:sz w:val="22"/>
                <w:szCs w:val="22"/>
              </w:rPr>
            </w:pPr>
            <w:r>
              <w:rPr>
                <w:sz w:val="22"/>
                <w:szCs w:val="22"/>
              </w:rPr>
              <w:t xml:space="preserve">Alle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7</w:t>
            </w:r>
          </w:p>
        </w:tc>
        <w:tc>
          <w:tcPr>
            <w:tcW w:w="6795" w:type="dxa"/>
          </w:tcPr>
          <w:p>
            <w:pPr>
              <w:spacing w:line="276" w:lineRule="auto"/>
              <w:rPr>
                <w:b/>
                <w:sz w:val="28"/>
              </w:rPr>
            </w:pPr>
            <w:r>
              <w:rPr>
                <w:b/>
                <w:sz w:val="28"/>
              </w:rPr>
              <w:t>Dokumente</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 xml:space="preserve">Update Impfen </w:t>
            </w:r>
            <w:r>
              <w:rPr>
                <w:b/>
                <w:color w:val="FF0000"/>
              </w:rPr>
              <w:t>(nur freitags)</w:t>
            </w:r>
          </w:p>
          <w:p>
            <w:pPr>
              <w:pStyle w:val="Listenabsatz"/>
              <w:numPr>
                <w:ilvl w:val="0"/>
                <w:numId w:val="5"/>
              </w:numPr>
              <w:ind w:left="453" w:hanging="340"/>
              <w:rPr>
                <w:b/>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Labordiagnostik</w:t>
            </w:r>
          </w:p>
          <w:p>
            <w:pPr>
              <w:pStyle w:val="Listenabsatz"/>
              <w:numPr>
                <w:ilvl w:val="0"/>
                <w:numId w:val="5"/>
              </w:numPr>
              <w:ind w:left="453" w:hanging="340"/>
              <w:rPr>
                <w:sz w:val="22"/>
                <w:szCs w:val="22"/>
              </w:rPr>
            </w:pPr>
            <w:r>
              <w:rPr>
                <w:sz w:val="22"/>
              </w:rPr>
              <w:t>ZBS1</w:t>
            </w:r>
          </w:p>
          <w:p>
            <w:pPr>
              <w:pStyle w:val="Listenabsatz"/>
              <w:numPr>
                <w:ilvl w:val="1"/>
                <w:numId w:val="5"/>
              </w:numPr>
              <w:ind w:left="907" w:hanging="340"/>
              <w:rPr>
                <w:sz w:val="22"/>
                <w:szCs w:val="22"/>
              </w:rPr>
            </w:pPr>
            <w:r>
              <w:rPr>
                <w:sz w:val="22"/>
                <w:szCs w:val="22"/>
              </w:rPr>
              <w:t>Nerze: dänische Partner haben sich bereit erklärt Isolate zur Verfügung zu stellen.</w:t>
            </w:r>
          </w:p>
          <w:p>
            <w:pPr>
              <w:pStyle w:val="Listenabsatz"/>
              <w:numPr>
                <w:ilvl w:val="1"/>
                <w:numId w:val="5"/>
              </w:numPr>
              <w:ind w:left="907" w:hanging="340"/>
              <w:rPr>
                <w:sz w:val="22"/>
                <w:szCs w:val="22"/>
              </w:rPr>
            </w:pPr>
            <w:r>
              <w:rPr>
                <w:sz w:val="22"/>
                <w:szCs w:val="22"/>
              </w:rPr>
              <w:t>Weiterhin werden Antigentests evaluiert. Vom BMG kam die Frage, wie viele Tests im RKI und PEI wöchentlich evaluiert werden können?</w:t>
            </w:r>
          </w:p>
          <w:p>
            <w:pPr>
              <w:pStyle w:val="Listenabsatz"/>
              <w:numPr>
                <w:ilvl w:val="0"/>
                <w:numId w:val="5"/>
              </w:numPr>
              <w:ind w:left="453" w:hanging="340"/>
              <w:rPr>
                <w:sz w:val="22"/>
                <w:szCs w:val="22"/>
              </w:rPr>
            </w:pPr>
            <w:r>
              <w:rPr>
                <w:sz w:val="22"/>
              </w:rPr>
              <w:t xml:space="preserve">Virologische Surveillance </w:t>
            </w:r>
          </w:p>
          <w:p>
            <w:pPr>
              <w:pStyle w:val="Listenabsatz"/>
              <w:numPr>
                <w:ilvl w:val="1"/>
                <w:numId w:val="5"/>
              </w:numPr>
              <w:ind w:left="907" w:hanging="340"/>
              <w:rPr>
                <w:sz w:val="22"/>
                <w:szCs w:val="22"/>
              </w:rPr>
            </w:pPr>
            <w:r>
              <w:rPr>
                <w:sz w:val="22"/>
              </w:rPr>
              <w:t xml:space="preserve">In den letzten 2 Wochen wurden 187 Proben getestet. 26% waren pos. auf </w:t>
            </w:r>
            <w:proofErr w:type="spellStart"/>
            <w:r>
              <w:rPr>
                <w:sz w:val="22"/>
              </w:rPr>
              <w:t>Rhinoviren</w:t>
            </w:r>
            <w:proofErr w:type="spellEnd"/>
            <w:r>
              <w:rPr>
                <w:sz w:val="22"/>
              </w:rPr>
              <w:t xml:space="preserve">, 1* wurden Parainfluenzaviren gefunden und 9 Proben waren positiv auf SARS-CoV-2. Der Nachweis von </w:t>
            </w:r>
            <w:proofErr w:type="spellStart"/>
            <w:r>
              <w:rPr>
                <w:sz w:val="22"/>
              </w:rPr>
              <w:t>Rhinoviren</w:t>
            </w:r>
            <w:proofErr w:type="spellEnd"/>
            <w:r>
              <w:rPr>
                <w:sz w:val="22"/>
              </w:rPr>
              <w:t xml:space="preserve"> nimmt zurzeit ab. Weitere Erreger wurden nicht nachgewiesen.</w:t>
            </w:r>
          </w:p>
          <w:p>
            <w:pPr>
              <w:pStyle w:val="Listenabsatz"/>
              <w:numPr>
                <w:ilvl w:val="1"/>
                <w:numId w:val="5"/>
              </w:numPr>
              <w:ind w:left="907" w:hanging="340"/>
              <w:rPr>
                <w:sz w:val="22"/>
                <w:szCs w:val="22"/>
              </w:rPr>
            </w:pPr>
            <w:r>
              <w:rPr>
                <w:sz w:val="22"/>
                <w:szCs w:val="22"/>
              </w:rPr>
              <w:t xml:space="preserve">FG17 bemüht sich weiterhin Isolate der Nerz-Mutanten aus Dänemark zu bekommen. </w:t>
            </w:r>
          </w:p>
          <w:p>
            <w:pPr>
              <w:pStyle w:val="Listenabsatz"/>
              <w:numPr>
                <w:ilvl w:val="1"/>
                <w:numId w:val="5"/>
              </w:numPr>
              <w:ind w:left="907" w:hanging="340"/>
              <w:rPr>
                <w:sz w:val="22"/>
                <w:szCs w:val="22"/>
              </w:rPr>
            </w:pPr>
            <w:r>
              <w:rPr>
                <w:sz w:val="22"/>
                <w:szCs w:val="22"/>
              </w:rPr>
              <w:t>Der letzte Nachweis bei Menschen war Mitte September, ähnliche Varianten konnten sich auch an anderen Stellen nicht durchsetzen. Es handelt sich eher um punktuelle Übertragungen.</w:t>
            </w:r>
          </w:p>
          <w:p>
            <w:pPr>
              <w:pStyle w:val="Listenabsatz"/>
              <w:numPr>
                <w:ilvl w:val="1"/>
                <w:numId w:val="5"/>
              </w:numPr>
              <w:ind w:left="907" w:hanging="340"/>
              <w:rPr>
                <w:sz w:val="22"/>
                <w:szCs w:val="22"/>
              </w:rPr>
            </w:pPr>
            <w:r>
              <w:rPr>
                <w:sz w:val="22"/>
                <w:szCs w:val="22"/>
              </w:rPr>
              <w:t xml:space="preserve">Gibt es Hinweise auf Übertragungen bei anderen Tieren? </w:t>
            </w:r>
          </w:p>
          <w:p>
            <w:pPr>
              <w:pStyle w:val="Listenabsatz"/>
              <w:numPr>
                <w:ilvl w:val="2"/>
                <w:numId w:val="5"/>
              </w:numPr>
              <w:ind w:left="1491" w:hanging="357"/>
              <w:rPr>
                <w:sz w:val="22"/>
                <w:szCs w:val="22"/>
              </w:rPr>
            </w:pPr>
            <w:r>
              <w:rPr>
                <w:sz w:val="22"/>
                <w:szCs w:val="22"/>
              </w:rPr>
              <w:t>Keine Studien dazu vorhanden. Hauskatzen, Großkatzen sind empfänglich, haben im Zoo das Virus aber eher über die Pfleger bekommen. Experimentell sind auch Waschbären empfänglich.</w:t>
            </w:r>
          </w:p>
          <w:p>
            <w:pPr>
              <w:pStyle w:val="Listenabsatz"/>
              <w:numPr>
                <w:ilvl w:val="2"/>
                <w:numId w:val="5"/>
              </w:numPr>
              <w:ind w:left="1491" w:hanging="357"/>
              <w:rPr>
                <w:sz w:val="22"/>
                <w:szCs w:val="22"/>
              </w:rPr>
            </w:pPr>
            <w:r>
              <w:rPr>
                <w:sz w:val="22"/>
                <w:szCs w:val="22"/>
              </w:rPr>
              <w:t>Nerze und Frettchen sind miteinander verwandt. Ob es Unterschiede in den Rezeptoren für SARS-CoV-2 gibt, ist nicht bekannt.</w:t>
            </w:r>
          </w:p>
          <w:p>
            <w:pPr>
              <w:rPr>
                <w:sz w:val="22"/>
              </w:rPr>
            </w:pPr>
          </w:p>
        </w:tc>
        <w:tc>
          <w:tcPr>
            <w:tcW w:w="1492" w:type="dxa"/>
          </w:tcPr>
          <w:p>
            <w:pPr>
              <w:rPr>
                <w:sz w:val="22"/>
                <w:szCs w:val="22"/>
              </w:rPr>
            </w:pPr>
          </w:p>
          <w:p>
            <w:pPr>
              <w:rPr>
                <w:sz w:val="22"/>
                <w:szCs w:val="22"/>
              </w:rPr>
            </w:pPr>
          </w:p>
          <w:p>
            <w:pPr>
              <w:rPr>
                <w:sz w:val="22"/>
                <w:szCs w:val="22"/>
              </w:rPr>
            </w:pPr>
            <w:r>
              <w:rPr>
                <w:sz w:val="22"/>
                <w:szCs w:val="22"/>
              </w:rPr>
              <w:t>ZBS1 (Nitsche)</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FG17 </w:t>
            </w:r>
          </w:p>
          <w:p>
            <w:pPr>
              <w:rPr>
                <w:sz w:val="22"/>
                <w:szCs w:val="22"/>
              </w:rPr>
            </w:pPr>
            <w:r>
              <w:rPr>
                <w:sz w:val="22"/>
                <w:szCs w:val="22"/>
              </w:rPr>
              <w:t>(Wolf)</w:t>
            </w: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 xml:space="preserve">IBBS </w:t>
            </w: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Maßnahmen zum Infektionsschutz</w:t>
            </w:r>
          </w:p>
          <w:p>
            <w:pPr>
              <w:pStyle w:val="Listenabsatz"/>
              <w:numPr>
                <w:ilvl w:val="0"/>
                <w:numId w:val="5"/>
              </w:numPr>
              <w:ind w:left="453" w:hanging="340"/>
            </w:pPr>
            <w: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2"/>
              </w:rPr>
            </w:pPr>
            <w:r>
              <w:rPr>
                <w:b/>
                <w:sz w:val="28"/>
              </w:rPr>
              <w:t>Surveillance</w:t>
            </w:r>
          </w:p>
          <w:p>
            <w:pPr>
              <w:pStyle w:val="Listenabsatz"/>
              <w:numPr>
                <w:ilvl w:val="0"/>
                <w:numId w:val="5"/>
              </w:numPr>
              <w:ind w:left="453" w:hanging="340"/>
              <w:rPr>
                <w:sz w:val="22"/>
                <w:szCs w:val="22"/>
              </w:rPr>
            </w:pPr>
            <w:r>
              <w:t xml:space="preserve"> </w:t>
            </w:r>
            <w:r>
              <w:rPr>
                <w:sz w:val="22"/>
                <w:szCs w:val="22"/>
              </w:rPr>
              <w:t xml:space="preserve">Corona-KiTa-Studie (Folien </w:t>
            </w:r>
            <w:hyperlink r:id="rId12" w:history="1">
              <w:r>
                <w:rPr>
                  <w:rStyle w:val="Hyperlink"/>
                  <w:sz w:val="22"/>
                  <w:szCs w:val="22"/>
                </w:rPr>
                <w:t>hier</w:t>
              </w:r>
            </w:hyperlink>
            <w:r>
              <w:rPr>
                <w:sz w:val="22"/>
                <w:szCs w:val="22"/>
              </w:rPr>
              <w:t>)</w:t>
            </w:r>
          </w:p>
          <w:p>
            <w:pPr>
              <w:pStyle w:val="Listenabsatz"/>
              <w:numPr>
                <w:ilvl w:val="1"/>
                <w:numId w:val="5"/>
              </w:numPr>
              <w:ind w:left="924" w:hanging="357"/>
              <w:rPr>
                <w:sz w:val="22"/>
                <w:szCs w:val="22"/>
              </w:rPr>
            </w:pPr>
            <w:proofErr w:type="spellStart"/>
            <w:r>
              <w:rPr>
                <w:sz w:val="22"/>
                <w:szCs w:val="22"/>
              </w:rPr>
              <w:t>GrippeWeb</w:t>
            </w:r>
            <w:proofErr w:type="spellEnd"/>
            <w:r>
              <w:rPr>
                <w:sz w:val="22"/>
                <w:szCs w:val="22"/>
              </w:rPr>
              <w:t>: Häufigkeit akuter Atemwegserkrankungen</w:t>
            </w:r>
          </w:p>
          <w:p>
            <w:pPr>
              <w:pStyle w:val="Listenabsatz"/>
              <w:numPr>
                <w:ilvl w:val="2"/>
                <w:numId w:val="5"/>
              </w:numPr>
              <w:ind w:left="1491" w:hanging="357"/>
              <w:rPr>
                <w:sz w:val="22"/>
                <w:szCs w:val="22"/>
              </w:rPr>
            </w:pPr>
            <w:r>
              <w:rPr>
                <w:sz w:val="22"/>
                <w:szCs w:val="22"/>
              </w:rPr>
              <w:t>In allen Altersgruppen unter jahreszeitlichem Durchschnitt, abnehmende Tendenz.</w:t>
            </w:r>
          </w:p>
          <w:p>
            <w:pPr>
              <w:pStyle w:val="Listenabsatz"/>
              <w:numPr>
                <w:ilvl w:val="1"/>
                <w:numId w:val="5"/>
              </w:numPr>
              <w:ind w:left="924" w:hanging="357"/>
              <w:rPr>
                <w:sz w:val="22"/>
                <w:szCs w:val="22"/>
              </w:rPr>
            </w:pPr>
            <w:r>
              <w:rPr>
                <w:sz w:val="22"/>
                <w:szCs w:val="22"/>
              </w:rPr>
              <w:t>Inzidenz und Anteil nach Altersgruppe</w:t>
            </w:r>
          </w:p>
          <w:p>
            <w:pPr>
              <w:pStyle w:val="Listenabsatz"/>
              <w:numPr>
                <w:ilvl w:val="2"/>
                <w:numId w:val="5"/>
              </w:numPr>
              <w:ind w:left="1491" w:hanging="357"/>
              <w:rPr>
                <w:sz w:val="22"/>
                <w:szCs w:val="22"/>
              </w:rPr>
            </w:pPr>
            <w:r>
              <w:rPr>
                <w:sz w:val="22"/>
                <w:szCs w:val="22"/>
              </w:rPr>
              <w:t>Plateaubildung bzw. Rückgang</w:t>
            </w:r>
          </w:p>
          <w:p>
            <w:pPr>
              <w:pStyle w:val="Listenabsatz"/>
              <w:numPr>
                <w:ilvl w:val="2"/>
                <w:numId w:val="5"/>
              </w:numPr>
              <w:ind w:left="1491" w:hanging="357"/>
              <w:rPr>
                <w:sz w:val="22"/>
                <w:szCs w:val="22"/>
              </w:rPr>
            </w:pPr>
            <w:r>
              <w:rPr>
                <w:sz w:val="22"/>
                <w:szCs w:val="22"/>
              </w:rPr>
              <w:lastRenderedPageBreak/>
              <w:t>Anteil der Jugendlichen bleibt überproportional.</w:t>
            </w:r>
          </w:p>
          <w:p>
            <w:pPr>
              <w:pStyle w:val="Listenabsatz"/>
              <w:numPr>
                <w:ilvl w:val="1"/>
                <w:numId w:val="5"/>
              </w:numPr>
              <w:ind w:left="924" w:hanging="357"/>
              <w:rPr>
                <w:sz w:val="22"/>
                <w:szCs w:val="22"/>
              </w:rPr>
            </w:pPr>
            <w:r>
              <w:rPr>
                <w:sz w:val="22"/>
                <w:szCs w:val="22"/>
              </w:rPr>
              <w:t>Ausbrüche in Kindergärten/Horte</w:t>
            </w:r>
          </w:p>
          <w:p>
            <w:pPr>
              <w:pStyle w:val="Listenabsatz"/>
              <w:numPr>
                <w:ilvl w:val="2"/>
                <w:numId w:val="5"/>
              </w:numPr>
              <w:ind w:left="1491" w:hanging="357"/>
              <w:rPr>
                <w:sz w:val="22"/>
                <w:szCs w:val="22"/>
              </w:rPr>
            </w:pPr>
            <w:r>
              <w:rPr>
                <w:sz w:val="22"/>
                <w:szCs w:val="22"/>
              </w:rPr>
              <w:t>52 neue Ausbrüche</w:t>
            </w:r>
          </w:p>
          <w:p>
            <w:pPr>
              <w:pStyle w:val="Listenabsatz"/>
              <w:numPr>
                <w:ilvl w:val="2"/>
                <w:numId w:val="5"/>
              </w:numPr>
              <w:ind w:left="1491" w:hanging="357"/>
              <w:rPr>
                <w:sz w:val="22"/>
                <w:szCs w:val="22"/>
              </w:rPr>
            </w:pPr>
            <w:r>
              <w:rPr>
                <w:sz w:val="22"/>
                <w:szCs w:val="22"/>
              </w:rPr>
              <w:t>2/3 aller Ausbrüche in den letzten 1,5 Monaten</w:t>
            </w:r>
          </w:p>
          <w:p>
            <w:pPr>
              <w:pStyle w:val="Listenabsatz"/>
              <w:numPr>
                <w:ilvl w:val="2"/>
                <w:numId w:val="5"/>
              </w:numPr>
              <w:ind w:left="1491" w:hanging="357"/>
              <w:rPr>
                <w:sz w:val="22"/>
                <w:szCs w:val="22"/>
              </w:rPr>
            </w:pPr>
            <w:r>
              <w:rPr>
                <w:sz w:val="22"/>
                <w:szCs w:val="22"/>
              </w:rPr>
              <w:t>Bei ca. ¼ der Ausbrüche waren nur Erwachsene betroffen.</w:t>
            </w:r>
          </w:p>
          <w:p>
            <w:pPr>
              <w:pStyle w:val="Listenabsatz"/>
              <w:numPr>
                <w:ilvl w:val="1"/>
                <w:numId w:val="5"/>
              </w:numPr>
              <w:ind w:left="924" w:hanging="357"/>
              <w:rPr>
                <w:sz w:val="22"/>
                <w:szCs w:val="22"/>
              </w:rPr>
            </w:pPr>
            <w:r>
              <w:rPr>
                <w:sz w:val="22"/>
                <w:szCs w:val="22"/>
              </w:rPr>
              <w:t>Ausbrüche in Schulen</w:t>
            </w:r>
          </w:p>
          <w:p>
            <w:pPr>
              <w:pStyle w:val="Listenabsatz"/>
              <w:numPr>
                <w:ilvl w:val="2"/>
                <w:numId w:val="5"/>
              </w:numPr>
              <w:ind w:left="1491" w:hanging="357"/>
              <w:rPr>
                <w:sz w:val="22"/>
                <w:szCs w:val="22"/>
              </w:rPr>
            </w:pPr>
            <w:r>
              <w:rPr>
                <w:sz w:val="22"/>
                <w:szCs w:val="22"/>
              </w:rPr>
              <w:t>Plateaubildung, 75 neue Ausbrüche</w:t>
            </w:r>
          </w:p>
          <w:p>
            <w:pPr>
              <w:pStyle w:val="Listenabsatz"/>
              <w:numPr>
                <w:ilvl w:val="2"/>
                <w:numId w:val="5"/>
              </w:numPr>
              <w:ind w:left="1491" w:hanging="357"/>
              <w:rPr>
                <w:sz w:val="22"/>
                <w:szCs w:val="22"/>
              </w:rPr>
            </w:pPr>
            <w:r>
              <w:rPr>
                <w:sz w:val="22"/>
                <w:szCs w:val="22"/>
              </w:rPr>
              <w:t>Größtes Geschehen in Hamburg mit 51 Fällen: 33 bei 0-</w:t>
            </w:r>
            <w:proofErr w:type="gramStart"/>
            <w:r>
              <w:rPr>
                <w:sz w:val="22"/>
                <w:szCs w:val="22"/>
              </w:rPr>
              <w:t>10 Jährigen</w:t>
            </w:r>
            <w:proofErr w:type="gramEnd"/>
            <w:r>
              <w:rPr>
                <w:sz w:val="22"/>
                <w:szCs w:val="22"/>
              </w:rPr>
              <w:t>, 14 bei 11-14 Jährigen, 2 bei 15-20 Jährigen und 2 bei &gt;20 Jährigen.</w:t>
            </w:r>
          </w:p>
          <w:p>
            <w:pPr>
              <w:pStyle w:val="Listenabsatz"/>
              <w:numPr>
                <w:ilvl w:val="2"/>
                <w:numId w:val="5"/>
              </w:numPr>
              <w:ind w:left="1491" w:hanging="357"/>
              <w:rPr>
                <w:sz w:val="22"/>
                <w:szCs w:val="22"/>
              </w:rPr>
            </w:pPr>
            <w:r>
              <w:rPr>
                <w:sz w:val="22"/>
                <w:szCs w:val="22"/>
              </w:rPr>
              <w:t>Bei 2 weiteren größeren Geschehen in Thüringen und Sachsen-Anhalt (32 und 30 Fälle) sind in erster Linie 11-</w:t>
            </w:r>
            <w:proofErr w:type="gramStart"/>
            <w:r>
              <w:rPr>
                <w:sz w:val="22"/>
                <w:szCs w:val="22"/>
              </w:rPr>
              <w:t>14 Jährige</w:t>
            </w:r>
            <w:proofErr w:type="gramEnd"/>
            <w:r>
              <w:rPr>
                <w:sz w:val="22"/>
                <w:szCs w:val="22"/>
              </w:rPr>
              <w:t xml:space="preserve"> und Jugendliche betroffen.</w:t>
            </w:r>
          </w:p>
          <w:p>
            <w:pPr>
              <w:pStyle w:val="Listenabsatz"/>
              <w:numPr>
                <w:ilvl w:val="2"/>
                <w:numId w:val="5"/>
              </w:numPr>
              <w:ind w:left="1491" w:hanging="357"/>
              <w:rPr>
                <w:sz w:val="22"/>
                <w:szCs w:val="22"/>
              </w:rPr>
            </w:pPr>
            <w:r>
              <w:rPr>
                <w:sz w:val="22"/>
                <w:szCs w:val="22"/>
              </w:rPr>
              <w:t>Gibt es besondere Umstände bei Ausbrüchen mit hohen Fallzahlen? Hierzu sind keine näheren Informationen vorhanden.</w:t>
            </w:r>
          </w:p>
          <w:p>
            <w:pPr>
              <w:pStyle w:val="Listenabsatz"/>
              <w:numPr>
                <w:ilvl w:val="1"/>
                <w:numId w:val="5"/>
              </w:numPr>
              <w:ind w:left="907" w:hanging="340"/>
              <w:rPr>
                <w:sz w:val="22"/>
                <w:szCs w:val="22"/>
              </w:rPr>
            </w:pPr>
            <w:r>
              <w:rPr>
                <w:sz w:val="22"/>
                <w:szCs w:val="22"/>
              </w:rPr>
              <w:t xml:space="preserve">Rückmeldung aus der Bevölkerung (BZgA): zeitliche Verzögerung, da viele Eltern mit Befunden allein gelassen werden und keine Information zum Verhalten erhalten. </w:t>
            </w:r>
          </w:p>
          <w:p>
            <w:pPr>
              <w:pStyle w:val="Listenabsatz"/>
              <w:ind w:left="924"/>
              <w:rPr>
                <w:sz w:val="22"/>
                <w:szCs w:val="22"/>
              </w:rPr>
            </w:pPr>
          </w:p>
          <w:p>
            <w:pPr>
              <w:pStyle w:val="Listenabsatz"/>
              <w:numPr>
                <w:ilvl w:val="0"/>
                <w:numId w:val="5"/>
              </w:numPr>
              <w:ind w:left="453" w:hanging="340"/>
              <w:rPr>
                <w:sz w:val="22"/>
                <w:szCs w:val="22"/>
              </w:rPr>
            </w:pPr>
            <w:r>
              <w:rPr>
                <w:sz w:val="22"/>
                <w:szCs w:val="22"/>
              </w:rPr>
              <w:t>Anregung zur Aufnahme der Ag-Tests in die Falldefinition (Bitten der GÄ; siehe Mail GA Düsseldorf an nCoV-Lage am 20.11.20, 15:10 Uhr)</w:t>
            </w:r>
          </w:p>
          <w:p>
            <w:pPr>
              <w:pStyle w:val="Listenabsatz"/>
              <w:numPr>
                <w:ilvl w:val="1"/>
                <w:numId w:val="5"/>
              </w:numPr>
              <w:ind w:left="907" w:hanging="340"/>
              <w:rPr>
                <w:sz w:val="22"/>
                <w:szCs w:val="22"/>
              </w:rPr>
            </w:pPr>
            <w:r>
              <w:rPr>
                <w:sz w:val="22"/>
                <w:szCs w:val="22"/>
              </w:rPr>
              <w:t xml:space="preserve">Wurde in AGI von Bundesländern ans RKI herangetragen. </w:t>
            </w:r>
          </w:p>
          <w:p>
            <w:pPr>
              <w:pStyle w:val="Listenabsatz"/>
              <w:numPr>
                <w:ilvl w:val="1"/>
                <w:numId w:val="5"/>
              </w:numPr>
              <w:ind w:left="907" w:hanging="340"/>
              <w:rPr>
                <w:sz w:val="22"/>
                <w:szCs w:val="22"/>
              </w:rPr>
            </w:pPr>
            <w:r>
              <w:rPr>
                <w:sz w:val="22"/>
                <w:szCs w:val="22"/>
              </w:rPr>
              <w:t>Wird zurzeit auch auf europäischer Ebene diskutiert. Die Änderung der ECDC-Falldefinition sollte abgewartet werden.</w:t>
            </w:r>
          </w:p>
          <w:p>
            <w:pPr>
              <w:pStyle w:val="Listenabsatz"/>
              <w:numPr>
                <w:ilvl w:val="1"/>
                <w:numId w:val="5"/>
              </w:numPr>
              <w:ind w:left="907" w:hanging="340"/>
              <w:rPr>
                <w:sz w:val="22"/>
                <w:szCs w:val="22"/>
              </w:rPr>
            </w:pPr>
            <w:r>
              <w:rPr>
                <w:sz w:val="22"/>
                <w:szCs w:val="22"/>
              </w:rPr>
              <w:t xml:space="preserve">Alle positiven Antigenteste zu zählen würde zu einer Übererfassung führen. </w:t>
            </w:r>
          </w:p>
          <w:p>
            <w:pPr>
              <w:pStyle w:val="Listenabsatz"/>
              <w:numPr>
                <w:ilvl w:val="1"/>
                <w:numId w:val="5"/>
              </w:numPr>
              <w:ind w:left="907" w:hanging="340"/>
              <w:rPr>
                <w:sz w:val="22"/>
                <w:szCs w:val="22"/>
              </w:rPr>
            </w:pPr>
            <w:r>
              <w:rPr>
                <w:sz w:val="22"/>
                <w:szCs w:val="22"/>
              </w:rPr>
              <w:t xml:space="preserve">Ein positiver Antigentest mit klinischer Symptomatik könnte als Fall gezählt werden. </w:t>
            </w:r>
          </w:p>
          <w:p>
            <w:pPr>
              <w:pStyle w:val="Listenabsatz"/>
              <w:numPr>
                <w:ilvl w:val="1"/>
                <w:numId w:val="5"/>
              </w:numPr>
              <w:ind w:left="907" w:hanging="340"/>
              <w:rPr>
                <w:sz w:val="22"/>
                <w:szCs w:val="22"/>
              </w:rPr>
            </w:pPr>
            <w:r>
              <w:rPr>
                <w:sz w:val="22"/>
                <w:szCs w:val="22"/>
              </w:rPr>
              <w:t xml:space="preserve">Bei asymptomatischen Fällen müsste der Test durch einen positiven PCR-Test bestätigt werden. </w:t>
            </w:r>
          </w:p>
          <w:p>
            <w:pPr>
              <w:pStyle w:val="Listenabsatz"/>
              <w:numPr>
                <w:ilvl w:val="1"/>
                <w:numId w:val="5"/>
              </w:numPr>
              <w:ind w:left="907" w:hanging="340"/>
              <w:rPr>
                <w:sz w:val="22"/>
                <w:szCs w:val="22"/>
              </w:rPr>
            </w:pPr>
            <w:r>
              <w:rPr>
                <w:sz w:val="22"/>
                <w:szCs w:val="22"/>
              </w:rPr>
              <w:t xml:space="preserve">Die Software müsste angepasst werden. </w:t>
            </w:r>
          </w:p>
          <w:p>
            <w:pPr>
              <w:pStyle w:val="Listenabsatz"/>
              <w:numPr>
                <w:ilvl w:val="1"/>
                <w:numId w:val="5"/>
              </w:numPr>
              <w:ind w:left="907" w:hanging="340"/>
              <w:rPr>
                <w:sz w:val="22"/>
                <w:szCs w:val="22"/>
              </w:rPr>
            </w:pPr>
            <w:r>
              <w:rPr>
                <w:sz w:val="22"/>
                <w:szCs w:val="22"/>
              </w:rPr>
              <w:t>Wenn positive Antigenteste übermittelt werden, muss geklärt werden, ob sie auch in den offiziellen Zahlen ausgewiesen werden sollen oder ob zwischen wahrscheinlichen und bestätigten Fällen differenziert werden soll.</w:t>
            </w:r>
          </w:p>
          <w:p>
            <w:pPr>
              <w:rPr>
                <w:i/>
                <w:sz w:val="22"/>
                <w:szCs w:val="22"/>
              </w:rPr>
            </w:pPr>
            <w:proofErr w:type="spellStart"/>
            <w:r>
              <w:rPr>
                <w:i/>
                <w:sz w:val="22"/>
                <w:szCs w:val="22"/>
              </w:rPr>
              <w:t>ToDo</w:t>
            </w:r>
            <w:proofErr w:type="spellEnd"/>
            <w:r>
              <w:rPr>
                <w:i/>
                <w:sz w:val="22"/>
                <w:szCs w:val="22"/>
              </w:rPr>
              <w:t>: Erarbeiten eines Entwurfs in einer Arbeitsgruppe bestehend aus Abt. 3, FG36, FG38, Hr. Mielke, FF Fr. Diercke. Besprechung des Entwurfs im Krisenstab Ende dieser oder Anfang nächster Woche.</w:t>
            </w:r>
          </w:p>
          <w:p>
            <w:pPr>
              <w:rPr>
                <w:sz w:val="22"/>
              </w:rPr>
            </w:pPr>
            <w:r>
              <w:rPr>
                <w:sz w:val="22"/>
                <w:szCs w:val="22"/>
              </w:rPr>
              <w:t xml:space="preserve"> </w:t>
            </w:r>
          </w:p>
        </w:tc>
        <w:tc>
          <w:tcPr>
            <w:tcW w:w="1492" w:type="dxa"/>
          </w:tcPr>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(Haas)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FG38</w:t>
            </w:r>
          </w:p>
        </w:tc>
      </w:tr>
      <w:tr>
        <w:tc>
          <w:tcPr>
            <w:tcW w:w="684" w:type="dxa"/>
          </w:tcPr>
          <w:p>
            <w:pPr>
              <w:rPr>
                <w:b/>
              </w:rPr>
            </w:pPr>
            <w:r>
              <w:rPr>
                <w:b/>
              </w:rPr>
              <w:lastRenderedPageBreak/>
              <w:t>13</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5"/>
              </w:numPr>
              <w:ind w:left="453" w:hanging="340"/>
              <w:rPr>
                <w:sz w:val="22"/>
              </w:rPr>
            </w:pPr>
            <w:r>
              <w:rPr>
                <w:sz w:val="22"/>
              </w:rPr>
              <w:t>Information aus Flughafengruppe: viele GA und Behörden sind technisch noch nicht so angeschlossen, dass sie Daten auf elektronischem Weg erhalten können. FG38 steht hierzu in engem Austausch mit der Bundesdruckerei.</w:t>
            </w:r>
          </w:p>
          <w:p>
            <w:pPr>
              <w:pStyle w:val="Listenabsatz"/>
              <w:numPr>
                <w:ilvl w:val="0"/>
                <w:numId w:val="5"/>
              </w:numPr>
              <w:ind w:left="453" w:hanging="340"/>
              <w:rPr>
                <w:sz w:val="22"/>
              </w:rPr>
            </w:pPr>
            <w:r>
              <w:rPr>
                <w:sz w:val="22"/>
              </w:rPr>
              <w:t xml:space="preserve">Insgesamt sind bisher 161.863 Einreiseanmeldungen eingegangen. 52,8% der Anmeldungen wurden über das Postverfahren zugestellt, 7,4% über die Clearingstelle am RKI und 39,9% über das digitale System. </w:t>
            </w:r>
          </w:p>
          <w:p>
            <w:pPr>
              <w:pStyle w:val="Listenabsatz"/>
              <w:numPr>
                <w:ilvl w:val="0"/>
                <w:numId w:val="5"/>
              </w:numPr>
              <w:ind w:left="453" w:hanging="340"/>
              <w:rPr>
                <w:sz w:val="22"/>
              </w:rPr>
            </w:pPr>
            <w:r>
              <w:rPr>
                <w:sz w:val="22"/>
              </w:rPr>
              <w:lastRenderedPageBreak/>
              <w:t xml:space="preserve">Gestern sind beispielsweise 8.826 Anmeldungen eingegangen, 48,2% über die </w:t>
            </w:r>
            <w:proofErr w:type="spellStart"/>
            <w:r>
              <w:rPr>
                <w:sz w:val="22"/>
              </w:rPr>
              <w:t>PostAG</w:t>
            </w:r>
            <w:proofErr w:type="spellEnd"/>
            <w:r>
              <w:rPr>
                <w:sz w:val="22"/>
              </w:rPr>
              <w:t>, 9,7% über die Clearingstelle und 42,1% über das digitale System.</w:t>
            </w:r>
          </w:p>
          <w:p>
            <w:pPr>
              <w:pStyle w:val="Listenabsatz"/>
              <w:numPr>
                <w:ilvl w:val="0"/>
                <w:numId w:val="5"/>
              </w:numPr>
              <w:ind w:left="453" w:hanging="340"/>
              <w:rPr>
                <w:sz w:val="22"/>
              </w:rPr>
            </w:pPr>
            <w:r>
              <w:rPr>
                <w:sz w:val="22"/>
              </w:rPr>
              <w:t>Die Länder sind daran interessiert, dass das Verfahren mit der Post weiterläuft, bis das System reibungslos funktioniert.</w:t>
            </w:r>
          </w:p>
          <w:p>
            <w:pPr>
              <w:pStyle w:val="Listenabsatz"/>
              <w:numPr>
                <w:ilvl w:val="0"/>
                <w:numId w:val="5"/>
              </w:numPr>
              <w:ind w:left="453" w:hanging="340"/>
              <w:rPr>
                <w:sz w:val="22"/>
              </w:rPr>
            </w:pPr>
            <w:r>
              <w:rPr>
                <w:sz w:val="22"/>
              </w:rPr>
              <w:t xml:space="preserve">Stichprobenhafte Prüfungen der Polizei ergaben, dass 20% der Anmeldungen fehlerhaft ausgefüllt wurden: </w:t>
            </w:r>
            <w:hyperlink r:id="rId13" w:history="1">
              <w:r>
                <w:rPr>
                  <w:rStyle w:val="Hyperlink"/>
                  <w:sz w:val="22"/>
                  <w:szCs w:val="22"/>
                </w:rPr>
                <w:t>https://www.trtdeutsch.com/news-inland/corona-meldepflicht-rund-20-prozent-der-ruckkehrer-geben-falsche-daten-an-3634099</w:t>
              </w:r>
            </w:hyperlink>
          </w:p>
          <w:p>
            <w:pPr>
              <w:pStyle w:val="Listenabsatz"/>
              <w:ind w:left="907"/>
              <w:rPr>
                <w:sz w:val="22"/>
              </w:rPr>
            </w:pPr>
          </w:p>
        </w:tc>
        <w:tc>
          <w:tcPr>
            <w:tcW w:w="1492" w:type="dxa"/>
          </w:tcPr>
          <w:p>
            <w:pPr>
              <w:rPr>
                <w:sz w:val="22"/>
                <w:szCs w:val="22"/>
              </w:rPr>
            </w:pPr>
          </w:p>
          <w:p>
            <w:pPr>
              <w:rPr>
                <w:sz w:val="22"/>
                <w:szCs w:val="22"/>
              </w:rPr>
            </w:pPr>
            <w:r>
              <w:rPr>
                <w:sz w:val="22"/>
                <w:szCs w:val="22"/>
              </w:rPr>
              <w:t xml:space="preserve">FG38 </w:t>
            </w:r>
          </w:p>
          <w:p>
            <w:pPr>
              <w:rPr>
                <w:sz w:val="22"/>
                <w:szCs w:val="22"/>
              </w:rPr>
            </w:pPr>
            <w:r>
              <w:rPr>
                <w:sz w:val="22"/>
                <w:szCs w:val="22"/>
              </w:rPr>
              <w:t xml:space="preserve">(Maria </w:t>
            </w:r>
            <w:proofErr w:type="gramStart"/>
            <w:r>
              <w:rPr>
                <w:sz w:val="22"/>
                <w:szCs w:val="22"/>
              </w:rPr>
              <w:t>an der Heiden</w:t>
            </w:r>
            <w:proofErr w:type="gramEnd"/>
            <w:r>
              <w:rPr>
                <w:sz w:val="22"/>
                <w:szCs w:val="22"/>
              </w:rPr>
              <w:t>)</w:t>
            </w: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Wichtige Termine</w:t>
            </w:r>
          </w:p>
          <w:p>
            <w:pPr>
              <w:pStyle w:val="Listenabsatz"/>
              <w:numPr>
                <w:ilvl w:val="0"/>
                <w:numId w:val="5"/>
              </w:numPr>
              <w:ind w:left="453" w:hanging="340"/>
              <w:rPr>
                <w:sz w:val="22"/>
                <w:szCs w:val="22"/>
              </w:rPr>
            </w:pPr>
            <w:r>
              <w:t>25</w:t>
            </w:r>
            <w:r>
              <w:rPr>
                <w:sz w:val="23"/>
                <w:szCs w:val="23"/>
              </w:rPr>
              <w:t>.11.2020: Kanzlerin und MPK Vorstellung weiterer Maßnahmen für die Wintermonate</w:t>
            </w:r>
          </w:p>
        </w:tc>
        <w:tc>
          <w:tcPr>
            <w:tcW w:w="1492" w:type="dxa"/>
          </w:tcPr>
          <w:p>
            <w:pPr>
              <w:rPr>
                <w:sz w:val="22"/>
                <w:szCs w:val="22"/>
              </w:rPr>
            </w:pPr>
          </w:p>
          <w:p>
            <w:pPr>
              <w:rPr>
                <w:sz w:val="22"/>
                <w:szCs w:val="22"/>
              </w:rPr>
            </w:pPr>
            <w:r>
              <w:rPr>
                <w:sz w:val="22"/>
                <w:szCs w:val="22"/>
              </w:rPr>
              <w:t>Alle</w:t>
            </w: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Mittwoch, 25.11.2020, 11:00 Uhr, via </w:t>
            </w:r>
            <w:proofErr w:type="spellStart"/>
            <w:r>
              <w:rPr>
                <w:sz w:val="22"/>
                <w:szCs w:val="22"/>
              </w:rPr>
              <w:t>Webex</w:t>
            </w:r>
            <w:proofErr w:type="spellEnd"/>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even" r:id="rId14"/>
      <w:headerReference w:type="default" r:id="rId15"/>
      <w:footerReference w:type="even" r:id="rId16"/>
      <w:footerReference w:type="default" r:id="rId17"/>
      <w:headerReference w:type="first" r:id="rId18"/>
      <w:footerReference w:type="first" r:id="rId19"/>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chranz, Madlen" w:date="2020-11-24T10:10:00Z" w:initials="SM">
    <w:p>
      <w:pPr>
        <w:pStyle w:val="Kommentartext"/>
      </w:pPr>
      <w:r>
        <w:rPr>
          <w:rStyle w:val="Kommentarzeichen"/>
        </w:rPr>
        <w:annotationRef/>
      </w:r>
      <w:r>
        <w:t>ID 2266</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                                                                                                                              </w:t>
    </w:r>
    <w:bookmarkStart w:id="1" w:name="_GoBack"/>
    <w:bookmarkEnd w:id="1"/>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B397807"/>
    <w:multiLevelType w:val="hybridMultilevel"/>
    <w:tmpl w:val="6E182EA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3"/>
  </w:num>
  <w:num w:numId="4">
    <w:abstractNumId w:val="17"/>
  </w:num>
  <w:num w:numId="5">
    <w:abstractNumId w:val="7"/>
  </w:num>
  <w:num w:numId="6">
    <w:abstractNumId w:val="18"/>
  </w:num>
  <w:num w:numId="7">
    <w:abstractNumId w:val="23"/>
  </w:num>
  <w:num w:numId="8">
    <w:abstractNumId w:val="13"/>
  </w:num>
  <w:num w:numId="9">
    <w:abstractNumId w:val="5"/>
  </w:num>
  <w:num w:numId="10">
    <w:abstractNumId w:val="27"/>
  </w:num>
  <w:num w:numId="11">
    <w:abstractNumId w:val="22"/>
  </w:num>
  <w:num w:numId="12">
    <w:abstractNumId w:val="15"/>
  </w:num>
  <w:num w:numId="13">
    <w:abstractNumId w:val="12"/>
  </w:num>
  <w:num w:numId="14">
    <w:abstractNumId w:val="19"/>
  </w:num>
  <w:num w:numId="15">
    <w:abstractNumId w:val="16"/>
  </w:num>
  <w:num w:numId="16">
    <w:abstractNumId w:val="0"/>
  </w:num>
  <w:num w:numId="17">
    <w:abstractNumId w:val="11"/>
  </w:num>
  <w:num w:numId="18">
    <w:abstractNumId w:val="25"/>
  </w:num>
  <w:num w:numId="19">
    <w:abstractNumId w:val="9"/>
  </w:num>
  <w:num w:numId="20">
    <w:abstractNumId w:val="24"/>
  </w:num>
  <w:num w:numId="21">
    <w:abstractNumId w:val="6"/>
  </w:num>
  <w:num w:numId="22">
    <w:abstractNumId w:val="8"/>
  </w:num>
  <w:num w:numId="23">
    <w:abstractNumId w:val="2"/>
  </w:num>
  <w:num w:numId="24">
    <w:abstractNumId w:val="20"/>
  </w:num>
  <w:num w:numId="25">
    <w:abstractNumId w:val="14"/>
  </w:num>
  <w:num w:numId="26">
    <w:abstractNumId w:val="1"/>
  </w:num>
  <w:num w:numId="27">
    <w:abstractNumId w:val="21"/>
  </w:num>
  <w:num w:numId="28">
    <w:abstractNumId w:val="26"/>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ranz, Madlen">
    <w15:presenceInfo w15:providerId="None" w15:userId="Schranz, Madl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styleId="NichtaufgelsteErwhnung">
    <w:name w:val="Unresolved Mention"/>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282763853">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S:\Wissdaten\RKI_nCoV-Lage\1.Lagemanagement\1.3.Besprechungen_TKs\1.Lage_AG\2020-11-23_Lage_AG\COVID-19_Internationale_Lage_2020-11-23.pptx" TargetMode="External"/><Relationship Id="rId13" Type="http://schemas.openxmlformats.org/officeDocument/2006/relationships/hyperlink" Target="https://www.trtdeutsch.com/news-inland/corona-meldepflicht-rund-20-prozent-der-ruckkehrer-geben-falsche-daten-an-3634099" TargetMode="Externa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file:///C:\Users\schaadel\AppData\Local\Microsoft\Windows\INetCache\Content.Outlook\9SMIKUZ0\CoronaKita_Krisenstab_2020-11-23.pptx"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hyperlink" Target="file:///C:\Users\schaadel\AppData\Local\Microsoft\Windows\INetCache\Content.Outlook\9SMIKUZ0\Beschluss-Entwurf%20des%20MPK.pdf"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file:///S:\Wissdaten\RKI_nCoV-Lage\1.Lagemanagement\1.3.Besprechungen_TKs\1.Lage_AG\2020-11-23_Lage_AG\Lage-National_2020_11_23.pptx" TargetMode="External"/><Relationship Id="rId14" Type="http://schemas.openxmlformats.org/officeDocument/2006/relationships/header" Target="header1.xm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60ED72-AFAB-497F-AFA2-473668D2A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2055</Words>
  <Characters>12948</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5</cp:revision>
  <cp:lastPrinted>2020-05-06T16:43:00Z</cp:lastPrinted>
  <dcterms:created xsi:type="dcterms:W3CDTF">2020-11-24T08:08:00Z</dcterms:created>
  <dcterms:modified xsi:type="dcterms:W3CDTF">2021-05-10T14:25:00Z</dcterms:modified>
</cp:coreProperties>
</file>