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02.12.2020,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 xml:space="preserve">Institutsleitung </w:t>
      </w:r>
    </w:p>
    <w:p>
      <w:pPr>
        <w:pStyle w:val="Listenabsatz"/>
        <w:numPr>
          <w:ilvl w:val="0"/>
          <w:numId w:val="3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3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Ralf Dürrwald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Luisa Denkel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Bettina Ruehe 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Claudia Schulz-Weidhaas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lastRenderedPageBreak/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Heidrun </w:t>
      </w:r>
      <w:proofErr w:type="spellStart"/>
      <w:r>
        <w:rPr>
          <w:sz w:val="22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lang w:val="en-US"/>
        </w:rPr>
        <w:t>Iris Andernach</w:t>
      </w:r>
    </w:p>
    <w:p>
      <w:pPr>
        <w:pStyle w:val="Listenabsatz"/>
        <w:numPr>
          <w:ilvl w:val="0"/>
          <w:numId w:val="33"/>
        </w:numPr>
        <w:spacing w:after="0"/>
        <w:rPr>
          <w:sz w:val="22"/>
        </w:rPr>
      </w:pPr>
      <w:r>
        <w:rPr>
          <w:sz w:val="22"/>
        </w:rPr>
        <w:t>Protokoll</w:t>
      </w:r>
    </w:p>
    <w:p>
      <w:pPr>
        <w:pStyle w:val="Listenabsatz"/>
        <w:numPr>
          <w:ilvl w:val="0"/>
          <w:numId w:val="34"/>
        </w:numPr>
        <w:spacing w:after="0"/>
        <w:rPr>
          <w:sz w:val="22"/>
        </w:rPr>
      </w:pPr>
      <w:r>
        <w:rPr>
          <w:sz w:val="22"/>
        </w:rPr>
        <w:t>Janet Frotscher (RKI)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Fälle, Ausbreitung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63,2 Mio. Fälle und &gt; 1,5 Mio. Verstorbene (2,3%)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/ letzte 7 Tage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Platz 1: USA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Italien und Russische Föderation haben Plätze gewechselt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Deutschland nun vor Polen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Erstmalig nicht mehr auf der Liste: Frankreich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hinzugekommen: Ukraine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&gt; 50 pro 100.000 Einwohner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 Länder überschreiten den Schwellenwert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Ozeanien nur </w:t>
            </w:r>
            <w:proofErr w:type="spellStart"/>
            <w:r>
              <w:rPr>
                <w:sz w:val="22"/>
                <w:szCs w:val="22"/>
              </w:rPr>
              <w:t>Frz</w:t>
            </w:r>
            <w:proofErr w:type="spellEnd"/>
            <w:r>
              <w:rPr>
                <w:sz w:val="22"/>
                <w:szCs w:val="22"/>
              </w:rPr>
              <w:t>-Polynesien und Guam unverändert hoch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hinzugekommen: Bermuda (Amerika) und Katar (Asien)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 – EU/EWR/UK/CH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Länder + Schweiz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Irland und Island unterschreiten 7T Inzidenzwert </w:t>
            </w:r>
          </w:p>
          <w:p>
            <w:pPr>
              <w:pStyle w:val="Listenabsatz"/>
              <w:numPr>
                <w:ilvl w:val="0"/>
                <w:numId w:val="30"/>
              </w:numPr>
              <w:ind w:left="470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ECDC </w:t>
            </w:r>
            <w:proofErr w:type="spellStart"/>
            <w:r>
              <w:rPr>
                <w:sz w:val="22"/>
                <w:szCs w:val="22"/>
                <w:lang w:val="en-US"/>
              </w:rPr>
              <w:t>Modellierung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Folie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4)</w:t>
            </w:r>
          </w:p>
          <w:p>
            <w:pPr>
              <w:pStyle w:val="Listenabsatz"/>
              <w:ind w:left="47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weekly-epidemiological-update 1-december-2020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Abwärtstrend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Indien verzeichnet wieder Anstieg neuer Fälle (+6% im Vergleich zur Vorwoche)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 dominierend in WPR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Italien: 184.000 neue Fälle in vergangenen 7T (-22%)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Russische Föderation: 179.000 neue Fälle in vergangenen 7T (+10%)</w:t>
            </w:r>
          </w:p>
          <w:p>
            <w:pPr>
              <w:pStyle w:val="Listenabsatz"/>
              <w:numPr>
                <w:ilvl w:val="0"/>
                <w:numId w:val="30"/>
              </w:numPr>
              <w:ind w:left="470" w:hanging="357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Diskussion: </w:t>
            </w:r>
          </w:p>
          <w:p>
            <w:pPr>
              <w:pStyle w:val="Listenabsatz"/>
              <w:numPr>
                <w:ilvl w:val="0"/>
                <w:numId w:val="31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zum afrikanischen Kontinent: Anstieg in drei Ländern sehr stark (Marokko, Kenia und Südafrika) – hier wird mit erhöhten Fallzahlen gerechnet – Grund dafür kann die Mobilität sein (jüngere Bevölkerung kehrt zu den Älteren zurück – eine zweite Welle wird dabei nicht benannt)</w:t>
            </w:r>
          </w:p>
          <w:p>
            <w:pPr>
              <w:pStyle w:val="Listenabsatz"/>
              <w:numPr>
                <w:ilvl w:val="0"/>
                <w:numId w:val="31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 über Bestrebung (angeführt von Atlanta </w:t>
            </w:r>
            <w:proofErr w:type="spellStart"/>
            <w:r>
              <w:rPr>
                <w:sz w:val="22"/>
                <w:szCs w:val="22"/>
              </w:rPr>
              <w:t>Quarantine</w:t>
            </w:r>
            <w:proofErr w:type="spellEnd"/>
            <w:r>
              <w:rPr>
                <w:sz w:val="22"/>
                <w:szCs w:val="22"/>
              </w:rPr>
              <w:t xml:space="preserve"> Station) Quarantäne auf 7 Tage + Test zu verkürzen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924" w:hanging="357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WHO Regionaldirektor für Asien schildert Möglichkeiten zur Verbesserung der Response (länderspezifische Vorgehensweise)</w:t>
            </w:r>
          </w:p>
          <w:p>
            <w:pPr>
              <w:pStyle w:val="Listenabsatz"/>
              <w:ind w:left="924"/>
              <w:rPr>
                <w:b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lastRenderedPageBreak/>
              <w:t>ToDo</w:t>
            </w:r>
            <w:proofErr w:type="spellEnd"/>
            <w:r>
              <w:rPr>
                <w:i/>
                <w:sz w:val="22"/>
                <w:szCs w:val="22"/>
              </w:rPr>
              <w:t>: Bitte Konzepte aus Irland besorgen! (Wie werden dort Schulen offengehalten und geschützt?)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7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Großes Lob und Dankeschön an ZIG für die Darstellung der Internationalen Lage 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Frage bezüglich des enormen Anstieges der Fallzahlen in Russland – Sputnik 5 Impfstoff ist hier zugelassen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hier gilt es gut zu beobachten und weitere Infos für Transparenz zu erlangen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1.084.743 (+17.270), davon 17.123 (1,6%) Todesfälle (+487)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136/100.000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4-Tage-R=0,84; 7-Tage-R=0,89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ITS: 3.919 (-7), invasiv beatmet: 2.354 (+35)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deutlicher Rückgang der hohen Fallzahlen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Besorgniserregende Entwicklung bei Todesfällen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deutlicher Rückgang zu verzeichnen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Sachsen: deutlicher Anstieg der Fallzahlen (sehr auffällig, da überall gleich geltende Maßnahmen) – weiterhin unklar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Hohe Inzidenzen in Westen, Süden und Sachsen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Alter: Einigung auf Darstellung nach 5 Jahres Altersgruppen, dabei ist 90+ die höchste Altersgruppe die ausgewiesen wird (Folie 4)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Besorgniserregende Inzidenzanstiegssprünge in hohen Altersgruppen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 Fälle und Anteil der Verstorbenen sowie Anteil der Hospitalisierten und COVID-19 Fälle mit für COVID-19 relevanten Symptomen nach Meldewoche (Folie 6): Entschluss für graphische Aufarbeitung (auch im Lagebericht seit KW 48), leichter Rückgang der Fallzahlen (Vergleich KW 47 zu KW 48)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COVID-19-Todesfälle nach Sterbewoche: 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Todesfälle steigt weiterhin an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ist nicht das Niveau der 1. Welle erreicht, dies muss gut beobachtet werden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0"/>
              </w:numPr>
              <w:ind w:left="697" w:hanging="357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können wir gemeldete Zahlen überprüfen (Verzerrungsausschluss)? Gibt es eine Unterfassung bei Kindern? Sind Daten aus </w:t>
            </w:r>
            <w:proofErr w:type="spellStart"/>
            <w:r>
              <w:rPr>
                <w:sz w:val="22"/>
                <w:szCs w:val="22"/>
              </w:rPr>
              <w:t>Heatmap</w:t>
            </w:r>
            <w:proofErr w:type="spellEnd"/>
            <w:r>
              <w:rPr>
                <w:sz w:val="22"/>
                <w:szCs w:val="22"/>
              </w:rPr>
              <w:t xml:space="preserve"> aussagekräftig, spiegeln sie das aktuelle Bild wieder?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Verweis auf Meldesystem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eine gewisse Untererfassung zwischen Faktor 2 und Faktor 6</w:t>
            </w:r>
          </w:p>
          <w:p>
            <w:pPr>
              <w:pStyle w:val="Listenabsatz"/>
              <w:numPr>
                <w:ilvl w:val="1"/>
                <w:numId w:val="8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Soep</w:t>
            </w:r>
            <w:proofErr w:type="spellEnd"/>
            <w:r>
              <w:rPr>
                <w:sz w:val="22"/>
                <w:szCs w:val="22"/>
              </w:rPr>
              <w:t>-Studien sind keine Kinder enthalten</w:t>
            </w:r>
          </w:p>
          <w:p>
            <w:pPr>
              <w:ind w:left="567"/>
              <w:rPr>
                <w:sz w:val="22"/>
                <w:szCs w:val="22"/>
              </w:rPr>
            </w:pPr>
          </w:p>
          <w:p>
            <w:pPr>
              <w:ind w:left="567"/>
              <w:rPr>
                <w:sz w:val="22"/>
                <w:szCs w:val="22"/>
              </w:rPr>
            </w:pPr>
          </w:p>
          <w:p>
            <w:pPr>
              <w:ind w:left="567"/>
              <w:rPr>
                <w:sz w:val="22"/>
                <w:szCs w:val="22"/>
              </w:rPr>
            </w:pPr>
          </w:p>
          <w:p>
            <w:pPr>
              <w:ind w:left="56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Syndromische</w:t>
            </w:r>
            <w:proofErr w:type="spellEnd"/>
            <w:r>
              <w:rPr>
                <w:i/>
                <w:sz w:val="22"/>
                <w:szCs w:val="22"/>
              </w:rPr>
              <w:t xml:space="preserve"> Surveillance </w:t>
            </w:r>
            <w:r>
              <w:rPr>
                <w:sz w:val="22"/>
                <w:szCs w:val="22"/>
              </w:rPr>
              <w:t xml:space="preserve">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>: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Wert (gesamt) lag in der 48. KW 2020 bei knapp 1.000 Arztkonsultationen wegen ARE pro 100.000 Einwohner (Folie 4)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Auf die Bevölkerung in Deutschland bezogen entspricht das einer Gesamtzahl von ca. 830.000 Arzt­besuchen wegen akuter Atemwegserkrankungen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der SARI-Fallzahlen in allen älteren Altersgruppen (Folie 6)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Altersgruppen der Kinder unter 15 Jahre immer noch niedriger als üblich um diese Jahreszeit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Altersgruppen über 14 Jahre sind stark angestiegen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Altersgruppen 35-59 Jahre und 60-79 Jahre liegen deutlich höher als in den Vorsaisons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COVID-19 Patienten an SARI ist stabil geblieben, liegt aktuell bei 58 % (Folie 10)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COVID-SARI-Fälle (J09 – J22) (Folie 11) 60 Jahre und älter: hier sind 255 Fälle zu verzeichnen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Absolute Anzahl der COVID-19-Fälle mit SARI im Sentinel (Folie 13): alle Fälle, inkl. Liegende (noch vorläufige Diagnosen und noch nicht vollständig)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hier: kein Rückgang in AG 80+, eher weiterer Anstieg (Daten von noch liegenden Fällen, eher unvollständiger)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ist das Bild aber ähnlich wie bei den eingeschränkten Daten, allerdings haben in dieser Darstellung (alle Fälle) die Fälle aus der Altersgruppe 35-59 Jahre weniger Gewicht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Stabilisierung in allen Altersgruppen, nur 80+ Kurve steigt weiterhin an, hier muss frühzeitig auf Signale geachtet werden, um diese Altersgruppe zu schützen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Systematische Untererfassung aufgrund telefonischer Krankschreibungen von einer </w:t>
            </w:r>
            <w:proofErr w:type="gramStart"/>
            <w:r>
              <w:rPr>
                <w:sz w:val="22"/>
                <w:szCs w:val="22"/>
              </w:rPr>
              <w:t>Woche ?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Telefonische Konsultationen werden mitberücksichtigt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Testkapazität und Testungen </w:t>
            </w:r>
            <w:r>
              <w:rPr>
                <w:sz w:val="22"/>
                <w:szCs w:val="22"/>
              </w:rPr>
              <w:t xml:space="preserve">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Rückgang Anteil pos. Testungen (Folie 1)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Altersgruppe der &gt;80-Jährigen deutlich höher (Folie 2)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Deutlicher Anstieg bei Anzahl der Testungen bei &gt;80-Jährigen (Folie 3), 0-4-Jährige werden weniger getestet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Testverzug bleibt konstant (Folie 5)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Diskussion: 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Anhand dieser Daten keine Untererfassung von Kindern erkennbar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Testzahlerfassung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, Dokument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Testzahlen und </w:t>
            </w:r>
            <w:proofErr w:type="spellStart"/>
            <w:r>
              <w:rPr>
                <w:sz w:val="22"/>
                <w:szCs w:val="22"/>
              </w:rPr>
              <w:t>Positivenquote</w:t>
            </w:r>
            <w:proofErr w:type="spellEnd"/>
            <w:r>
              <w:rPr>
                <w:sz w:val="22"/>
                <w:szCs w:val="22"/>
              </w:rPr>
              <w:t xml:space="preserve"> (Folie 1):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KW 45: 1,6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Testungen, KW 48: 1,3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Testungen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Testungen: -18 %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abgenommenen positiven Befunde: -3%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Abnahme der </w:t>
            </w:r>
            <w:proofErr w:type="spellStart"/>
            <w:r>
              <w:rPr>
                <w:sz w:val="22"/>
                <w:szCs w:val="22"/>
              </w:rPr>
              <w:t>Positivenquote</w:t>
            </w:r>
            <w:proofErr w:type="spellEnd"/>
            <w:r>
              <w:rPr>
                <w:sz w:val="22"/>
                <w:szCs w:val="22"/>
              </w:rPr>
              <w:t xml:space="preserve"> von 9,3 % auf 9,28 % 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Keine massive Untererfassung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Probenrückstau: ertragbares Maß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(Denkel)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  <w:r>
              <w:rPr>
                <w:sz w:val="22"/>
                <w:szCs w:val="22"/>
              </w:rPr>
              <w:t xml:space="preserve"> / FG 33 (Denkel)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 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24 (Ziese)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37 (Haller)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Dominierende Schwerpunkte bei Bürgeranfragen: Fragen zur psychischen Gesundheit und Fragen zur Impfung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Pressebriefing am Donnerstag, 03.12.2020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Bitte Grafik „7-Tage-Inzidenz der COVID-19-Fälle nach Altersgruppe und Meldewoche“ (Folie 4 </w:t>
            </w:r>
            <w:hyperlink r:id="rId14" w:history="1">
              <w:r>
                <w:rPr>
                  <w:rStyle w:val="Hyperlink"/>
                  <w:i/>
                  <w:sz w:val="22"/>
                  <w:szCs w:val="22"/>
                </w:rPr>
                <w:t>hier</w:t>
              </w:r>
            </w:hyperlink>
            <w:r>
              <w:rPr>
                <w:i/>
                <w:sz w:val="22"/>
                <w:szCs w:val="22"/>
              </w:rPr>
              <w:t xml:space="preserve">) morgen im Pressebriefing zeigen 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Hohes Aufkommen an Bürgeranfragen zur DEA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BZgA (Thaiss)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Presse (Wenchel)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Präs / FG 38 (Rexroth)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</w:p>
        </w:tc>
      </w:tr>
      <w:tr>
        <w:trPr>
          <w:trHeight w:val="176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>Wöchentlich ca. 80 Proben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2-5 % Nachweis SARS-CoV-2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Abwärtstrend bei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Ausgesprochene Saisonalität der Coronaviren wird sichtbar (Januar/Februar 2021 könnte kritisch werden)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Saison wird es eine stärkere Influenzaaktivität geben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Besteht die Hoffnung, dass durch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>-Maßnahmen Influenza „in Schach“ gehalten werden kann?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Maßnahmen spielen eine Rolle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Positiver Effekt durch </w:t>
            </w:r>
            <w:proofErr w:type="spellStart"/>
            <w:r>
              <w:rPr>
                <w:sz w:val="22"/>
                <w:szCs w:val="22"/>
              </w:rPr>
              <w:t>Impfung+AHA+L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Durch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-Impfstoffe kommt neuer Schub in Impfstoffentwicklung und -konzepte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Unterschied Influenza / Covid-19: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 braucht insgesamt viel länger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Bitte um Modellierung (was würde passieren, bei Lockerung von 10 oder 14 Tagen? R-Reduktion der letzten 4 Wochen, Auswirkung der verschärften Maßnahmen auf „R“)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Keine neuen Informationen bezüglich Nerz-Mutationen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 17 (Dürrwald)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 36 (Buda)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 38 (Rexroth)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 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Deutlicher Anstieg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Telemedizin (Hub) der Charité verzeichnet noch nie dagewesene Auslastung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Verlegungsdiskussionen unterstützen die RKI-Empfehlungen deutlich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  <w:r>
              <w:t>B. Ruehe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 xml:space="preserve">Starke Beunruhigung bei </w:t>
            </w:r>
            <w:proofErr w:type="spellStart"/>
            <w:r>
              <w:t>Präs</w:t>
            </w:r>
            <w:proofErr w:type="spellEnd"/>
            <w:r>
              <w:t xml:space="preserve"> aufgrund der möglichen Quarantäneverkürzung auf 7 Tage + Test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 xml:space="preserve">Besorgnis auch ob des politischen Willens von vielen Kultusministern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>Starke Bedenken, dies aus rein pragmatistischen Gründen zu beschließen (Lockerung kann zu juristischer Aufarbeitung führen)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>Empfehlung 10 Tage + Test auf RKI-Seite wird nicht einheitlich umgesetzt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 xml:space="preserve">Diskussion über Jugendliche als Treiber der Pandemie (Dokument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 xml:space="preserve">Höchste Inzidenz bei 15-30-Jährigen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</w:pPr>
            <w:r>
              <w:t>Wie kann Gruppe der 15+-Jährigen erreicht werden, um Verantwortung für Eltern und Großeltern deutlicher zu machen</w:t>
            </w: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Bitte jegliche Informationen zur Quarantäneverkürzung sammeln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 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Corona-KiTa-Studie </w:t>
            </w:r>
            <w:r>
              <w:rPr>
                <w:b/>
                <w:color w:val="FF0000"/>
              </w:rPr>
              <w:t>(nur montags)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03.12.2020 </w:t>
            </w:r>
            <w:proofErr w:type="spellStart"/>
            <w:r>
              <w:rPr>
                <w:lang w:val="en-US"/>
              </w:rPr>
              <w:t>Pressebriefing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05.12.2020 Townhall-Meeting BMG </w:t>
            </w:r>
            <w:proofErr w:type="spellStart"/>
            <w:r>
              <w:rPr>
                <w:sz w:val="22"/>
                <w:szCs w:val="22"/>
                <w:lang w:val="en-US"/>
              </w:rPr>
              <w:t>mit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Minister </w:t>
            </w:r>
            <w:proofErr w:type="spellStart"/>
            <w:r>
              <w:rPr>
                <w:sz w:val="22"/>
                <w:szCs w:val="22"/>
                <w:lang w:val="en-US"/>
              </w:rPr>
              <w:t>Spahn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04.12.2020,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                                                                                                                              </w:t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81C"/>
    <w:multiLevelType w:val="hybridMultilevel"/>
    <w:tmpl w:val="60227D18"/>
    <w:lvl w:ilvl="0" w:tplc="64C09B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6735E"/>
    <w:multiLevelType w:val="hybridMultilevel"/>
    <w:tmpl w:val="503A522C"/>
    <w:lvl w:ilvl="0" w:tplc="352C6814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812AE"/>
    <w:multiLevelType w:val="hybridMultilevel"/>
    <w:tmpl w:val="3F620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3630B"/>
    <w:multiLevelType w:val="hybridMultilevel"/>
    <w:tmpl w:val="7938D140"/>
    <w:lvl w:ilvl="0" w:tplc="0407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191D21F2"/>
    <w:multiLevelType w:val="hybridMultilevel"/>
    <w:tmpl w:val="C6763F02"/>
    <w:lvl w:ilvl="0" w:tplc="862498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AB13FE8"/>
    <w:multiLevelType w:val="hybridMultilevel"/>
    <w:tmpl w:val="41DA9F0A"/>
    <w:lvl w:ilvl="0" w:tplc="F344FD54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B70BA"/>
    <w:multiLevelType w:val="hybridMultilevel"/>
    <w:tmpl w:val="CEF426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40003"/>
    <w:multiLevelType w:val="hybridMultilevel"/>
    <w:tmpl w:val="5D4C8AC6"/>
    <w:lvl w:ilvl="0" w:tplc="FEB2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97807"/>
    <w:multiLevelType w:val="hybridMultilevel"/>
    <w:tmpl w:val="2E08340A"/>
    <w:lvl w:ilvl="0" w:tplc="4FDC0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1736D"/>
    <w:multiLevelType w:val="hybridMultilevel"/>
    <w:tmpl w:val="E51A9D1E"/>
    <w:lvl w:ilvl="0" w:tplc="64C09B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20DD5"/>
    <w:multiLevelType w:val="hybridMultilevel"/>
    <w:tmpl w:val="CC58F25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24B7F"/>
    <w:multiLevelType w:val="hybridMultilevel"/>
    <w:tmpl w:val="560C6CFA"/>
    <w:lvl w:ilvl="0" w:tplc="30E673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240B22"/>
    <w:multiLevelType w:val="hybridMultilevel"/>
    <w:tmpl w:val="F8DA87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F3A8880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1E6DF3"/>
    <w:multiLevelType w:val="hybridMultilevel"/>
    <w:tmpl w:val="CA70A68C"/>
    <w:lvl w:ilvl="0" w:tplc="0407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31D98"/>
    <w:multiLevelType w:val="hybridMultilevel"/>
    <w:tmpl w:val="091CE7F4"/>
    <w:lvl w:ilvl="0" w:tplc="64C09B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E375B"/>
    <w:multiLevelType w:val="hybridMultilevel"/>
    <w:tmpl w:val="B2AC0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095C62"/>
    <w:multiLevelType w:val="hybridMultilevel"/>
    <w:tmpl w:val="4EBA9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B1BBE"/>
    <w:multiLevelType w:val="hybridMultilevel"/>
    <w:tmpl w:val="D7FEAE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9303C"/>
    <w:multiLevelType w:val="hybridMultilevel"/>
    <w:tmpl w:val="45D0B53C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84567F"/>
    <w:multiLevelType w:val="hybridMultilevel"/>
    <w:tmpl w:val="321CD1B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682FB6"/>
    <w:multiLevelType w:val="hybridMultilevel"/>
    <w:tmpl w:val="06B47346"/>
    <w:lvl w:ilvl="0" w:tplc="64C09B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A17674"/>
    <w:multiLevelType w:val="hybridMultilevel"/>
    <w:tmpl w:val="461AE13E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0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79330D6"/>
    <w:multiLevelType w:val="hybridMultilevel"/>
    <w:tmpl w:val="8330395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5C75C1"/>
    <w:multiLevelType w:val="hybridMultilevel"/>
    <w:tmpl w:val="9842C96A"/>
    <w:lvl w:ilvl="0" w:tplc="EC7622FC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7DF72DA"/>
    <w:multiLevelType w:val="hybridMultilevel"/>
    <w:tmpl w:val="B04A8290"/>
    <w:lvl w:ilvl="0" w:tplc="64C09B26">
      <w:start w:val="1"/>
      <w:numFmt w:val="bullet"/>
      <w:lvlText w:val="o"/>
      <w:lvlJc w:val="left"/>
      <w:pPr>
        <w:ind w:left="100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30"/>
  </w:num>
  <w:num w:numId="5">
    <w:abstractNumId w:val="14"/>
  </w:num>
  <w:num w:numId="6">
    <w:abstractNumId w:val="34"/>
  </w:num>
  <w:num w:numId="7">
    <w:abstractNumId w:val="42"/>
  </w:num>
  <w:num w:numId="8">
    <w:abstractNumId w:val="23"/>
  </w:num>
  <w:num w:numId="9">
    <w:abstractNumId w:val="7"/>
  </w:num>
  <w:num w:numId="10">
    <w:abstractNumId w:val="48"/>
  </w:num>
  <w:num w:numId="11">
    <w:abstractNumId w:val="40"/>
  </w:num>
  <w:num w:numId="12">
    <w:abstractNumId w:val="26"/>
  </w:num>
  <w:num w:numId="13">
    <w:abstractNumId w:val="22"/>
  </w:num>
  <w:num w:numId="14">
    <w:abstractNumId w:val="36"/>
  </w:num>
  <w:num w:numId="15">
    <w:abstractNumId w:val="29"/>
  </w:num>
  <w:num w:numId="16">
    <w:abstractNumId w:val="1"/>
  </w:num>
  <w:num w:numId="17">
    <w:abstractNumId w:val="21"/>
  </w:num>
  <w:num w:numId="18">
    <w:abstractNumId w:val="45"/>
  </w:num>
  <w:num w:numId="19">
    <w:abstractNumId w:val="18"/>
  </w:num>
  <w:num w:numId="20">
    <w:abstractNumId w:val="43"/>
  </w:num>
  <w:num w:numId="21">
    <w:abstractNumId w:val="13"/>
  </w:num>
  <w:num w:numId="22">
    <w:abstractNumId w:val="15"/>
  </w:num>
  <w:num w:numId="23">
    <w:abstractNumId w:val="3"/>
  </w:num>
  <w:num w:numId="24">
    <w:abstractNumId w:val="37"/>
  </w:num>
  <w:num w:numId="25">
    <w:abstractNumId w:val="25"/>
  </w:num>
  <w:num w:numId="26">
    <w:abstractNumId w:val="2"/>
  </w:num>
  <w:num w:numId="27">
    <w:abstractNumId w:val="38"/>
  </w:num>
  <w:num w:numId="28">
    <w:abstractNumId w:val="46"/>
  </w:num>
  <w:num w:numId="29">
    <w:abstractNumId w:val="32"/>
  </w:num>
  <w:num w:numId="30">
    <w:abstractNumId w:val="12"/>
  </w:num>
  <w:num w:numId="31">
    <w:abstractNumId w:val="39"/>
  </w:num>
  <w:num w:numId="32">
    <w:abstractNumId w:val="17"/>
  </w:num>
  <w:num w:numId="33">
    <w:abstractNumId w:val="28"/>
  </w:num>
  <w:num w:numId="34">
    <w:abstractNumId w:val="41"/>
  </w:num>
  <w:num w:numId="35">
    <w:abstractNumId w:val="31"/>
  </w:num>
  <w:num w:numId="36">
    <w:abstractNumId w:val="4"/>
  </w:num>
  <w:num w:numId="37">
    <w:abstractNumId w:val="44"/>
  </w:num>
  <w:num w:numId="38">
    <w:abstractNumId w:val="24"/>
  </w:num>
  <w:num w:numId="39">
    <w:abstractNumId w:val="8"/>
  </w:num>
  <w:num w:numId="40">
    <w:abstractNumId w:val="10"/>
  </w:num>
  <w:num w:numId="41">
    <w:abstractNumId w:val="16"/>
  </w:num>
  <w:num w:numId="42">
    <w:abstractNumId w:val="0"/>
  </w:num>
  <w:num w:numId="43">
    <w:abstractNumId w:val="19"/>
  </w:num>
  <w:num w:numId="44">
    <w:abstractNumId w:val="9"/>
  </w:num>
  <w:num w:numId="45">
    <w:abstractNumId w:val="35"/>
  </w:num>
  <w:num w:numId="46">
    <w:abstractNumId w:val="33"/>
  </w:num>
  <w:num w:numId="47">
    <w:abstractNumId w:val="47"/>
  </w:num>
  <w:num w:numId="48">
    <w:abstractNumId w:val="27"/>
  </w:num>
  <w:num w:numId="4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0-12-02_Lage_AG\COVID-19_Internationale_Lage_2020-12-02.pptx" TargetMode="External"/><Relationship Id="rId13" Type="http://schemas.openxmlformats.org/officeDocument/2006/relationships/hyperlink" Target="file:///\\rki.local\daten\Wissdaten\RKI_nCoV-Lage\1.Lagemanagement\1.3.Besprechungen_TKs\1.Lage_AG\2020-12-02_Lage_AG\F&#252;r%20Lagebericht%2002.12.2020_SB_JS_edit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0-12-02_Lage_AG\Testzahlerfassung%20am%20RKI_2020-12-02.ppt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0-12-02_Lage_AG\SARS-CoV-2%20in%20ARS_20201202_Krisenstabssitzung.ppt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rki.local\daten\Wissdaten\RKI_nCoV-Lage\1.Lagemanagement\1.3.Besprechungen_TKs\1.Lage_AG\2020-12-02_Lage_AG\Elternschreiben%20nach%20MPK-Kanzlerin-2.pdf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file:///\\rki.local\daten\Wissdaten\RKI_nCoV-Lage\1.Lagemanagement\1.3.Besprechungen_TKs\1.Lage_AG\2020-12-02_Lage_AG\syndrom-ARE-SARI-COVID_bis_KW48_2020_f&#252;r-Krisenstab.ppt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rki.local\daten\Wissdaten\RKI_nCoV-Lage\1.Lagemanagement\1.3.Besprechungen_TKs\1.Lage_AG\2020-12-02_Lage_AG\Lage-National_2020_12_02.pptx" TargetMode="External"/><Relationship Id="rId14" Type="http://schemas.openxmlformats.org/officeDocument/2006/relationships/hyperlink" Target="file:///\\rki.local\daten\Wissdaten\RKI_nCoV-Lage\1.Lagemanagement\1.3.Besprechungen_TKs\1.Lage_AG\2020-12-02_Lage_AG\Lage-National_2020_12_02.ppt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6A477-1082-41E5-9FFF-025F0E35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1560</Words>
  <Characters>9834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15</cp:revision>
  <cp:lastPrinted>2020-12-02T15:14:00Z</cp:lastPrinted>
  <dcterms:created xsi:type="dcterms:W3CDTF">2020-12-02T15:24:00Z</dcterms:created>
  <dcterms:modified xsi:type="dcterms:W3CDTF">2021-05-10T14:30:00Z</dcterms:modified>
</cp:coreProperties>
</file>