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23.12.2020,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rPr>
          <w:b/>
          <w:vanish/>
          <w:sz w:val="22"/>
        </w:rPr>
      </w:pPr>
    </w:p>
    <w:p>
      <w:pPr>
        <w:spacing w:after="0"/>
        <w:rPr>
          <w:b/>
          <w:sz w:val="22"/>
        </w:rPr>
      </w:pPr>
      <w:r>
        <w:rPr>
          <w:b/>
          <w:sz w:val="22"/>
        </w:rPr>
        <w:t xml:space="preserve">Teilnehmende: </w:t>
      </w:r>
    </w:p>
    <w:p>
      <w:pPr>
        <w:pStyle w:val="Listenabsatz"/>
        <w:numPr>
          <w:ilvl w:val="0"/>
          <w:numId w:val="2"/>
        </w:numPr>
        <w:spacing w:after="0" w:line="233" w:lineRule="auto"/>
        <w:ind w:hanging="357"/>
        <w:contextualSpacing w:val="0"/>
        <w:rPr>
          <w:sz w:val="22"/>
          <w:szCs w:val="22"/>
        </w:rPr>
      </w:pPr>
      <w:r>
        <w:rPr>
          <w:sz w:val="22"/>
          <w:szCs w:val="22"/>
        </w:rPr>
        <w:t>Institutsleitung</w:t>
      </w:r>
    </w:p>
    <w:p>
      <w:pPr>
        <w:pStyle w:val="Listenabsatz"/>
        <w:numPr>
          <w:ilvl w:val="1"/>
          <w:numId w:val="2"/>
        </w:numPr>
        <w:spacing w:after="0" w:line="233" w:lineRule="auto"/>
        <w:contextualSpacing w:val="0"/>
        <w:rPr>
          <w:sz w:val="22"/>
          <w:szCs w:val="22"/>
        </w:rPr>
      </w:pPr>
      <w:r>
        <w:rPr>
          <w:sz w:val="22"/>
          <w:szCs w:val="22"/>
        </w:rPr>
        <w:t>Lothar Wieler</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2"/>
        </w:numPr>
        <w:spacing w:after="0"/>
        <w:contextualSpacing w:val="0"/>
        <w:rPr>
          <w:sz w:val="22"/>
          <w:szCs w:val="22"/>
        </w:rPr>
      </w:pPr>
      <w:r>
        <w:rPr>
          <w:sz w:val="22"/>
          <w:szCs w:val="22"/>
        </w:rPr>
        <w:t>FG25</w:t>
      </w:r>
    </w:p>
    <w:p>
      <w:pPr>
        <w:pStyle w:val="Listenabsatz"/>
        <w:numPr>
          <w:ilvl w:val="1"/>
          <w:numId w:val="2"/>
        </w:numPr>
        <w:spacing w:after="0"/>
        <w:contextualSpacing w:val="0"/>
        <w:rPr>
          <w:sz w:val="22"/>
          <w:szCs w:val="22"/>
        </w:rPr>
      </w:pPr>
      <w:r>
        <w:rPr>
          <w:sz w:val="22"/>
          <w:szCs w:val="22"/>
        </w:rPr>
        <w:t>Christa Scheidt-Nave (Vertretung f. Thomas Ziese, FG24)</w:t>
      </w:r>
    </w:p>
    <w:p>
      <w:pPr>
        <w:pStyle w:val="Listenabsatz"/>
        <w:numPr>
          <w:ilvl w:val="0"/>
          <w:numId w:val="2"/>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sz w:val="22"/>
          <w:szCs w:val="22"/>
        </w:rPr>
      </w:pPr>
      <w:r>
        <w:rPr>
          <w:sz w:val="22"/>
          <w:szCs w:val="22"/>
        </w:rPr>
        <w:t>Dirk Brockmann</w:t>
      </w:r>
    </w:p>
    <w:p>
      <w:pPr>
        <w:pStyle w:val="Listenabsatz"/>
        <w:numPr>
          <w:ilvl w:val="1"/>
          <w:numId w:val="3"/>
        </w:numPr>
        <w:spacing w:after="0"/>
        <w:contextualSpacing w:val="0"/>
        <w:rPr>
          <w:sz w:val="22"/>
          <w:szCs w:val="22"/>
        </w:rPr>
      </w:pPr>
      <w:r>
        <w:rPr>
          <w:sz w:val="22"/>
          <w:szCs w:val="22"/>
        </w:rPr>
        <w:t>Benjamin Maier</w:t>
      </w:r>
    </w:p>
    <w:p>
      <w:pPr>
        <w:pStyle w:val="Listenabsatz"/>
        <w:numPr>
          <w:ilvl w:val="1"/>
          <w:numId w:val="3"/>
        </w:numPr>
        <w:spacing w:after="0"/>
        <w:contextualSpacing w:val="0"/>
        <w:rPr>
          <w:sz w:val="22"/>
          <w:szCs w:val="22"/>
        </w:rPr>
      </w:pPr>
      <w:r>
        <w:rPr>
          <w:sz w:val="22"/>
          <w:szCs w:val="22"/>
        </w:rPr>
        <w:t>Susanne Gottwald</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 xml:space="preserve">Eugenia </w:t>
      </w:r>
      <w:proofErr w:type="spellStart"/>
      <w:r>
        <w:rPr>
          <w:sz w:val="22"/>
          <w:szCs w:val="22"/>
        </w:rPr>
        <w:t>Romo</w:t>
      </w:r>
      <w:proofErr w:type="spellEnd"/>
      <w:r>
        <w:rPr>
          <w:sz w:val="22"/>
          <w:szCs w:val="22"/>
        </w:rPr>
        <w:t xml:space="preserve"> Ventura</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 xml:space="preserve">Heidrun </w:t>
      </w:r>
      <w:proofErr w:type="spellStart"/>
      <w:r>
        <w:rPr>
          <w:sz w:val="22"/>
          <w:szCs w:val="22"/>
        </w:rPr>
        <w:t>Thaiss</w:t>
      </w:r>
      <w:proofErr w:type="spellEnd"/>
    </w:p>
    <w:p>
      <w:pPr>
        <w:pStyle w:val="Listenabsatz"/>
        <w:numPr>
          <w:ilvl w:val="0"/>
          <w:numId w:val="2"/>
        </w:numPr>
        <w:spacing w:after="0"/>
        <w:contextualSpacing w:val="0"/>
        <w:rPr>
          <w:sz w:val="22"/>
          <w:szCs w:val="22"/>
        </w:rPr>
      </w:pPr>
      <w:r>
        <w:rPr>
          <w:sz w:val="22"/>
          <w:szCs w:val="22"/>
        </w:rPr>
        <w:t>MF3</w:t>
      </w:r>
    </w:p>
    <w:p>
      <w:pPr>
        <w:pStyle w:val="Listenabsatz"/>
        <w:numPr>
          <w:ilvl w:val="1"/>
          <w:numId w:val="2"/>
        </w:numPr>
        <w:spacing w:after="0"/>
        <w:contextualSpacing w:val="0"/>
        <w:rPr>
          <w:sz w:val="22"/>
          <w:szCs w:val="22"/>
        </w:rPr>
      </w:pPr>
      <w:r>
        <w:rPr>
          <w:sz w:val="22"/>
          <w:szCs w:val="22"/>
        </w:rPr>
        <w:lastRenderedPageBreak/>
        <w:t>Nancy Erickson (Protokoll)</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International (nur freitags)</w:t>
            </w:r>
          </w:p>
          <w:p>
            <w:pPr>
              <w:pStyle w:val="Listenabsatz"/>
              <w:numPr>
                <w:ilvl w:val="0"/>
                <w:numId w:val="29"/>
              </w:numPr>
              <w:ind w:left="475"/>
              <w:rPr>
                <w:sz w:val="22"/>
                <w:szCs w:val="22"/>
              </w:rPr>
            </w:pPr>
            <w:r>
              <w:rPr>
                <w:sz w:val="22"/>
                <w:szCs w:val="22"/>
              </w:rPr>
              <w:t xml:space="preserve">Internationale Lage (Folien </w:t>
            </w:r>
            <w:hyperlink r:id="rId8" w:history="1">
              <w:r>
                <w:rPr>
                  <w:rStyle w:val="Hyperlink"/>
                  <w:sz w:val="22"/>
                  <w:szCs w:val="22"/>
                </w:rPr>
                <w:t>hier</w:t>
              </w:r>
            </w:hyperlink>
            <w:r>
              <w:rPr>
                <w:sz w:val="22"/>
                <w:szCs w:val="22"/>
              </w:rPr>
              <w:t>)</w:t>
            </w:r>
          </w:p>
          <w:p>
            <w:pPr>
              <w:pStyle w:val="Listenabsatz"/>
              <w:numPr>
                <w:ilvl w:val="0"/>
                <w:numId w:val="38"/>
              </w:numPr>
              <w:rPr>
                <w:sz w:val="22"/>
                <w:szCs w:val="22"/>
              </w:rPr>
            </w:pPr>
            <w:r>
              <w:rPr>
                <w:sz w:val="22"/>
                <w:szCs w:val="22"/>
              </w:rPr>
              <w:t>Fälle, Ausbreitung (korrigierte Werte v. 18.12.)</w:t>
            </w:r>
          </w:p>
          <w:p>
            <w:pPr>
              <w:pStyle w:val="Listenabsatz"/>
              <w:numPr>
                <w:ilvl w:val="0"/>
                <w:numId w:val="38"/>
              </w:numPr>
              <w:rPr>
                <w:sz w:val="22"/>
                <w:szCs w:val="22"/>
              </w:rPr>
            </w:pPr>
            <w:r>
              <w:rPr>
                <w:sz w:val="22"/>
                <w:szCs w:val="22"/>
              </w:rPr>
              <w:t xml:space="preserve">76.250.431 Fälle </w:t>
            </w:r>
          </w:p>
          <w:p>
            <w:pPr>
              <w:pStyle w:val="Listenabsatz"/>
              <w:numPr>
                <w:ilvl w:val="0"/>
                <w:numId w:val="38"/>
              </w:numPr>
              <w:rPr>
                <w:sz w:val="22"/>
                <w:szCs w:val="22"/>
              </w:rPr>
            </w:pPr>
            <w:r>
              <w:rPr>
                <w:sz w:val="22"/>
                <w:szCs w:val="22"/>
              </w:rPr>
              <w:t>1.699.230 Todesfälle (2,3 %)</w:t>
            </w:r>
          </w:p>
          <w:p>
            <w:pPr>
              <w:pStyle w:val="Listenabsatz"/>
              <w:numPr>
                <w:ilvl w:val="0"/>
                <w:numId w:val="38"/>
              </w:numPr>
              <w:rPr>
                <w:sz w:val="22"/>
                <w:szCs w:val="22"/>
              </w:rPr>
            </w:pPr>
            <w:r>
              <w:rPr>
                <w:sz w:val="22"/>
                <w:szCs w:val="22"/>
              </w:rPr>
              <w:t>Top 10 Länder nach Anzahl neuer Fälle in den letzten 7 Tagen: USA, Brasilien, Großbritannien, Russland, Deutschland, Türkei, Indien, Italien, Frankreich, Kolumbien</w:t>
            </w:r>
          </w:p>
          <w:p>
            <w:pPr>
              <w:pStyle w:val="Listenabsatz"/>
              <w:numPr>
                <w:ilvl w:val="0"/>
                <w:numId w:val="38"/>
              </w:numPr>
              <w:rPr>
                <w:b/>
                <w:sz w:val="22"/>
                <w:szCs w:val="22"/>
              </w:rPr>
            </w:pPr>
            <w:r>
              <w:rPr>
                <w:b/>
                <w:sz w:val="22"/>
                <w:szCs w:val="22"/>
              </w:rPr>
              <w:t xml:space="preserve">WHO </w:t>
            </w:r>
            <w:proofErr w:type="spellStart"/>
            <w:r>
              <w:rPr>
                <w:b/>
                <w:sz w:val="22"/>
                <w:szCs w:val="22"/>
              </w:rPr>
              <w:t>Epidemiological</w:t>
            </w:r>
            <w:proofErr w:type="spellEnd"/>
            <w:r>
              <w:rPr>
                <w:b/>
                <w:sz w:val="22"/>
                <w:szCs w:val="22"/>
              </w:rPr>
              <w:t xml:space="preserve"> Update</w:t>
            </w:r>
          </w:p>
          <w:p>
            <w:pPr>
              <w:pStyle w:val="Listenabsatz"/>
              <w:numPr>
                <w:ilvl w:val="0"/>
                <w:numId w:val="37"/>
              </w:numPr>
              <w:rPr>
                <w:sz w:val="22"/>
                <w:szCs w:val="22"/>
              </w:rPr>
            </w:pPr>
            <w:r>
              <w:rPr>
                <w:sz w:val="22"/>
                <w:szCs w:val="22"/>
              </w:rPr>
              <w:t xml:space="preserve">Neue COVID-19-Fälle und Todesfälle stiegen in </w:t>
            </w:r>
            <w:proofErr w:type="spellStart"/>
            <w:r>
              <w:rPr>
                <w:sz w:val="22"/>
                <w:szCs w:val="22"/>
              </w:rPr>
              <w:t>vergan-gener</w:t>
            </w:r>
            <w:proofErr w:type="spellEnd"/>
            <w:r>
              <w:rPr>
                <w:sz w:val="22"/>
                <w:szCs w:val="22"/>
              </w:rPr>
              <w:t xml:space="preserve"> Woche weiter an (6 % bzw. 4 %) </w:t>
            </w:r>
          </w:p>
          <w:p>
            <w:pPr>
              <w:pStyle w:val="Listenabsatz"/>
              <w:numPr>
                <w:ilvl w:val="0"/>
                <w:numId w:val="37"/>
              </w:numPr>
              <w:rPr>
                <w:sz w:val="22"/>
                <w:szCs w:val="22"/>
              </w:rPr>
            </w:pPr>
            <w:r>
              <w:rPr>
                <w:b/>
                <w:sz w:val="22"/>
                <w:szCs w:val="22"/>
              </w:rPr>
              <w:t>Region Amerika</w:t>
            </w:r>
            <w:r>
              <w:rPr>
                <w:sz w:val="22"/>
                <w:szCs w:val="22"/>
              </w:rPr>
              <w:t>: erneut größter Anteil neuer COVID-19-Fälle: &gt; 2,3 Mio. neue Fälle (Anstieg von 13 % im Vgl. zur Vorwoche, 50 % weltweiter Fälle) sowie &gt; 32.000 Todes-fälle (Anstieg von 9 % im Vgl. zur Vorwoche, Fortsetzung des raschen Anstiegs der Todesfälle seit November)</w:t>
            </w:r>
          </w:p>
          <w:p>
            <w:pPr>
              <w:pStyle w:val="Listenabsatz"/>
              <w:numPr>
                <w:ilvl w:val="1"/>
                <w:numId w:val="41"/>
              </w:numPr>
              <w:rPr>
                <w:sz w:val="22"/>
                <w:szCs w:val="22"/>
              </w:rPr>
            </w:pPr>
            <w:r>
              <w:rPr>
                <w:sz w:val="22"/>
                <w:szCs w:val="22"/>
              </w:rPr>
              <w:t xml:space="preserve">USA weiterhin steigende Anzahl neuer Fälle (&gt; 1,65 Mio. neuer Fälle; &gt; 5.000 neue Fälle pro 1 Mio. </w:t>
            </w:r>
            <w:proofErr w:type="spellStart"/>
            <w:r>
              <w:rPr>
                <w:sz w:val="22"/>
                <w:szCs w:val="22"/>
              </w:rPr>
              <w:t>Einw</w:t>
            </w:r>
            <w:proofErr w:type="spellEnd"/>
            <w:r>
              <w:rPr>
                <w:sz w:val="22"/>
                <w:szCs w:val="22"/>
              </w:rPr>
              <w:t>. = höchste Inzidenz in der Region)</w:t>
            </w:r>
          </w:p>
          <w:p>
            <w:pPr>
              <w:pStyle w:val="Listenabsatz"/>
              <w:numPr>
                <w:ilvl w:val="1"/>
                <w:numId w:val="41"/>
              </w:numPr>
              <w:rPr>
                <w:sz w:val="22"/>
                <w:szCs w:val="22"/>
              </w:rPr>
            </w:pPr>
            <w:r>
              <w:rPr>
                <w:sz w:val="22"/>
                <w:szCs w:val="22"/>
              </w:rPr>
              <w:t xml:space="preserve">Fünf Länder mit höchster Anzahl neuer Fälle: USA, Brasilien, Kolumbien, Mexiko, Kanada </w:t>
            </w:r>
          </w:p>
          <w:p>
            <w:pPr>
              <w:pStyle w:val="Listenabsatz"/>
              <w:numPr>
                <w:ilvl w:val="1"/>
                <w:numId w:val="41"/>
              </w:numPr>
              <w:rPr>
                <w:sz w:val="22"/>
                <w:szCs w:val="22"/>
              </w:rPr>
            </w:pPr>
            <w:r>
              <w:rPr>
                <w:sz w:val="22"/>
                <w:szCs w:val="22"/>
              </w:rPr>
              <w:t xml:space="preserve">Fünf Länder mit höchster Anzahl an Todesfällen pro 1 Mio. </w:t>
            </w:r>
            <w:proofErr w:type="spellStart"/>
            <w:r>
              <w:rPr>
                <w:sz w:val="22"/>
                <w:szCs w:val="22"/>
              </w:rPr>
              <w:t>Einw</w:t>
            </w:r>
            <w:proofErr w:type="spellEnd"/>
            <w:r>
              <w:rPr>
                <w:sz w:val="22"/>
                <w:szCs w:val="22"/>
              </w:rPr>
              <w:t>.:  Belize (75), USA (54), Panama (45), Mexiko (33), Kolumbien (27)</w:t>
            </w:r>
          </w:p>
          <w:p>
            <w:pPr>
              <w:pStyle w:val="Listenabsatz"/>
              <w:numPr>
                <w:ilvl w:val="0"/>
                <w:numId w:val="37"/>
              </w:numPr>
              <w:rPr>
                <w:sz w:val="22"/>
                <w:szCs w:val="22"/>
              </w:rPr>
            </w:pPr>
            <w:r>
              <w:rPr>
                <w:b/>
                <w:sz w:val="22"/>
                <w:szCs w:val="22"/>
              </w:rPr>
              <w:t>Region Europa</w:t>
            </w:r>
            <w:r>
              <w:rPr>
                <w:sz w:val="22"/>
                <w:szCs w:val="22"/>
              </w:rPr>
              <w:t xml:space="preserve">: größte Anzahl neuer Todesfälle (36.286; 46 %), Anstieg neuer Fälle (2 %) und Todesfälle (3 %) ähnlich der Vorwoche </w:t>
            </w:r>
          </w:p>
          <w:p>
            <w:pPr>
              <w:pStyle w:val="Listenabsatz"/>
              <w:numPr>
                <w:ilvl w:val="1"/>
                <w:numId w:val="42"/>
              </w:numPr>
              <w:rPr>
                <w:sz w:val="22"/>
                <w:szCs w:val="22"/>
              </w:rPr>
            </w:pPr>
            <w:r>
              <w:rPr>
                <w:sz w:val="22"/>
                <w:szCs w:val="22"/>
              </w:rPr>
              <w:t xml:space="preserve">Höchste Zahlen neuer Fälle (= ca. 33 % aller in Europa gemeldeter Fälle): Türkei, Russland, Deutschland </w:t>
            </w:r>
          </w:p>
          <w:p>
            <w:pPr>
              <w:pStyle w:val="Listenabsatz"/>
              <w:numPr>
                <w:ilvl w:val="1"/>
                <w:numId w:val="42"/>
              </w:numPr>
              <w:rPr>
                <w:sz w:val="22"/>
                <w:szCs w:val="22"/>
              </w:rPr>
            </w:pPr>
            <w:r>
              <w:rPr>
                <w:sz w:val="22"/>
                <w:szCs w:val="22"/>
              </w:rPr>
              <w:t>Höchste Zahlen neuer Todesfälle: Italien, Deutsch-land, Russland</w:t>
            </w:r>
          </w:p>
          <w:p>
            <w:pPr>
              <w:pStyle w:val="Listenabsatz"/>
              <w:numPr>
                <w:ilvl w:val="1"/>
                <w:numId w:val="42"/>
              </w:numPr>
              <w:rPr>
                <w:sz w:val="22"/>
                <w:szCs w:val="22"/>
              </w:rPr>
            </w:pPr>
            <w:r>
              <w:rPr>
                <w:sz w:val="22"/>
                <w:szCs w:val="22"/>
              </w:rPr>
              <w:t xml:space="preserve">Estland: vergangene Woche Anstieg neu </w:t>
            </w:r>
            <w:proofErr w:type="spellStart"/>
            <w:r>
              <w:rPr>
                <w:sz w:val="22"/>
                <w:szCs w:val="22"/>
              </w:rPr>
              <w:t>gemelde-ter</w:t>
            </w:r>
            <w:proofErr w:type="spellEnd"/>
            <w:r>
              <w:rPr>
                <w:sz w:val="22"/>
                <w:szCs w:val="22"/>
              </w:rPr>
              <w:t xml:space="preserve"> Fälle um 27 % und neuer Todesfälle um 18 % (Anstieg 9. Woche in Folge) </w:t>
            </w:r>
            <w:r>
              <w:rPr>
                <w:sz w:val="22"/>
                <w:szCs w:val="22"/>
              </w:rPr>
              <w:sym w:font="Wingdings" w:char="F0E0"/>
            </w:r>
            <w:r>
              <w:rPr>
                <w:sz w:val="22"/>
                <w:szCs w:val="22"/>
              </w:rPr>
              <w:t xml:space="preserve"> Verschärfung der öffentlichen Gesundheits- und Sozialmaßnahmen am 14.12.2020; Todesfallrate weiterhin niedrig (0,8 %), </w:t>
            </w:r>
            <w:proofErr w:type="spellStart"/>
            <w:r>
              <w:rPr>
                <w:sz w:val="22"/>
                <w:szCs w:val="22"/>
              </w:rPr>
              <w:t>Testpositivitätsrate</w:t>
            </w:r>
            <w:proofErr w:type="spellEnd"/>
            <w:r>
              <w:rPr>
                <w:sz w:val="22"/>
                <w:szCs w:val="22"/>
              </w:rPr>
              <w:t xml:space="preserve"> relativ hoch (11 %) </w:t>
            </w:r>
          </w:p>
          <w:p>
            <w:pPr>
              <w:pStyle w:val="Listenabsatz"/>
              <w:numPr>
                <w:ilvl w:val="1"/>
                <w:numId w:val="42"/>
              </w:numPr>
              <w:rPr>
                <w:sz w:val="22"/>
                <w:szCs w:val="22"/>
              </w:rPr>
            </w:pPr>
            <w:r>
              <w:rPr>
                <w:sz w:val="22"/>
                <w:szCs w:val="22"/>
              </w:rPr>
              <w:t>Portugal: Zahl der (Todes)Fälle in der vergangenen Woche relativ stabil (nach drei Wochen Rückgang), Zahl der neu gemeldeten Todesfälle die höchste seit Beginn der Pandemie</w:t>
            </w:r>
          </w:p>
          <w:p>
            <w:pPr>
              <w:pStyle w:val="Listenabsatz"/>
              <w:numPr>
                <w:ilvl w:val="1"/>
                <w:numId w:val="42"/>
              </w:numPr>
              <w:rPr>
                <w:sz w:val="22"/>
                <w:szCs w:val="22"/>
              </w:rPr>
            </w:pPr>
            <w:r>
              <w:rPr>
                <w:sz w:val="22"/>
                <w:szCs w:val="22"/>
              </w:rPr>
              <w:t>Spanien: Rückgang 7. Woche in Folge, derzeit leicht (2 %), Todesfälle deutlich stärkerer Rückgang (-44 %), ca. 20 % der ITS-Betten mit COVID-19-Patienten belegt</w:t>
            </w:r>
          </w:p>
          <w:p>
            <w:pPr>
              <w:pStyle w:val="Listenabsatz"/>
              <w:numPr>
                <w:ilvl w:val="0"/>
                <w:numId w:val="40"/>
              </w:numPr>
              <w:rPr>
                <w:sz w:val="22"/>
                <w:szCs w:val="22"/>
              </w:rPr>
            </w:pPr>
            <w:r>
              <w:rPr>
                <w:b/>
                <w:sz w:val="22"/>
                <w:szCs w:val="22"/>
              </w:rPr>
              <w:t>Region Afrika</w:t>
            </w:r>
            <w:r>
              <w:rPr>
                <w:sz w:val="22"/>
                <w:szCs w:val="22"/>
              </w:rPr>
              <w:t xml:space="preserve">: größter relativer Anstieg an neuen Fällen (27 %) und Todesfällen (34 %) im Vgl. zur Vorwoche </w:t>
            </w:r>
            <w:r>
              <w:rPr>
                <w:sz w:val="22"/>
                <w:szCs w:val="22"/>
              </w:rPr>
              <w:lastRenderedPageBreak/>
              <w:t>(meiste Fälle: Südafrika, Nigeria, Äthiopien, Kenia, Uganda, Algerien)</w:t>
            </w:r>
          </w:p>
          <w:p>
            <w:pPr>
              <w:pStyle w:val="Listenabsatz"/>
              <w:numPr>
                <w:ilvl w:val="0"/>
                <w:numId w:val="40"/>
              </w:numPr>
              <w:rPr>
                <w:sz w:val="22"/>
                <w:szCs w:val="22"/>
              </w:rPr>
            </w:pPr>
            <w:r>
              <w:rPr>
                <w:b/>
                <w:bCs/>
                <w:sz w:val="22"/>
                <w:szCs w:val="22"/>
              </w:rPr>
              <w:t>Westpazifische Region</w:t>
            </w:r>
            <w:r>
              <w:rPr>
                <w:bCs/>
                <w:sz w:val="22"/>
                <w:szCs w:val="22"/>
              </w:rPr>
              <w:t>:</w:t>
            </w:r>
            <w:r>
              <w:rPr>
                <w:sz w:val="22"/>
                <w:szCs w:val="22"/>
              </w:rPr>
              <w:t xml:space="preserve"> steigende Trends, Zahl der </w:t>
            </w:r>
            <w:proofErr w:type="spellStart"/>
            <w:r>
              <w:rPr>
                <w:sz w:val="22"/>
                <w:szCs w:val="22"/>
              </w:rPr>
              <w:t>ge</w:t>
            </w:r>
            <w:proofErr w:type="spellEnd"/>
            <w:r>
              <w:rPr>
                <w:sz w:val="22"/>
                <w:szCs w:val="22"/>
              </w:rPr>
              <w:t xml:space="preserve">-meldeten Neuerkrankungen und Todesfälle in letzten 7 Wochen kontinuierlich angestiegen, die meisten neuen Fälle und Todesfälle: Japan, Malaysia, Philippinen, </w:t>
            </w:r>
            <w:proofErr w:type="spellStart"/>
            <w:r>
              <w:rPr>
                <w:sz w:val="22"/>
                <w:szCs w:val="22"/>
              </w:rPr>
              <w:t>Repub</w:t>
            </w:r>
            <w:proofErr w:type="spellEnd"/>
            <w:r>
              <w:rPr>
                <w:sz w:val="22"/>
                <w:szCs w:val="22"/>
              </w:rPr>
              <w:t>-lik Korea</w:t>
            </w:r>
          </w:p>
          <w:p>
            <w:pPr>
              <w:pStyle w:val="Listenabsatz"/>
              <w:numPr>
                <w:ilvl w:val="0"/>
                <w:numId w:val="40"/>
              </w:numPr>
              <w:rPr>
                <w:sz w:val="22"/>
                <w:szCs w:val="22"/>
              </w:rPr>
            </w:pPr>
            <w:r>
              <w:rPr>
                <w:b/>
                <w:bCs/>
                <w:sz w:val="22"/>
                <w:szCs w:val="22"/>
              </w:rPr>
              <w:t>Region Südostasien</w:t>
            </w:r>
            <w:r>
              <w:rPr>
                <w:bCs/>
                <w:sz w:val="22"/>
                <w:szCs w:val="22"/>
              </w:rPr>
              <w:t>:</w:t>
            </w:r>
            <w:r>
              <w:rPr>
                <w:b/>
                <w:bCs/>
                <w:sz w:val="22"/>
                <w:szCs w:val="22"/>
              </w:rPr>
              <w:t xml:space="preserve"> </w:t>
            </w:r>
            <w:r>
              <w:rPr>
                <w:sz w:val="22"/>
                <w:szCs w:val="22"/>
              </w:rPr>
              <w:t>Rückgang neuer Fälle um 14 % bzw. Todesfälle um 10 %, höchste Zahlen: Indien, Indonesien, Bangladesch, Myanmar, Nepal</w:t>
            </w:r>
          </w:p>
          <w:p>
            <w:pPr>
              <w:pStyle w:val="Listenabsatz"/>
              <w:numPr>
                <w:ilvl w:val="0"/>
                <w:numId w:val="40"/>
              </w:numPr>
              <w:rPr>
                <w:sz w:val="22"/>
                <w:szCs w:val="22"/>
              </w:rPr>
            </w:pPr>
            <w:r>
              <w:rPr>
                <w:b/>
                <w:bCs/>
                <w:sz w:val="22"/>
                <w:szCs w:val="22"/>
              </w:rPr>
              <w:t>Östliche Mittelmeerregion</w:t>
            </w:r>
            <w:r>
              <w:rPr>
                <w:bCs/>
                <w:sz w:val="22"/>
                <w:szCs w:val="22"/>
              </w:rPr>
              <w:t>:</w:t>
            </w:r>
            <w:r>
              <w:rPr>
                <w:sz w:val="22"/>
                <w:szCs w:val="22"/>
              </w:rPr>
              <w:t xml:space="preserve"> Zahl der (Todes)Fälle 4. Woche in Folge zurückgegangen; höchste Zahlen: Iran, Pakistan, Marokko</w:t>
            </w:r>
          </w:p>
          <w:p>
            <w:pPr>
              <w:pStyle w:val="Listenabsatz"/>
              <w:numPr>
                <w:ilvl w:val="1"/>
                <w:numId w:val="29"/>
              </w:numPr>
              <w:ind w:left="900"/>
              <w:rPr>
                <w:sz w:val="22"/>
                <w:szCs w:val="22"/>
              </w:rPr>
            </w:pPr>
            <w:r>
              <w:rPr>
                <w:sz w:val="22"/>
                <w:szCs w:val="22"/>
              </w:rPr>
              <w:t>Neue Variante des SARS-CoV-2 in der Republik Südafrika (Variante 501.2 V2)</w:t>
            </w:r>
          </w:p>
          <w:p>
            <w:pPr>
              <w:pStyle w:val="Listenabsatz"/>
              <w:numPr>
                <w:ilvl w:val="1"/>
                <w:numId w:val="39"/>
              </w:numPr>
              <w:rPr>
                <w:sz w:val="22"/>
                <w:szCs w:val="22"/>
              </w:rPr>
            </w:pPr>
            <w:r>
              <w:rPr>
                <w:sz w:val="22"/>
                <w:szCs w:val="22"/>
              </w:rPr>
              <w:t>Genetische Veränderungen in Teilen vergleichbar – jedoch nicht identisch – mit denen der Variante VUI202012/01 der UK</w:t>
            </w:r>
          </w:p>
          <w:p>
            <w:pPr>
              <w:pStyle w:val="Listenabsatz"/>
              <w:numPr>
                <w:ilvl w:val="1"/>
                <w:numId w:val="39"/>
              </w:numPr>
              <w:rPr>
                <w:sz w:val="22"/>
                <w:szCs w:val="22"/>
              </w:rPr>
            </w:pPr>
            <w:r>
              <w:rPr>
                <w:sz w:val="22"/>
                <w:szCs w:val="22"/>
              </w:rPr>
              <w:t xml:space="preserve">Neue Variante in der Provinz </w:t>
            </w:r>
            <w:proofErr w:type="spellStart"/>
            <w:r>
              <w:rPr>
                <w:sz w:val="22"/>
                <w:szCs w:val="22"/>
              </w:rPr>
              <w:t>Ostkap</w:t>
            </w:r>
            <w:proofErr w:type="spellEnd"/>
            <w:r>
              <w:rPr>
                <w:sz w:val="22"/>
                <w:szCs w:val="22"/>
              </w:rPr>
              <w:t xml:space="preserve"> zuerst entdeckt, rasche Ausbreitung im ganzen Land, zeitgleich </w:t>
            </w:r>
            <w:proofErr w:type="spellStart"/>
            <w:r>
              <w:rPr>
                <w:sz w:val="22"/>
                <w:szCs w:val="22"/>
              </w:rPr>
              <w:t>deut-licher</w:t>
            </w:r>
            <w:proofErr w:type="spellEnd"/>
            <w:r>
              <w:rPr>
                <w:sz w:val="22"/>
                <w:szCs w:val="22"/>
              </w:rPr>
              <w:t xml:space="preserve"> Anstieg der Fallzahlen (vergangene Woche erst-mals seit Anfang August 2020 &gt; 10.000 gemeldete Infektionen pro Tag, Tendenz exponentiell und stark steigend)</w:t>
            </w:r>
          </w:p>
          <w:p>
            <w:pPr>
              <w:pStyle w:val="Listenabsatz"/>
              <w:numPr>
                <w:ilvl w:val="1"/>
                <w:numId w:val="39"/>
              </w:numPr>
              <w:rPr>
                <w:sz w:val="22"/>
                <w:szCs w:val="22"/>
              </w:rPr>
            </w:pPr>
            <w:r>
              <w:rPr>
                <w:sz w:val="22"/>
                <w:szCs w:val="22"/>
              </w:rPr>
              <w:t xml:space="preserve">Unklar – wie auch bei UK-Variante – ob </w:t>
            </w:r>
            <w:proofErr w:type="spellStart"/>
            <w:r>
              <w:rPr>
                <w:sz w:val="22"/>
                <w:szCs w:val="22"/>
              </w:rPr>
              <w:t>südafrikani-sche</w:t>
            </w:r>
            <w:proofErr w:type="spellEnd"/>
            <w:r>
              <w:rPr>
                <w:sz w:val="22"/>
                <w:szCs w:val="22"/>
              </w:rPr>
              <w:t xml:space="preserve"> Variante Ursache des steilen Anstiegs der </w:t>
            </w:r>
            <w:proofErr w:type="spellStart"/>
            <w:r>
              <w:rPr>
                <w:sz w:val="22"/>
                <w:szCs w:val="22"/>
              </w:rPr>
              <w:t>Infek-tionszahlen</w:t>
            </w:r>
            <w:proofErr w:type="spellEnd"/>
            <w:r>
              <w:rPr>
                <w:sz w:val="22"/>
                <w:szCs w:val="22"/>
              </w:rPr>
              <w:t>, höherer Mortalitätsrate, leichterer erneu-</w:t>
            </w:r>
            <w:proofErr w:type="spellStart"/>
            <w:r>
              <w:rPr>
                <w:sz w:val="22"/>
                <w:szCs w:val="22"/>
              </w:rPr>
              <w:t>ter</w:t>
            </w:r>
            <w:proofErr w:type="spellEnd"/>
            <w:r>
              <w:rPr>
                <w:sz w:val="22"/>
                <w:szCs w:val="22"/>
              </w:rPr>
              <w:t xml:space="preserve"> Infektionen, Einfluss auf entwickelte Impfstoffe </w:t>
            </w:r>
          </w:p>
          <w:p>
            <w:pPr>
              <w:pStyle w:val="Listenabsatz"/>
              <w:numPr>
                <w:ilvl w:val="1"/>
                <w:numId w:val="39"/>
              </w:numPr>
              <w:rPr>
                <w:sz w:val="22"/>
                <w:szCs w:val="22"/>
              </w:rPr>
            </w:pPr>
            <w:r>
              <w:rPr>
                <w:sz w:val="22"/>
                <w:szCs w:val="22"/>
              </w:rPr>
              <w:t xml:space="preserve">Hintergrund zusätzlicher Bedenken hinsichtlich der Variante in Südafrika </w:t>
            </w:r>
            <w:proofErr w:type="spellStart"/>
            <w:r>
              <w:rPr>
                <w:sz w:val="22"/>
                <w:szCs w:val="22"/>
              </w:rPr>
              <w:t>ggü</w:t>
            </w:r>
            <w:proofErr w:type="spellEnd"/>
            <w:r>
              <w:rPr>
                <w:sz w:val="22"/>
                <w:szCs w:val="22"/>
              </w:rPr>
              <w:t xml:space="preserve">. UK-Variante a) erhebliche und schnelle Verbreitung trotz derzeit ungünstiger Bedingungen für das Virus (Sommermonate) und b) Migrationswelle (Fremdarbeiter verlassen derzeit Südafrika) </w:t>
            </w:r>
            <w:r>
              <w:rPr>
                <w:sz w:val="22"/>
                <w:szCs w:val="22"/>
              </w:rPr>
              <w:sym w:font="Wingdings" w:char="F0E0"/>
            </w:r>
            <w:r>
              <w:rPr>
                <w:sz w:val="22"/>
                <w:szCs w:val="22"/>
              </w:rPr>
              <w:t xml:space="preserve"> starke Ausbreitung anzunehmen sowie c) anekdotische Berichte über vermehrtes Auftreten bei jüngeren Altersgruppen</w:t>
            </w:r>
          </w:p>
          <w:p>
            <w:pPr>
              <w:pStyle w:val="Listenabsatz"/>
              <w:numPr>
                <w:ilvl w:val="1"/>
                <w:numId w:val="39"/>
              </w:numPr>
              <w:rPr>
                <w:sz w:val="22"/>
                <w:szCs w:val="22"/>
                <w:lang w:val="en-US"/>
              </w:rPr>
            </w:pPr>
            <w:proofErr w:type="spellStart"/>
            <w:r>
              <w:rPr>
                <w:sz w:val="22"/>
                <w:szCs w:val="22"/>
                <w:lang w:val="en-US"/>
              </w:rPr>
              <w:t>Ggf</w:t>
            </w:r>
            <w:proofErr w:type="spellEnd"/>
            <w:r>
              <w:rPr>
                <w:sz w:val="22"/>
                <w:szCs w:val="22"/>
                <w:lang w:val="en-US"/>
              </w:rPr>
              <w:t xml:space="preserve">. </w:t>
            </w:r>
            <w:proofErr w:type="spellStart"/>
            <w:r>
              <w:rPr>
                <w:sz w:val="22"/>
                <w:szCs w:val="22"/>
                <w:lang w:val="en-US"/>
              </w:rPr>
              <w:t>zeitnahes</w:t>
            </w:r>
            <w:proofErr w:type="spellEnd"/>
            <w:r>
              <w:rPr>
                <w:sz w:val="22"/>
                <w:szCs w:val="22"/>
                <w:lang w:val="en-US"/>
              </w:rPr>
              <w:t xml:space="preserve"> Emergency Meeting </w:t>
            </w:r>
            <w:proofErr w:type="spellStart"/>
            <w:r>
              <w:rPr>
                <w:sz w:val="22"/>
                <w:szCs w:val="22"/>
                <w:lang w:val="en-US"/>
              </w:rPr>
              <w:t>seitens</w:t>
            </w:r>
            <w:proofErr w:type="spellEnd"/>
            <w:r>
              <w:rPr>
                <w:sz w:val="22"/>
                <w:szCs w:val="22"/>
                <w:lang w:val="en-US"/>
              </w:rPr>
              <w:t xml:space="preserve"> WHO </w:t>
            </w:r>
          </w:p>
          <w:p>
            <w:pPr>
              <w:pStyle w:val="Listenabsatz"/>
              <w:ind w:left="900"/>
              <w:rPr>
                <w:sz w:val="22"/>
                <w:szCs w:val="22"/>
                <w:lang w:val="en-US"/>
              </w:rPr>
            </w:pPr>
          </w:p>
          <w:p>
            <w:pPr>
              <w:spacing w:before="120"/>
              <w:rPr>
                <w:b/>
                <w:sz w:val="22"/>
                <w:szCs w:val="22"/>
              </w:rPr>
            </w:pPr>
            <w:r>
              <w:rPr>
                <w:b/>
                <w:sz w:val="22"/>
                <w:szCs w:val="22"/>
              </w:rPr>
              <w:t xml:space="preserve">National </w:t>
            </w:r>
          </w:p>
          <w:p>
            <w:pPr>
              <w:pStyle w:val="Listenabsatz"/>
              <w:numPr>
                <w:ilvl w:val="0"/>
                <w:numId w:val="5"/>
              </w:numPr>
              <w:ind w:left="453" w:hanging="340"/>
              <w:rPr>
                <w:sz w:val="22"/>
                <w:szCs w:val="22"/>
              </w:rPr>
            </w:pPr>
            <w:r>
              <w:rPr>
                <w:b/>
                <w:sz w:val="22"/>
                <w:szCs w:val="22"/>
              </w:rPr>
              <w:t>Fallzahlen, Todesfälle, Trend</w:t>
            </w:r>
            <w:r>
              <w:rPr>
                <w:sz w:val="22"/>
                <w:szCs w:val="22"/>
              </w:rPr>
              <w:t xml:space="preserve">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1.554.920 (+24.740), davon 27.968 (1,8 %) Todesfälle (+962), 7-Tage-Inzidenz 195/100.000 </w:t>
            </w:r>
            <w:proofErr w:type="spellStart"/>
            <w:r>
              <w:rPr>
                <w:sz w:val="22"/>
                <w:szCs w:val="22"/>
              </w:rPr>
              <w:t>Einw</w:t>
            </w:r>
            <w:proofErr w:type="spellEnd"/>
            <w:r>
              <w:rPr>
                <w:sz w:val="22"/>
                <w:szCs w:val="22"/>
              </w:rPr>
              <w:t xml:space="preserve">. </w:t>
            </w:r>
            <w:r>
              <w:rPr>
                <w:sz w:val="22"/>
                <w:szCs w:val="22"/>
              </w:rPr>
              <w:sym w:font="Wingdings" w:char="F0E0"/>
            </w:r>
            <w:r>
              <w:rPr>
                <w:sz w:val="22"/>
                <w:szCs w:val="22"/>
              </w:rPr>
              <w:t xml:space="preserve"> weiterhin stabil hohe Fallzahlen </w:t>
            </w:r>
          </w:p>
          <w:p>
            <w:pPr>
              <w:pStyle w:val="Listenabsatz"/>
              <w:numPr>
                <w:ilvl w:val="1"/>
                <w:numId w:val="8"/>
              </w:numPr>
              <w:ind w:left="907" w:hanging="340"/>
              <w:rPr>
                <w:sz w:val="22"/>
                <w:szCs w:val="22"/>
              </w:rPr>
            </w:pPr>
            <w:r>
              <w:rPr>
                <w:sz w:val="22"/>
                <w:szCs w:val="22"/>
              </w:rPr>
              <w:t xml:space="preserve">4-Tage-R=0,83; 7-Tage-R=0,92 </w:t>
            </w:r>
          </w:p>
          <w:p>
            <w:pPr>
              <w:pStyle w:val="Listenabsatz"/>
              <w:numPr>
                <w:ilvl w:val="1"/>
                <w:numId w:val="8"/>
              </w:numPr>
              <w:ind w:left="907" w:hanging="340"/>
              <w:rPr>
                <w:sz w:val="22"/>
                <w:szCs w:val="22"/>
                <w:lang w:val="en-US"/>
              </w:rPr>
            </w:pPr>
            <w:r>
              <w:rPr>
                <w:sz w:val="22"/>
                <w:szCs w:val="22"/>
                <w:lang w:val="en-US"/>
              </w:rPr>
              <w:t xml:space="preserve">ITS: 5.216 (+49), </w:t>
            </w:r>
            <w:proofErr w:type="spellStart"/>
            <w:r>
              <w:rPr>
                <w:sz w:val="22"/>
                <w:szCs w:val="22"/>
                <w:lang w:val="en-US"/>
              </w:rPr>
              <w:t>invasiv</w:t>
            </w:r>
            <w:proofErr w:type="spellEnd"/>
            <w:r>
              <w:rPr>
                <w:sz w:val="22"/>
                <w:szCs w:val="22"/>
                <w:lang w:val="en-US"/>
              </w:rPr>
              <w:t xml:space="preserve"> </w:t>
            </w:r>
            <w:proofErr w:type="spellStart"/>
            <w:r>
              <w:rPr>
                <w:sz w:val="22"/>
                <w:szCs w:val="22"/>
                <w:lang w:val="en-US"/>
              </w:rPr>
              <w:t>beatmet</w:t>
            </w:r>
            <w:proofErr w:type="spellEnd"/>
            <w:r>
              <w:rPr>
                <w:sz w:val="22"/>
                <w:szCs w:val="22"/>
                <w:lang w:val="en-US"/>
              </w:rPr>
              <w:t>: 2.726 (+36)</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Noch kein deutlicher Rückgang, Anstieg in Sachsen verlangsamt, in Thüringen setzt sich Anstieg weiter fort, ebenso in BB, noch keine Entspannung der Situation</w:t>
            </w:r>
          </w:p>
          <w:p>
            <w:pPr>
              <w:pStyle w:val="Listenabsatz"/>
              <w:numPr>
                <w:ilvl w:val="1"/>
                <w:numId w:val="5"/>
              </w:numPr>
              <w:ind w:left="924" w:hanging="357"/>
              <w:rPr>
                <w:sz w:val="22"/>
                <w:szCs w:val="22"/>
              </w:rPr>
            </w:pPr>
            <w:r>
              <w:rPr>
                <w:sz w:val="22"/>
                <w:szCs w:val="22"/>
              </w:rPr>
              <w:t xml:space="preserve">Geografische Verteilung in Deutschland: 7-Tage-Inzidenz (Fälle/100.000 </w:t>
            </w:r>
            <w:proofErr w:type="spellStart"/>
            <w:r>
              <w:rPr>
                <w:sz w:val="22"/>
                <w:szCs w:val="22"/>
              </w:rPr>
              <w:t>Einw</w:t>
            </w:r>
            <w:proofErr w:type="spellEnd"/>
            <w:r>
              <w:rPr>
                <w:sz w:val="22"/>
                <w:szCs w:val="22"/>
              </w:rPr>
              <w:t>.)</w:t>
            </w:r>
          </w:p>
          <w:p>
            <w:pPr>
              <w:pStyle w:val="Listenabsatz"/>
              <w:numPr>
                <w:ilvl w:val="2"/>
                <w:numId w:val="5"/>
              </w:numPr>
              <w:ind w:left="1491" w:hanging="357"/>
              <w:rPr>
                <w:sz w:val="22"/>
                <w:szCs w:val="22"/>
              </w:rPr>
            </w:pPr>
            <w:r>
              <w:rPr>
                <w:sz w:val="22"/>
                <w:szCs w:val="22"/>
              </w:rPr>
              <w:lastRenderedPageBreak/>
              <w:t xml:space="preserve">11 LK &gt; 25-50 (Karte Umgebung Berlin: hell </w:t>
            </w:r>
            <w:proofErr w:type="spellStart"/>
            <w:r>
              <w:rPr>
                <w:sz w:val="22"/>
                <w:szCs w:val="22"/>
              </w:rPr>
              <w:t>einge</w:t>
            </w:r>
            <w:proofErr w:type="spellEnd"/>
            <w:r>
              <w:rPr>
                <w:sz w:val="22"/>
                <w:szCs w:val="22"/>
              </w:rPr>
              <w:t xml:space="preserve">-färbte Areale: Potsdam &amp; Spree-Neiße Übermittlungs-probleme, entspricht somit nicht tatsächlicher </w:t>
            </w:r>
            <w:proofErr w:type="spellStart"/>
            <w:r>
              <w:rPr>
                <w:sz w:val="22"/>
                <w:szCs w:val="22"/>
              </w:rPr>
              <w:t>Inzi-denz</w:t>
            </w:r>
            <w:proofErr w:type="spellEnd"/>
            <w:r>
              <w:rPr>
                <w:sz w:val="22"/>
                <w:szCs w:val="22"/>
              </w:rPr>
              <w:t xml:space="preserve">, dazu derzeit gehäuft Anfragen, es werden nur die Fälle ausgewiesen, die übermittelt werden, zuständige Behörden sind informiert, aufgrund langwieriger Prozesse hier jedoch ggf. längerfristige Verzerrung denkbar) </w:t>
            </w:r>
          </w:p>
          <w:p>
            <w:pPr>
              <w:pStyle w:val="Listenabsatz"/>
              <w:numPr>
                <w:ilvl w:val="2"/>
                <w:numId w:val="5"/>
              </w:numPr>
              <w:ind w:left="1491" w:hanging="357"/>
              <w:rPr>
                <w:sz w:val="22"/>
                <w:szCs w:val="22"/>
              </w:rPr>
            </w:pPr>
            <w:r>
              <w:rPr>
                <w:sz w:val="22"/>
                <w:szCs w:val="22"/>
              </w:rPr>
              <w:t>44 LK &gt; 50-100; 274 LK &gt; 100-250; 75 LK &gt; 250-500; 7 LK &gt; 500-1000</w:t>
            </w:r>
          </w:p>
          <w:p>
            <w:pPr>
              <w:pStyle w:val="Listenabsatz"/>
              <w:numPr>
                <w:ilvl w:val="2"/>
                <w:numId w:val="5"/>
              </w:numPr>
              <w:ind w:left="1491" w:hanging="357"/>
              <w:rPr>
                <w:sz w:val="22"/>
                <w:szCs w:val="22"/>
              </w:rPr>
            </w:pPr>
            <w:r>
              <w:rPr>
                <w:sz w:val="22"/>
                <w:szCs w:val="22"/>
              </w:rPr>
              <w:t>Regional stark betroffen: Sachsen, Thüringen, NRW, Bayern, BaWü; im Norden geringere Inzidenz</w:t>
            </w:r>
          </w:p>
          <w:p>
            <w:pPr>
              <w:pStyle w:val="Listenabsatz"/>
              <w:numPr>
                <w:ilvl w:val="1"/>
                <w:numId w:val="5"/>
              </w:numPr>
              <w:ind w:left="924" w:hanging="357"/>
              <w:rPr>
                <w:sz w:val="22"/>
                <w:szCs w:val="22"/>
              </w:rPr>
            </w:pPr>
            <w:r>
              <w:rPr>
                <w:sz w:val="22"/>
                <w:szCs w:val="22"/>
              </w:rPr>
              <w:t xml:space="preserve">7-Tage-Inzidenz der Covid-19-Fälle nach Altersgruppe (AG) und Meldewoche (MW): bei &gt; 80-Jährigen weiterhin steiler Anstieg seit ca. KW 41, bei mittleren AG nach temporärer Entspannung zwischen ca. KW 46 und KW 49 nun wieder Anstiege, lediglich in AG der 5-14-Jährigen keine Anstiege  </w:t>
            </w:r>
          </w:p>
          <w:p>
            <w:pPr>
              <w:pStyle w:val="Listenabsatz"/>
              <w:numPr>
                <w:ilvl w:val="1"/>
                <w:numId w:val="5"/>
              </w:numPr>
              <w:ind w:left="924" w:hanging="357"/>
              <w:rPr>
                <w:sz w:val="22"/>
                <w:szCs w:val="22"/>
              </w:rPr>
            </w:pPr>
            <w:r>
              <w:rPr>
                <w:sz w:val="22"/>
                <w:szCs w:val="22"/>
              </w:rPr>
              <w:t xml:space="preserve">Covid-19-Fälle nach Zugehörigkeit zu einer Einrichtung und MW: derzeit Untererfassung </w:t>
            </w:r>
            <w:r>
              <w:rPr>
                <w:sz w:val="22"/>
                <w:szCs w:val="22"/>
              </w:rPr>
              <w:sym w:font="Wingdings" w:char="F0E0"/>
            </w:r>
            <w:r>
              <w:rPr>
                <w:sz w:val="22"/>
                <w:szCs w:val="22"/>
              </w:rPr>
              <w:t xml:space="preserve"> aktuelle Fallzahlen KW 51 daher vergleichsweise gering, Fälle in § 6-Einrichtungen (Altenpflegeheime etc., blaue Kurve) zunehmend, ebenfalls bei Beschäftigten in § 36- und § 23-Einrichtungen (grüne Kurven), lediglich in § 33-Einrichtungen (Schule, Kitas) Fallzahlen leicht rückläufig</w:t>
            </w:r>
          </w:p>
          <w:p>
            <w:pPr>
              <w:pStyle w:val="Listenabsatz"/>
              <w:numPr>
                <w:ilvl w:val="1"/>
                <w:numId w:val="5"/>
              </w:numPr>
              <w:ind w:left="924" w:hanging="357"/>
              <w:rPr>
                <w:sz w:val="22"/>
                <w:szCs w:val="22"/>
              </w:rPr>
            </w:pPr>
            <w:r>
              <w:rPr>
                <w:sz w:val="22"/>
                <w:szCs w:val="22"/>
              </w:rPr>
              <w:t>Anzahl Covid-19-Todesfälle nach Sterbewoche: für KW 51 vermutlich noch Nachmeldung ausstehend, in KW 50 jedoch bereits &gt; 3000 Todesfälle, deutlich höher als in erster Welle</w:t>
            </w:r>
          </w:p>
          <w:p>
            <w:pPr>
              <w:pStyle w:val="Listenabsatz"/>
              <w:numPr>
                <w:ilvl w:val="1"/>
                <w:numId w:val="5"/>
              </w:numPr>
              <w:ind w:left="900"/>
              <w:rPr>
                <w:sz w:val="22"/>
                <w:szCs w:val="22"/>
              </w:rPr>
            </w:pPr>
            <w:r>
              <w:rPr>
                <w:sz w:val="22"/>
                <w:szCs w:val="22"/>
              </w:rPr>
              <w:t>Diskussion</w:t>
            </w:r>
          </w:p>
          <w:p>
            <w:pPr>
              <w:pStyle w:val="Listenabsatz"/>
              <w:numPr>
                <w:ilvl w:val="2"/>
                <w:numId w:val="5"/>
              </w:numPr>
              <w:ind w:left="1467"/>
              <w:rPr>
                <w:sz w:val="22"/>
                <w:szCs w:val="22"/>
              </w:rPr>
            </w:pPr>
            <w:r>
              <w:rPr>
                <w:sz w:val="22"/>
                <w:szCs w:val="22"/>
              </w:rPr>
              <w:t>Zu Übermittlungsproblemen in BB: höchstwahr-</w:t>
            </w:r>
            <w:proofErr w:type="spellStart"/>
            <w:r>
              <w:rPr>
                <w:sz w:val="22"/>
                <w:szCs w:val="22"/>
              </w:rPr>
              <w:t>scheinlich</w:t>
            </w:r>
            <w:proofErr w:type="spellEnd"/>
            <w:r>
              <w:rPr>
                <w:sz w:val="22"/>
                <w:szCs w:val="22"/>
              </w:rPr>
              <w:t xml:space="preserve"> kein Einfluss auf bundesweite Kennzahlen, zudem keine großflächigen Übermittlungsprobleme</w:t>
            </w:r>
          </w:p>
          <w:p>
            <w:pPr>
              <w:pStyle w:val="Listenabsatz"/>
              <w:numPr>
                <w:ilvl w:val="2"/>
                <w:numId w:val="5"/>
              </w:numPr>
              <w:ind w:left="1467"/>
              <w:rPr>
                <w:sz w:val="22"/>
                <w:szCs w:val="22"/>
              </w:rPr>
            </w:pPr>
            <w:r>
              <w:rPr>
                <w:sz w:val="22"/>
                <w:szCs w:val="22"/>
              </w:rPr>
              <w:t xml:space="preserve">Vermerk dieser Übermittlungsprobleme bislang nicht im Disclaimer, dies kann, sofern gewünscht, zwar umgesetzt werden, jedoch sollte dies dann </w:t>
            </w:r>
            <w:proofErr w:type="spellStart"/>
            <w:r>
              <w:rPr>
                <w:sz w:val="22"/>
                <w:szCs w:val="22"/>
              </w:rPr>
              <w:t>entspre-chend</w:t>
            </w:r>
            <w:proofErr w:type="spellEnd"/>
            <w:r>
              <w:rPr>
                <w:sz w:val="22"/>
                <w:szCs w:val="22"/>
              </w:rPr>
              <w:t xml:space="preserve"> konsequent und systematisch für jeden LK erfolgen und ist mit deutlich erhöhtem Aufwand verbunden </w:t>
            </w:r>
          </w:p>
          <w:p>
            <w:pPr>
              <w:pStyle w:val="Listenabsatz"/>
              <w:numPr>
                <w:ilvl w:val="2"/>
                <w:numId w:val="5"/>
              </w:numPr>
              <w:ind w:left="1467"/>
              <w:rPr>
                <w:sz w:val="22"/>
                <w:szCs w:val="22"/>
              </w:rPr>
            </w:pPr>
            <w:r>
              <w:rPr>
                <w:sz w:val="22"/>
                <w:szCs w:val="22"/>
              </w:rPr>
              <w:t>Derzeit wird ein allgemeiner Disclaimer zur Übermittlung an den Feiertagen (Weihnachten und Jahreswechsel) vorbereitet: Bundesländer werden sehr uneinheitlich übermitteln</w:t>
            </w:r>
          </w:p>
          <w:p>
            <w:pPr>
              <w:rPr>
                <w:i/>
                <w:sz w:val="22"/>
                <w:szCs w:val="22"/>
              </w:rPr>
            </w:pPr>
            <w:proofErr w:type="spellStart"/>
            <w:r>
              <w:rPr>
                <w:i/>
                <w:sz w:val="22"/>
                <w:szCs w:val="22"/>
              </w:rPr>
              <w:t>To</w:t>
            </w:r>
            <w:proofErr w:type="spellEnd"/>
            <w:r>
              <w:rPr>
                <w:i/>
                <w:sz w:val="22"/>
                <w:szCs w:val="22"/>
              </w:rPr>
              <w:t xml:space="preserve"> Do 1: Bei der Erstellung eines allgemeinen Disclaimers Bitte um Berücksichtigung folgender Aspekte</w:t>
            </w:r>
            <w:r>
              <w:rPr>
                <w:sz w:val="22"/>
                <w:szCs w:val="22"/>
              </w:rPr>
              <w:t xml:space="preserve"> bzw. </w:t>
            </w:r>
            <w:r>
              <w:rPr>
                <w:i/>
                <w:sz w:val="22"/>
                <w:szCs w:val="22"/>
              </w:rPr>
              <w:t>Verzerrungsfaktoren, die ggf. erklärend mitaufgenommen werden sollten:</w:t>
            </w:r>
          </w:p>
          <w:p>
            <w:pPr>
              <w:pStyle w:val="Listenabsatz"/>
              <w:numPr>
                <w:ilvl w:val="0"/>
                <w:numId w:val="46"/>
              </w:numPr>
              <w:rPr>
                <w:sz w:val="22"/>
                <w:szCs w:val="22"/>
              </w:rPr>
            </w:pPr>
            <w:r>
              <w:rPr>
                <w:sz w:val="22"/>
                <w:szCs w:val="22"/>
              </w:rPr>
              <w:t xml:space="preserve">Es sollte ggf. eine (nicht länderspezifische) Bewertung erfolgen, da die Zahlen zu großer Verunsicherung führen könnten, sowie </w:t>
            </w:r>
          </w:p>
          <w:p>
            <w:pPr>
              <w:pStyle w:val="Listenabsatz"/>
              <w:numPr>
                <w:ilvl w:val="0"/>
                <w:numId w:val="46"/>
              </w:numPr>
              <w:rPr>
                <w:sz w:val="22"/>
                <w:szCs w:val="22"/>
              </w:rPr>
            </w:pPr>
            <w:r>
              <w:rPr>
                <w:sz w:val="22"/>
                <w:szCs w:val="22"/>
              </w:rPr>
              <w:t xml:space="preserve">ggf. der Hinweis, dass zu Feiertagen die Datenübermittlung generell stagniert, wie auch bereits lange zu AGI bekannt bzw. ebenso bei der Konsultationsinzidenz, sprich hier nicht nur Covid-19-betreffend </w:t>
            </w:r>
          </w:p>
          <w:p>
            <w:pPr>
              <w:pStyle w:val="Listenabsatz"/>
              <w:numPr>
                <w:ilvl w:val="0"/>
                <w:numId w:val="46"/>
              </w:numPr>
              <w:rPr>
                <w:sz w:val="22"/>
                <w:szCs w:val="22"/>
              </w:rPr>
            </w:pPr>
            <w:proofErr w:type="gramStart"/>
            <w:r>
              <w:rPr>
                <w:sz w:val="22"/>
                <w:szCs w:val="22"/>
              </w:rPr>
              <w:lastRenderedPageBreak/>
              <w:t>ggf.</w:t>
            </w:r>
            <w:proofErr w:type="gramEnd"/>
            <w:r>
              <w:rPr>
                <w:sz w:val="22"/>
                <w:szCs w:val="22"/>
              </w:rPr>
              <w:t xml:space="preserve"> dass nach höherer vorweihnachtlicher </w:t>
            </w:r>
            <w:proofErr w:type="spellStart"/>
            <w:r>
              <w:rPr>
                <w:sz w:val="22"/>
                <w:szCs w:val="22"/>
              </w:rPr>
              <w:t>Testrate</w:t>
            </w:r>
            <w:proofErr w:type="spellEnd"/>
            <w:r>
              <w:rPr>
                <w:sz w:val="22"/>
                <w:szCs w:val="22"/>
              </w:rPr>
              <w:t xml:space="preserve"> mit ggf. späterem Testrateneinbruch zu rechnen sein kann </w:t>
            </w:r>
            <w:r>
              <w:sym w:font="Wingdings" w:char="F0E0"/>
            </w:r>
            <w:r>
              <w:rPr>
                <w:sz w:val="22"/>
                <w:szCs w:val="22"/>
              </w:rPr>
              <w:t xml:space="preserve"> Einbruch auch bei Fallzahlen</w:t>
            </w:r>
          </w:p>
          <w:p>
            <w:pPr>
              <w:pStyle w:val="Listenabsatz"/>
              <w:numPr>
                <w:ilvl w:val="0"/>
                <w:numId w:val="46"/>
              </w:numPr>
              <w:rPr>
                <w:sz w:val="22"/>
                <w:szCs w:val="22"/>
              </w:rPr>
            </w:pPr>
            <w:r>
              <w:rPr>
                <w:sz w:val="22"/>
                <w:szCs w:val="22"/>
              </w:rPr>
              <w:t xml:space="preserve">PCR-Bestätigung von AG-Tests einen erheblichen Einfluss auf die Positivrate haben kann </w:t>
            </w:r>
          </w:p>
          <w:p>
            <w:pPr>
              <w:pStyle w:val="Listenabsatz"/>
              <w:numPr>
                <w:ilvl w:val="0"/>
                <w:numId w:val="46"/>
              </w:numPr>
              <w:rPr>
                <w:sz w:val="22"/>
                <w:szCs w:val="22"/>
              </w:rPr>
            </w:pPr>
            <w:r>
              <w:rPr>
                <w:sz w:val="22"/>
                <w:szCs w:val="22"/>
              </w:rPr>
              <w:t>Ggf. dass das RKI nicht nur die Meldedaten auswertet mit Verweis auf den Situationsbericht</w:t>
            </w:r>
          </w:p>
          <w:p>
            <w:pPr>
              <w:pStyle w:val="Listenabsatz"/>
              <w:rPr>
                <w:sz w:val="22"/>
                <w:szCs w:val="22"/>
              </w:rPr>
            </w:pPr>
          </w:p>
          <w:p>
            <w:pPr>
              <w:pStyle w:val="Listenabsatz"/>
              <w:numPr>
                <w:ilvl w:val="0"/>
                <w:numId w:val="46"/>
              </w:numPr>
              <w:rPr>
                <w:sz w:val="22"/>
                <w:szCs w:val="22"/>
              </w:rPr>
            </w:pPr>
            <w:r>
              <w:rPr>
                <w:sz w:val="22"/>
                <w:szCs w:val="22"/>
              </w:rPr>
              <w:t xml:space="preserve">Weitere Diskussion </w:t>
            </w:r>
          </w:p>
          <w:p>
            <w:pPr>
              <w:pStyle w:val="Listenabsatz"/>
              <w:numPr>
                <w:ilvl w:val="0"/>
                <w:numId w:val="45"/>
              </w:numPr>
              <w:rPr>
                <w:sz w:val="22"/>
                <w:szCs w:val="22"/>
              </w:rPr>
            </w:pPr>
            <w:r>
              <w:rPr>
                <w:sz w:val="22"/>
                <w:szCs w:val="22"/>
              </w:rPr>
              <w:t xml:space="preserve">Anstieg in der AG der 60-80-Jährigen ebenfalls bedenklich (Folie 4, türkise Linie), da </w:t>
            </w:r>
          </w:p>
          <w:p>
            <w:pPr>
              <w:pStyle w:val="Listenabsatz"/>
              <w:ind w:left="1440"/>
              <w:rPr>
                <w:sz w:val="22"/>
                <w:szCs w:val="22"/>
              </w:rPr>
            </w:pPr>
            <w:r>
              <w:rPr>
                <w:sz w:val="22"/>
                <w:szCs w:val="22"/>
              </w:rPr>
              <w:t xml:space="preserve">a) diese AG einen sehr großen Bevölkerungsteil ausmacht, der </w:t>
            </w:r>
          </w:p>
          <w:p>
            <w:pPr>
              <w:pStyle w:val="Listenabsatz"/>
              <w:ind w:left="1440"/>
              <w:rPr>
                <w:sz w:val="22"/>
                <w:szCs w:val="22"/>
              </w:rPr>
            </w:pPr>
            <w:r>
              <w:rPr>
                <w:sz w:val="22"/>
                <w:szCs w:val="22"/>
              </w:rPr>
              <w:t>b) einen großen Anteil der Hospitalisierten ausmacht, c) zu Weihnachten ggf. besonders exponiert sein wird, d) zudem in der Impfpriorität weiter hinten liegt und e) somit auch langfristig die Bettenkapazitäten beanspruchen wird</w:t>
            </w:r>
          </w:p>
          <w:p>
            <w:pPr>
              <w:pStyle w:val="Listenabsatz"/>
              <w:numPr>
                <w:ilvl w:val="0"/>
                <w:numId w:val="45"/>
              </w:numPr>
              <w:rPr>
                <w:sz w:val="22"/>
                <w:szCs w:val="22"/>
              </w:rPr>
            </w:pPr>
            <w:r>
              <w:rPr>
                <w:sz w:val="22"/>
                <w:szCs w:val="22"/>
              </w:rPr>
              <w:t>Mögliche Handlungsoption: derzeit bereits an vielen Stellen auf Maßnahmen und deren Einhaltung aus-</w:t>
            </w:r>
            <w:proofErr w:type="spellStart"/>
            <w:r>
              <w:rPr>
                <w:sz w:val="22"/>
                <w:szCs w:val="22"/>
              </w:rPr>
              <w:t>drücklichst</w:t>
            </w:r>
            <w:proofErr w:type="spellEnd"/>
            <w:r>
              <w:rPr>
                <w:sz w:val="22"/>
                <w:szCs w:val="22"/>
              </w:rPr>
              <w:t xml:space="preserve"> hingewiesen, hier ist die Exekutive/ stringente Umsetzung der Maßnahmenkataloge gefordert, jedoch ist die Compliance derzeit fraglich (siehe Beispiel der Diskussion um Stattfinden der Gottesdienste in manchen Bundesländern)</w:t>
            </w:r>
          </w:p>
          <w:p>
            <w:pPr>
              <w:rPr>
                <w:i/>
                <w:sz w:val="22"/>
                <w:szCs w:val="22"/>
              </w:rPr>
            </w:pPr>
            <w:proofErr w:type="spellStart"/>
            <w:r>
              <w:rPr>
                <w:i/>
                <w:sz w:val="22"/>
                <w:szCs w:val="22"/>
              </w:rPr>
              <w:t>To</w:t>
            </w:r>
            <w:proofErr w:type="spellEnd"/>
            <w:r>
              <w:rPr>
                <w:i/>
                <w:sz w:val="22"/>
                <w:szCs w:val="22"/>
              </w:rPr>
              <w:t xml:space="preserve"> Do: Allgemeine Bitte um mögliche weitere Vorschläge zu denkbaren Handlungsoptionen, gern per E-Mail oder telefonisch</w:t>
            </w:r>
          </w:p>
          <w:p>
            <w:pPr>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sz w:val="22"/>
                <w:szCs w:val="22"/>
              </w:rPr>
              <w:t xml:space="preserve">(Folien </w:t>
            </w:r>
            <w:hyperlink r:id="rId10" w:history="1">
              <w:r>
                <w:rPr>
                  <w:rStyle w:val="Hyperlink"/>
                  <w:sz w:val="22"/>
                  <w:szCs w:val="22"/>
                </w:rPr>
                <w:t>hier</w:t>
              </w:r>
            </w:hyperlink>
            <w:r>
              <w:rPr>
                <w:sz w:val="22"/>
                <w:szCs w:val="22"/>
              </w:rPr>
              <w:t>)</w:t>
            </w:r>
          </w:p>
          <w:p>
            <w:pPr>
              <w:pStyle w:val="Listenabsatz"/>
              <w:numPr>
                <w:ilvl w:val="1"/>
                <w:numId w:val="5"/>
              </w:numPr>
              <w:ind w:left="924" w:hanging="357"/>
              <w:rPr>
                <w:sz w:val="22"/>
                <w:szCs w:val="22"/>
              </w:rPr>
            </w:pPr>
            <w:proofErr w:type="spellStart"/>
            <w:r>
              <w:rPr>
                <w:bCs/>
                <w:sz w:val="22"/>
                <w:szCs w:val="22"/>
              </w:rPr>
              <w:t>GrippeWeb</w:t>
            </w:r>
            <w:proofErr w:type="spellEnd"/>
            <w:r>
              <w:rPr>
                <w:bCs/>
                <w:sz w:val="22"/>
                <w:szCs w:val="22"/>
              </w:rPr>
              <w:t xml:space="preserve"> bis zur KW 51 (Folie 2):</w:t>
            </w:r>
            <w:r>
              <w:rPr>
                <w:b/>
                <w:bCs/>
                <w:sz w:val="22"/>
                <w:szCs w:val="22"/>
              </w:rPr>
              <w:t xml:space="preserve"> </w:t>
            </w:r>
            <w:r>
              <w:rPr>
                <w:sz w:val="22"/>
                <w:szCs w:val="22"/>
              </w:rPr>
              <w:t xml:space="preserve">derzeit Abnahme der ARE-Rate, höchstwahrscheinlich auf AG der Kinder bzw. Schulschließungen zurückzuführen (ARE-Raten von Infektionsfällen bei Kindern geprägt) </w:t>
            </w:r>
          </w:p>
          <w:p>
            <w:pPr>
              <w:pStyle w:val="Listenabsatz"/>
              <w:numPr>
                <w:ilvl w:val="1"/>
                <w:numId w:val="5"/>
              </w:numPr>
              <w:ind w:left="924" w:hanging="357"/>
              <w:rPr>
                <w:sz w:val="22"/>
                <w:szCs w:val="22"/>
              </w:rPr>
            </w:pPr>
            <w:r>
              <w:rPr>
                <w:sz w:val="22"/>
                <w:szCs w:val="22"/>
              </w:rPr>
              <w:t>ARE-Rate insgesamt sehr deutlich unter der der Vorsaisons, ähnliches Bild bei der Konsultationsinzidenz (Folie 4), hier ebenfalls geringe Konsultationsinzidenz zum Jahreswechsel wie in Vorsaisons sichtbar</w:t>
            </w:r>
          </w:p>
          <w:p>
            <w:pPr>
              <w:pStyle w:val="Listenabsatz"/>
              <w:numPr>
                <w:ilvl w:val="1"/>
                <w:numId w:val="5"/>
              </w:numPr>
              <w:ind w:left="924" w:hanging="357"/>
              <w:rPr>
                <w:sz w:val="22"/>
                <w:szCs w:val="22"/>
              </w:rPr>
            </w:pPr>
            <w:r>
              <w:rPr>
                <w:sz w:val="22"/>
                <w:szCs w:val="22"/>
              </w:rPr>
              <w:t xml:space="preserve">ICOSARI-KH-Surveillance – SARI-Fälle bis zur 50. KW (Folie 6): insbes. bei älteren AG &gt; 60 Jahre (dunkelblau) deutlich angestiegen; AG 35-59 und 60-79 Jahre deutlich höher als in den Vorsaisons (Niveau Höhepunkt Grippewelle); AG unter 60 Jahre in den letzten Wochen relativ stabil; Rückgang in den AG unter 35 Jahre; AG unter 15 Jahre niedriger als üblich um diese Jahreszeit; </w:t>
            </w:r>
          </w:p>
          <w:p>
            <w:pPr>
              <w:pStyle w:val="Listenabsatz"/>
              <w:numPr>
                <w:ilvl w:val="1"/>
                <w:numId w:val="5"/>
              </w:numPr>
              <w:ind w:left="924" w:hanging="357"/>
              <w:rPr>
                <w:sz w:val="22"/>
                <w:szCs w:val="22"/>
              </w:rPr>
            </w:pPr>
            <w:r>
              <w:rPr>
                <w:sz w:val="22"/>
                <w:szCs w:val="22"/>
              </w:rPr>
              <w:t>AG ab 80 Jahren (Folie 9): starker Anstieg um 35 %</w:t>
            </w:r>
          </w:p>
          <w:p>
            <w:pPr>
              <w:pStyle w:val="Listenabsatz"/>
              <w:numPr>
                <w:ilvl w:val="1"/>
                <w:numId w:val="5"/>
              </w:numPr>
              <w:ind w:left="924" w:hanging="357"/>
              <w:rPr>
                <w:sz w:val="22"/>
                <w:szCs w:val="22"/>
              </w:rPr>
            </w:pPr>
            <w:r>
              <w:rPr>
                <w:sz w:val="22"/>
                <w:szCs w:val="22"/>
              </w:rPr>
              <w:t xml:space="preserve">Zudem aufgrund des Anteils an Covid-19-Erkrankungen (ca. 70 % schwerer Atemwegsinfektionen sind Covid-19-bedingt) deutlich größere Herausforderungen als in den Vorsaisons aufgrund der Notwendigkeit der Isolation und des Covid-19-bedingten Personalausfalls &gt; Link wird im heutigen Influenzawochenbericht mitaufgenommen </w:t>
            </w:r>
          </w:p>
          <w:p>
            <w:pPr>
              <w:rPr>
                <w:i/>
                <w:sz w:val="22"/>
                <w:szCs w:val="22"/>
              </w:rPr>
            </w:pPr>
            <w:proofErr w:type="spellStart"/>
            <w:r>
              <w:rPr>
                <w:i/>
                <w:sz w:val="22"/>
                <w:szCs w:val="22"/>
              </w:rPr>
              <w:t>ToDo</w:t>
            </w:r>
            <w:proofErr w:type="spellEnd"/>
            <w:r>
              <w:rPr>
                <w:i/>
                <w:sz w:val="22"/>
                <w:szCs w:val="22"/>
              </w:rPr>
              <w:t xml:space="preserve">: Bitte um Aufnahme auch in den heutigen Lagebericht, Frau Buda reicht das Exzerpt weiter (Nachtrag: Tabelle und Grafik </w:t>
            </w:r>
            <w:hyperlink r:id="rId11" w:history="1">
              <w:r>
                <w:rPr>
                  <w:rStyle w:val="Hyperlink"/>
                  <w:i/>
                  <w:sz w:val="22"/>
                  <w:szCs w:val="22"/>
                </w:rPr>
                <w:t>hier</w:t>
              </w:r>
            </w:hyperlink>
            <w:r>
              <w:rPr>
                <w:i/>
                <w:sz w:val="22"/>
                <w:szCs w:val="22"/>
              </w:rPr>
              <w:t>)</w:t>
            </w:r>
          </w:p>
          <w:p>
            <w:pPr>
              <w:rPr>
                <w:sz w:val="22"/>
                <w:szCs w:val="22"/>
              </w:rPr>
            </w:pPr>
          </w:p>
          <w:p>
            <w:pPr>
              <w:pStyle w:val="Listenabsatz"/>
              <w:numPr>
                <w:ilvl w:val="1"/>
                <w:numId w:val="5"/>
              </w:numPr>
              <w:ind w:left="924" w:hanging="357"/>
              <w:rPr>
                <w:sz w:val="22"/>
                <w:szCs w:val="22"/>
              </w:rPr>
            </w:pPr>
            <w:r>
              <w:rPr>
                <w:sz w:val="22"/>
                <w:szCs w:val="22"/>
              </w:rPr>
              <w:t>Anteil SARI-Fälle mit COVID-Diagnose bis KW 50 nach AG (Folie 11): nach Stabilisierung auf hohem Niveau leicht angestiegen, mittlerweile bei 68 %, dabei hauptsächlich in der AG ab 35 Jahre Anstieg zu sehen</w:t>
            </w:r>
          </w:p>
          <w:p>
            <w:pPr>
              <w:pStyle w:val="Listenabsatz"/>
              <w:numPr>
                <w:ilvl w:val="1"/>
                <w:numId w:val="5"/>
              </w:numPr>
              <w:ind w:left="924" w:hanging="357"/>
              <w:rPr>
                <w:sz w:val="22"/>
                <w:szCs w:val="22"/>
              </w:rPr>
            </w:pPr>
            <w:r>
              <w:rPr>
                <w:sz w:val="22"/>
                <w:szCs w:val="22"/>
              </w:rPr>
              <w:t xml:space="preserve">COVID-SARI-Fälle bis zu KW 50 - alle Fälle, auch noch Liegende (vorläufige Diagnosen, unvollständig) (Folie 14): </w:t>
            </w:r>
            <w:r>
              <w:rPr>
                <w:bCs/>
                <w:sz w:val="22"/>
                <w:szCs w:val="22"/>
              </w:rPr>
              <w:t>weiterer Anstieg in AG der 60-79- und &gt;80-Jährigen, stabile Zahlen in den AG 15-34- und 35-59-Jährigen in den letzten Wochen</w:t>
            </w:r>
          </w:p>
          <w:p>
            <w:pPr>
              <w:pStyle w:val="Listenabsatz"/>
              <w:numPr>
                <w:ilvl w:val="1"/>
                <w:numId w:val="5"/>
              </w:numPr>
              <w:ind w:left="900"/>
              <w:rPr>
                <w:sz w:val="22"/>
                <w:szCs w:val="22"/>
              </w:rPr>
            </w:pPr>
            <w:r>
              <w:rPr>
                <w:sz w:val="22"/>
                <w:szCs w:val="22"/>
              </w:rPr>
              <w:t xml:space="preserve">Diskussion: Übersterblichkeit – Abbildung am Freitag im Bericht, SARS in ARS um 9 % über Vorjahresniveau, derzeit noch keine dramatische Entwicklung, aber 4 Wochen Verzug bzw. Nachmeldung besonders betroffener LK und </w:t>
            </w:r>
            <w:proofErr w:type="spellStart"/>
            <w:r>
              <w:rPr>
                <w:sz w:val="22"/>
                <w:szCs w:val="22"/>
              </w:rPr>
              <w:t>BuLä</w:t>
            </w:r>
            <w:proofErr w:type="spellEnd"/>
            <w:r>
              <w:rPr>
                <w:sz w:val="22"/>
                <w:szCs w:val="22"/>
              </w:rPr>
              <w:t xml:space="preserve"> müssen berücksichtigt werden</w:t>
            </w:r>
          </w:p>
          <w:p>
            <w:pPr>
              <w:rPr>
                <w:sz w:val="22"/>
                <w:szCs w:val="22"/>
              </w:rPr>
            </w:pPr>
          </w:p>
          <w:p>
            <w:pPr>
              <w:pStyle w:val="Listenabsatz"/>
              <w:numPr>
                <w:ilvl w:val="0"/>
                <w:numId w:val="5"/>
              </w:numPr>
              <w:ind w:left="453" w:hanging="340"/>
              <w:rPr>
                <w:sz w:val="22"/>
                <w:szCs w:val="22"/>
              </w:rPr>
            </w:pPr>
            <w:r>
              <w:rPr>
                <w:b/>
                <w:sz w:val="22"/>
                <w:szCs w:val="22"/>
              </w:rPr>
              <w:t xml:space="preserve">Testkapazität und Testungen </w:t>
            </w:r>
          </w:p>
          <w:p>
            <w:pPr>
              <w:pStyle w:val="Listenabsatz"/>
              <w:ind w:left="453"/>
              <w:rPr>
                <w:sz w:val="22"/>
                <w:szCs w:val="22"/>
              </w:rPr>
            </w:pPr>
          </w:p>
          <w:p>
            <w:pPr>
              <w:ind w:left="453"/>
              <w:rPr>
                <w:sz w:val="22"/>
                <w:szCs w:val="22"/>
              </w:rPr>
            </w:pPr>
            <w:r>
              <w:rPr>
                <w:b/>
                <w:sz w:val="22"/>
                <w:szCs w:val="22"/>
              </w:rPr>
              <w:t xml:space="preserve">Testzahlerfassung am RKI </w:t>
            </w:r>
            <w:r>
              <w:rPr>
                <w:sz w:val="22"/>
                <w:szCs w:val="22"/>
              </w:rPr>
              <w:t xml:space="preserve">(Folien </w:t>
            </w:r>
            <w:hyperlink r:id="rId12"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Testzahlen und Positivquote: derzeit nahezu 12 % </w:t>
            </w:r>
            <w:proofErr w:type="spellStart"/>
            <w:r>
              <w:rPr>
                <w:sz w:val="22"/>
                <w:szCs w:val="22"/>
              </w:rPr>
              <w:t>Positi-venquote</w:t>
            </w:r>
            <w:proofErr w:type="spellEnd"/>
            <w:r>
              <w:rPr>
                <w:sz w:val="22"/>
                <w:szCs w:val="22"/>
              </w:rPr>
              <w:t xml:space="preserve">, Gesamtzahl der Tests gesteigert auf ca. 1.5 </w:t>
            </w:r>
            <w:proofErr w:type="spellStart"/>
            <w:r>
              <w:rPr>
                <w:sz w:val="22"/>
                <w:szCs w:val="22"/>
              </w:rPr>
              <w:t>Mio</w:t>
            </w:r>
            <w:proofErr w:type="spellEnd"/>
            <w:r>
              <w:rPr>
                <w:sz w:val="22"/>
                <w:szCs w:val="22"/>
              </w:rPr>
              <w:t xml:space="preserve"> in KW 51 (cave: ab 03.11.2020 geänderte Testkriterien, Daten nicht direkt mit Vorwochen vergleichbar) </w:t>
            </w:r>
          </w:p>
          <w:p>
            <w:pPr>
              <w:pStyle w:val="Listenabsatz"/>
              <w:numPr>
                <w:ilvl w:val="1"/>
                <w:numId w:val="5"/>
              </w:numPr>
              <w:ind w:left="924" w:hanging="357"/>
              <w:rPr>
                <w:sz w:val="22"/>
                <w:szCs w:val="22"/>
              </w:rPr>
            </w:pPr>
            <w:r>
              <w:rPr>
                <w:sz w:val="22"/>
                <w:szCs w:val="22"/>
              </w:rPr>
              <w:t xml:space="preserve">Auslastung der Kapazitäten: </w:t>
            </w:r>
            <w:proofErr w:type="spellStart"/>
            <w:r>
              <w:rPr>
                <w:sz w:val="22"/>
                <w:szCs w:val="22"/>
              </w:rPr>
              <w:t>Positivenanteile</w:t>
            </w:r>
            <w:proofErr w:type="spellEnd"/>
            <w:r>
              <w:rPr>
                <w:sz w:val="22"/>
                <w:szCs w:val="22"/>
              </w:rPr>
              <w:t xml:space="preserve"> (rot) weiter steigend, stärkere Ausschöpfung der Testreserven, </w:t>
            </w:r>
            <w:proofErr w:type="spellStart"/>
            <w:r>
              <w:rPr>
                <w:sz w:val="22"/>
                <w:szCs w:val="22"/>
              </w:rPr>
              <w:t>vermut-lich</w:t>
            </w:r>
            <w:proofErr w:type="spellEnd"/>
            <w:r>
              <w:rPr>
                <w:sz w:val="22"/>
                <w:szCs w:val="22"/>
              </w:rPr>
              <w:t xml:space="preserve"> auch aufgrund der AG-Test-Bestätigung</w:t>
            </w:r>
          </w:p>
          <w:p>
            <w:pPr>
              <w:pStyle w:val="Listenabsatz"/>
              <w:numPr>
                <w:ilvl w:val="1"/>
                <w:numId w:val="5"/>
              </w:numPr>
              <w:ind w:left="924" w:hanging="357"/>
              <w:rPr>
                <w:sz w:val="22"/>
                <w:szCs w:val="22"/>
              </w:rPr>
            </w:pPr>
            <w:r>
              <w:rPr>
                <w:sz w:val="22"/>
                <w:szCs w:val="22"/>
              </w:rPr>
              <w:t>Probenrückstau derzeit vergleichsweise gering</w:t>
            </w:r>
          </w:p>
          <w:p>
            <w:pPr>
              <w:pStyle w:val="Listenabsatz"/>
              <w:ind w:left="924"/>
              <w:rPr>
                <w:sz w:val="22"/>
                <w:szCs w:val="22"/>
              </w:rPr>
            </w:pPr>
          </w:p>
          <w:p>
            <w:pPr>
              <w:rPr>
                <w:sz w:val="22"/>
                <w:szCs w:val="22"/>
              </w:rPr>
            </w:pPr>
            <w:r>
              <w:rPr>
                <w:b/>
                <w:sz w:val="22"/>
                <w:szCs w:val="22"/>
              </w:rPr>
              <w:t xml:space="preserve">        Testungen und </w:t>
            </w:r>
            <w:proofErr w:type="spellStart"/>
            <w:r>
              <w:rPr>
                <w:b/>
                <w:sz w:val="22"/>
                <w:szCs w:val="22"/>
              </w:rPr>
              <w:t>Positivenanteile</w:t>
            </w:r>
            <w:proofErr w:type="spellEnd"/>
            <w:r>
              <w:rPr>
                <w:sz w:val="22"/>
                <w:szCs w:val="22"/>
              </w:rPr>
              <w:t xml:space="preserve"> (Folien </w:t>
            </w:r>
            <w:hyperlink r:id="rId13"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Anzahl der Testungen derzeit noch steigend </w:t>
            </w:r>
          </w:p>
          <w:p>
            <w:pPr>
              <w:pStyle w:val="Listenabsatz"/>
              <w:numPr>
                <w:ilvl w:val="1"/>
                <w:numId w:val="5"/>
              </w:numPr>
              <w:ind w:left="924" w:hanging="357"/>
              <w:rPr>
                <w:sz w:val="22"/>
                <w:szCs w:val="22"/>
              </w:rPr>
            </w:pPr>
            <w:proofErr w:type="spellStart"/>
            <w:r>
              <w:rPr>
                <w:sz w:val="22"/>
                <w:szCs w:val="22"/>
              </w:rPr>
              <w:t>Positivenanteile</w:t>
            </w:r>
            <w:proofErr w:type="spellEnd"/>
            <w:r>
              <w:rPr>
                <w:sz w:val="22"/>
                <w:szCs w:val="22"/>
              </w:rPr>
              <w:t xml:space="preserve"> nach Bundesland und Woche: Sachsen 20 %-Marke erreicht, steigender Trend setzt sich derzeit nicht fort, aber weiterhin hohes Niveau, ähnlich auch in anderen Bundesländern</w:t>
            </w:r>
          </w:p>
          <w:p>
            <w:pPr>
              <w:pStyle w:val="Listenabsatz"/>
              <w:numPr>
                <w:ilvl w:val="1"/>
                <w:numId w:val="5"/>
              </w:numPr>
              <w:ind w:left="924" w:hanging="357"/>
              <w:rPr>
                <w:sz w:val="22"/>
                <w:szCs w:val="22"/>
              </w:rPr>
            </w:pPr>
            <w:r>
              <w:rPr>
                <w:bCs/>
                <w:sz w:val="22"/>
                <w:szCs w:val="22"/>
              </w:rPr>
              <w:t xml:space="preserve">Anzahl Frauen und Männer mit positiver SARS-CoV-2-PCR-Testung pro 100.000 </w:t>
            </w:r>
            <w:proofErr w:type="spellStart"/>
            <w:r>
              <w:rPr>
                <w:bCs/>
                <w:sz w:val="22"/>
                <w:szCs w:val="22"/>
              </w:rPr>
              <w:t>Einw</w:t>
            </w:r>
            <w:proofErr w:type="spellEnd"/>
            <w:r>
              <w:rPr>
                <w:bCs/>
                <w:sz w:val="22"/>
                <w:szCs w:val="22"/>
              </w:rPr>
              <w:t>. nach KW:</w:t>
            </w:r>
            <w:r>
              <w:rPr>
                <w:b/>
                <w:bCs/>
                <w:sz w:val="22"/>
                <w:szCs w:val="22"/>
              </w:rPr>
              <w:t xml:space="preserve"> </w:t>
            </w:r>
            <w:proofErr w:type="spellStart"/>
            <w:r>
              <w:rPr>
                <w:sz w:val="22"/>
                <w:szCs w:val="22"/>
              </w:rPr>
              <w:t>seit</w:t>
            </w:r>
            <w:proofErr w:type="spellEnd"/>
            <w:r>
              <w:rPr>
                <w:sz w:val="22"/>
                <w:szCs w:val="22"/>
              </w:rPr>
              <w:t xml:space="preserve"> KW43/44 mehr Frauen getestet, weibl. Anteil überwiegt auch in pos. </w:t>
            </w:r>
            <w:proofErr w:type="spellStart"/>
            <w:r>
              <w:rPr>
                <w:sz w:val="22"/>
                <w:szCs w:val="22"/>
              </w:rPr>
              <w:t>Inzi-denz</w:t>
            </w:r>
            <w:proofErr w:type="spellEnd"/>
            <w:r>
              <w:rPr>
                <w:sz w:val="22"/>
                <w:szCs w:val="22"/>
              </w:rPr>
              <w:t xml:space="preserve"> in Analogie zu Meldedaten </w:t>
            </w:r>
          </w:p>
          <w:p>
            <w:pPr>
              <w:pStyle w:val="Listenabsatz"/>
              <w:numPr>
                <w:ilvl w:val="1"/>
                <w:numId w:val="5"/>
              </w:numPr>
              <w:ind w:left="924" w:hanging="357"/>
              <w:rPr>
                <w:sz w:val="22"/>
                <w:szCs w:val="22"/>
              </w:rPr>
            </w:pPr>
            <w:proofErr w:type="spellStart"/>
            <w:r>
              <w:rPr>
                <w:sz w:val="22"/>
                <w:szCs w:val="22"/>
              </w:rPr>
              <w:t>Positivenanteile</w:t>
            </w:r>
            <w:proofErr w:type="spellEnd"/>
            <w:r>
              <w:rPr>
                <w:sz w:val="22"/>
                <w:szCs w:val="22"/>
              </w:rPr>
              <w:t xml:space="preserve"> nach AG und KW: steigender Trend bei &gt; 80-Jährigen setzt sich weiter fort, auch bei 60-79-Jährigen sind </w:t>
            </w:r>
            <w:proofErr w:type="spellStart"/>
            <w:r>
              <w:rPr>
                <w:sz w:val="22"/>
                <w:szCs w:val="22"/>
              </w:rPr>
              <w:t>Positivenanteile</w:t>
            </w:r>
            <w:proofErr w:type="spellEnd"/>
            <w:r>
              <w:rPr>
                <w:sz w:val="22"/>
                <w:szCs w:val="22"/>
              </w:rPr>
              <w:t xml:space="preserve"> im Vergleich zu anderen AG gestiegen, </w:t>
            </w:r>
            <w:proofErr w:type="spellStart"/>
            <w:r>
              <w:rPr>
                <w:sz w:val="22"/>
                <w:szCs w:val="22"/>
              </w:rPr>
              <w:t>Positivenanteile</w:t>
            </w:r>
            <w:proofErr w:type="spellEnd"/>
            <w:r>
              <w:rPr>
                <w:sz w:val="22"/>
                <w:szCs w:val="22"/>
              </w:rPr>
              <w:t xml:space="preserve"> bei jüngeren AG stagnierend (5-14 J) bis </w:t>
            </w:r>
            <w:proofErr w:type="spellStart"/>
            <w:r>
              <w:rPr>
                <w:sz w:val="22"/>
                <w:szCs w:val="22"/>
              </w:rPr>
              <w:t>ggr</w:t>
            </w:r>
            <w:proofErr w:type="spellEnd"/>
            <w:r>
              <w:rPr>
                <w:sz w:val="22"/>
                <w:szCs w:val="22"/>
              </w:rPr>
              <w:t>. abnehmend (15-59 J), kann sich jedoch durch Nach-übermittlung noch verändern</w:t>
            </w:r>
          </w:p>
          <w:p>
            <w:pPr>
              <w:pStyle w:val="Listenabsatz"/>
              <w:numPr>
                <w:ilvl w:val="1"/>
                <w:numId w:val="5"/>
              </w:numPr>
              <w:ind w:left="924" w:hanging="357"/>
              <w:rPr>
                <w:sz w:val="22"/>
                <w:szCs w:val="22"/>
              </w:rPr>
            </w:pPr>
            <w:r>
              <w:rPr>
                <w:sz w:val="22"/>
                <w:szCs w:val="22"/>
              </w:rPr>
              <w:t xml:space="preserve">Testverzug: trotz Anstieg der </w:t>
            </w:r>
            <w:proofErr w:type="spellStart"/>
            <w:r>
              <w:rPr>
                <w:sz w:val="22"/>
                <w:szCs w:val="22"/>
              </w:rPr>
              <w:t>Testzahl</w:t>
            </w:r>
            <w:proofErr w:type="spellEnd"/>
            <w:r>
              <w:rPr>
                <w:sz w:val="22"/>
                <w:szCs w:val="22"/>
              </w:rPr>
              <w:t xml:space="preserve"> scheinbar kein negativer Impact auf den Testverzug, hier weiterhin in ca. 75 % der Fälle Testergebnis binnen max. 2 Tagen nach Abnahme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ZIG1 (</w:t>
            </w:r>
            <w:proofErr w:type="spellStart"/>
            <w:r>
              <w:rPr>
                <w:sz w:val="22"/>
                <w:szCs w:val="22"/>
              </w:rPr>
              <w:t>Romo</w:t>
            </w:r>
            <w:proofErr w:type="spellEnd"/>
            <w:r>
              <w:rPr>
                <w:sz w:val="22"/>
                <w:szCs w:val="22"/>
              </w:rPr>
              <w:t xml:space="preserve"> Ventura)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(Glasmacher)</w:t>
            </w:r>
          </w:p>
          <w:p>
            <w:pPr>
              <w:rPr>
                <w:sz w:val="22"/>
                <w:szCs w:val="22"/>
              </w:rPr>
            </w:pPr>
          </w:p>
          <w:p>
            <w:pPr>
              <w:rPr>
                <w:sz w:val="22"/>
                <w:szCs w:val="22"/>
              </w:rPr>
            </w:pPr>
          </w:p>
          <w:p>
            <w:pPr>
              <w:rPr>
                <w:sz w:val="22"/>
                <w:szCs w:val="22"/>
              </w:rPr>
            </w:pPr>
            <w:r>
              <w:rPr>
                <w:sz w:val="22"/>
                <w:szCs w:val="22"/>
              </w:rPr>
              <w:t>FG38 (Rexroth)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r>
              <w:rPr>
                <w:sz w:val="22"/>
                <w:szCs w:val="22"/>
              </w:rPr>
              <w:t xml:space="preserve"> </w:t>
            </w:r>
          </w:p>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lang w:val="en-US"/>
              </w:rPr>
            </w:pPr>
            <w:r>
              <w:rPr>
                <w:sz w:val="22"/>
                <w:szCs w:val="22"/>
                <w:lang w:val="en-US"/>
              </w:rPr>
              <w:t>FG36 (</w:t>
            </w:r>
            <w:r>
              <w:rPr>
                <w:sz w:val="22"/>
                <w:lang w:val="en-US"/>
              </w:rPr>
              <w:t>Buda)</w:t>
            </w: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r>
              <w:rPr>
                <w:sz w:val="22"/>
                <w:lang w:val="en-US"/>
              </w:rPr>
              <w:t>FG38 (Rexroth)</w:t>
            </w: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r>
              <w:rPr>
                <w:sz w:val="22"/>
                <w:lang w:val="en-US"/>
              </w:rPr>
              <w:t xml:space="preserve">FG37 </w:t>
            </w:r>
          </w:p>
          <w:p>
            <w:pPr>
              <w:rPr>
                <w:sz w:val="22"/>
                <w:lang w:val="en-US"/>
              </w:rPr>
            </w:pPr>
            <w:r>
              <w:rPr>
                <w:sz w:val="22"/>
                <w:lang w:val="en-US"/>
              </w:rPr>
              <w:t>(Abu Sin)</w:t>
            </w: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lang w:val="en-US"/>
              </w:rPr>
            </w:pPr>
          </w:p>
          <w:p>
            <w:pPr>
              <w:rPr>
                <w:sz w:val="22"/>
                <w:szCs w:val="22"/>
                <w:lang w:val="en-US"/>
              </w:rPr>
            </w:pPr>
          </w:p>
          <w:p>
            <w:pPr>
              <w:rPr>
                <w:sz w:val="22"/>
                <w:szCs w:val="22"/>
                <w:lang w:val="en-US"/>
              </w:rPr>
            </w:pPr>
          </w:p>
          <w:p>
            <w:pPr>
              <w:rPr>
                <w:sz w:val="22"/>
                <w:szCs w:val="22"/>
                <w:lang w:val="en-US"/>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p>
          <w:p>
            <w:pPr>
              <w:pStyle w:val="Listenabsatz"/>
              <w:numPr>
                <w:ilvl w:val="0"/>
                <w:numId w:val="5"/>
              </w:numPr>
              <w:ind w:left="482"/>
              <w:rPr>
                <w:sz w:val="22"/>
                <w:szCs w:val="22"/>
              </w:rPr>
            </w:pPr>
            <w:r>
              <w:rPr>
                <w:sz w:val="22"/>
                <w:szCs w:val="22"/>
              </w:rPr>
              <w:t>Nicht besprochen</w:t>
            </w:r>
          </w:p>
          <w:p>
            <w:pPr>
              <w:rPr>
                <w:b/>
                <w:sz w:val="22"/>
                <w:szCs w:val="22"/>
              </w:rPr>
            </w:pPr>
          </w:p>
        </w:tc>
        <w:tc>
          <w:tcPr>
            <w:tcW w:w="1492" w:type="dxa"/>
          </w:tcPr>
          <w:p>
            <w:pPr>
              <w:rPr>
                <w:sz w:val="22"/>
                <w:szCs w:val="22"/>
              </w:rPr>
            </w:pPr>
          </w:p>
          <w:p>
            <w:pPr>
              <w:rPr>
                <w:sz w:val="22"/>
                <w:szCs w:val="22"/>
              </w:rPr>
            </w:pP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rPr>
              <w:t>(nur montags)</w:t>
            </w:r>
          </w:p>
          <w:p>
            <w:pPr>
              <w:pStyle w:val="Listenabsatz"/>
              <w:numPr>
                <w:ilvl w:val="0"/>
                <w:numId w:val="5"/>
              </w:numPr>
              <w:ind w:left="453" w:hanging="340"/>
              <w:rPr>
                <w:sz w:val="22"/>
                <w:szCs w:val="22"/>
              </w:rPr>
            </w:pPr>
            <w:r>
              <w:rPr>
                <w:sz w:val="22"/>
                <w:szCs w:val="22"/>
              </w:rPr>
              <w:t xml:space="preserve">Nicht besprochen </w:t>
            </w:r>
          </w:p>
          <w:p>
            <w:pPr>
              <w:pStyle w:val="Listenabsatz"/>
              <w:ind w:left="453"/>
              <w:rPr>
                <w:sz w:val="22"/>
                <w:szCs w:val="22"/>
              </w:rPr>
            </w:pPr>
          </w:p>
        </w:tc>
        <w:tc>
          <w:tcPr>
            <w:tcW w:w="1492" w:type="dxa"/>
          </w:tcPr>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Keine Beiträge</w:t>
            </w:r>
          </w:p>
          <w:p>
            <w:pPr>
              <w:ind w:left="25"/>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rPr>
                <w:b/>
                <w:sz w:val="28"/>
                <w:szCs w:val="28"/>
              </w:rPr>
            </w:pPr>
            <w:r>
              <w:rPr>
                <w:b/>
                <w:sz w:val="28"/>
                <w:szCs w:val="28"/>
              </w:rPr>
              <w:t>Kommunikation</w:t>
            </w:r>
          </w:p>
          <w:p>
            <w:pPr>
              <w:rPr>
                <w:b/>
                <w:sz w:val="22"/>
              </w:rPr>
            </w:pPr>
            <w:r>
              <w:rPr>
                <w:b/>
                <w:sz w:val="22"/>
              </w:rPr>
              <w:t>BZgA</w:t>
            </w:r>
          </w:p>
          <w:p>
            <w:pPr>
              <w:pStyle w:val="Listenabsatz"/>
              <w:numPr>
                <w:ilvl w:val="0"/>
                <w:numId w:val="25"/>
              </w:numPr>
              <w:ind w:left="453" w:hanging="340"/>
              <w:rPr>
                <w:sz w:val="22"/>
                <w:szCs w:val="22"/>
              </w:rPr>
            </w:pPr>
            <w:r>
              <w:rPr>
                <w:sz w:val="22"/>
                <w:szCs w:val="22"/>
              </w:rPr>
              <w:t>Presseaktion in Sachsen-Anhalt: große Resonanz, Fragen-</w:t>
            </w:r>
            <w:proofErr w:type="spellStart"/>
            <w:r>
              <w:rPr>
                <w:sz w:val="22"/>
                <w:szCs w:val="22"/>
              </w:rPr>
              <w:t>schwerpunkt</w:t>
            </w:r>
            <w:proofErr w:type="spellEnd"/>
            <w:r>
              <w:rPr>
                <w:sz w:val="22"/>
                <w:szCs w:val="22"/>
              </w:rPr>
              <w:t xml:space="preserve">:  wo finden die Impfungen statt, wo sind Informationen zur Impfung erhältlich und sind chronische Erkrankungen ein Ausschlusskriterium </w:t>
            </w:r>
          </w:p>
          <w:p>
            <w:pPr>
              <w:rPr>
                <w:sz w:val="22"/>
                <w:szCs w:val="22"/>
              </w:rPr>
            </w:pPr>
          </w:p>
          <w:p>
            <w:pPr>
              <w:rPr>
                <w:b/>
                <w:sz w:val="22"/>
                <w:szCs w:val="22"/>
              </w:rPr>
            </w:pPr>
            <w:r>
              <w:rPr>
                <w:b/>
                <w:sz w:val="22"/>
                <w:szCs w:val="22"/>
              </w:rPr>
              <w:t>Presse</w:t>
            </w:r>
          </w:p>
          <w:p>
            <w:pPr>
              <w:pStyle w:val="Listenabsatz"/>
              <w:numPr>
                <w:ilvl w:val="0"/>
                <w:numId w:val="5"/>
              </w:numPr>
              <w:ind w:left="453" w:hanging="340"/>
              <w:rPr>
                <w:sz w:val="22"/>
                <w:szCs w:val="22"/>
              </w:rPr>
            </w:pPr>
            <w:r>
              <w:rPr>
                <w:sz w:val="22"/>
                <w:szCs w:val="22"/>
              </w:rPr>
              <w:t>Sprachregelung zur neuen UK-Virusvariante soweit finalisiert und mit FG17 abgestimmt</w:t>
            </w:r>
          </w:p>
          <w:p>
            <w:pPr>
              <w:pStyle w:val="Listenabsatz"/>
              <w:numPr>
                <w:ilvl w:val="0"/>
                <w:numId w:val="5"/>
              </w:numPr>
              <w:ind w:left="453" w:hanging="340"/>
              <w:rPr>
                <w:sz w:val="22"/>
                <w:szCs w:val="22"/>
              </w:rPr>
            </w:pPr>
            <w:r>
              <w:rPr>
                <w:sz w:val="22"/>
                <w:szCs w:val="22"/>
              </w:rPr>
              <w:t xml:space="preserve">Zur Überarbeitung des Internetauftritts hinsichtlich neuer UK-Variante: es werden zeitnah dazu neue Informationen seitens UK bereitgestellt, rasche Einarbeitung dann nötig, Text aufgrund des Feiertagsdienstes jederzeit </w:t>
            </w:r>
            <w:proofErr w:type="spellStart"/>
            <w:r>
              <w:rPr>
                <w:sz w:val="22"/>
                <w:szCs w:val="22"/>
              </w:rPr>
              <w:t>überarbeitbar</w:t>
            </w:r>
            <w:proofErr w:type="spellEnd"/>
            <w:r>
              <w:rPr>
                <w:sz w:val="22"/>
                <w:szCs w:val="22"/>
              </w:rPr>
              <w:t xml:space="preserve"> unter inhaltlicher Zuarbeit des Lagezentrums (Rufbereitschaft) </w:t>
            </w:r>
          </w:p>
          <w:p>
            <w:pPr>
              <w:pStyle w:val="Listenabsatz"/>
              <w:numPr>
                <w:ilvl w:val="0"/>
                <w:numId w:val="5"/>
              </w:numPr>
              <w:ind w:left="453" w:hanging="340"/>
              <w:rPr>
                <w:sz w:val="22"/>
                <w:szCs w:val="22"/>
              </w:rPr>
            </w:pPr>
            <w:r>
              <w:rPr>
                <w:sz w:val="22"/>
                <w:szCs w:val="22"/>
              </w:rPr>
              <w:t>Überarbeitung hinsichtlich neuer Virusvariante aus Südafrika ebenfalls nötig, sollte bereits heute kurz mitaufgenommen werden, zumal beunruhigender als UK-Variante (s.o.), Herr Wieler sucht den Preprint raus und gibt ihn an Presseabteilung weiter</w:t>
            </w:r>
          </w:p>
          <w:p>
            <w:pPr>
              <w:pStyle w:val="Listenabsatz"/>
              <w:ind w:left="453"/>
              <w:rPr>
                <w:sz w:val="22"/>
                <w:szCs w:val="22"/>
              </w:rPr>
            </w:pPr>
          </w:p>
          <w:p>
            <w:pPr>
              <w:rPr>
                <w:i/>
                <w:sz w:val="22"/>
                <w:szCs w:val="22"/>
              </w:rPr>
            </w:pPr>
            <w:proofErr w:type="spellStart"/>
            <w:r>
              <w:rPr>
                <w:i/>
                <w:sz w:val="22"/>
                <w:szCs w:val="22"/>
              </w:rPr>
              <w:t>To</w:t>
            </w:r>
            <w:proofErr w:type="spellEnd"/>
            <w:r>
              <w:rPr>
                <w:i/>
                <w:sz w:val="22"/>
                <w:szCs w:val="22"/>
              </w:rPr>
              <w:t xml:space="preserve"> Do 1: Bitte an Herrn Wieler, Preprint zur südafrikanischen Virusvariante an Presse weiterzuleiten</w:t>
            </w:r>
          </w:p>
          <w:p>
            <w:pPr>
              <w:rPr>
                <w:i/>
                <w:sz w:val="22"/>
                <w:szCs w:val="22"/>
              </w:rPr>
            </w:pPr>
          </w:p>
          <w:p>
            <w:pPr>
              <w:rPr>
                <w:i/>
                <w:sz w:val="22"/>
                <w:szCs w:val="22"/>
              </w:rPr>
            </w:pPr>
            <w:proofErr w:type="spellStart"/>
            <w:r>
              <w:rPr>
                <w:i/>
                <w:sz w:val="22"/>
                <w:szCs w:val="22"/>
              </w:rPr>
              <w:t>To</w:t>
            </w:r>
            <w:proofErr w:type="spellEnd"/>
            <w:r>
              <w:rPr>
                <w:i/>
                <w:sz w:val="22"/>
                <w:szCs w:val="22"/>
              </w:rPr>
              <w:t xml:space="preserve"> Do 2: Bitte an Presse um Überarbeitung auch hinsichtlich neuer Virusvariante (Südafrika) und Übermittlung der Sprachregelung an Herrn Schaade</w:t>
            </w:r>
          </w:p>
          <w:p>
            <w:pPr>
              <w:rPr>
                <w:i/>
                <w:sz w:val="22"/>
                <w:szCs w:val="22"/>
              </w:rPr>
            </w:pPr>
          </w:p>
          <w:p>
            <w:pPr>
              <w:rPr>
                <w:i/>
                <w:sz w:val="22"/>
                <w:szCs w:val="22"/>
              </w:rPr>
            </w:pPr>
            <w:proofErr w:type="spellStart"/>
            <w:r>
              <w:rPr>
                <w:i/>
                <w:sz w:val="22"/>
                <w:szCs w:val="22"/>
              </w:rPr>
              <w:t>To</w:t>
            </w:r>
            <w:proofErr w:type="spellEnd"/>
            <w:r>
              <w:rPr>
                <w:i/>
                <w:sz w:val="22"/>
                <w:szCs w:val="22"/>
              </w:rPr>
              <w:t xml:space="preserve"> Do 3: Keine Situationsberichte am 25.12.20202 und 01.01.2021: dies muss zuvor im Situationsbericht und an den jeweiligen Tagen selbst im Internet kenntlich gemacht werden (Anweisung seitens Minister), auch unter Erwähnung, dass somit keine neuen R-Werte/ Tabellen zur Verfügung stehen (hier besser Hinweis selbst statt Daten/Tabellen vom Vortag zu zeigen)</w:t>
            </w:r>
          </w:p>
          <w:p>
            <w:pPr>
              <w:pStyle w:val="Listenabsatz"/>
              <w:ind w:left="453"/>
              <w:rPr>
                <w:sz w:val="22"/>
                <w:szCs w:val="22"/>
              </w:rPr>
            </w:pPr>
          </w:p>
        </w:tc>
        <w:tc>
          <w:tcPr>
            <w:tcW w:w="1492" w:type="dxa"/>
          </w:tcPr>
          <w:p>
            <w:pPr>
              <w:rPr>
                <w:sz w:val="22"/>
                <w:szCs w:val="22"/>
              </w:rPr>
            </w:pPr>
          </w:p>
          <w:p>
            <w:pPr>
              <w:rPr>
                <w:sz w:val="22"/>
                <w:szCs w:val="22"/>
                <w:lang w:val="en-US"/>
              </w:rPr>
            </w:pPr>
            <w:proofErr w:type="spellStart"/>
            <w:r>
              <w:rPr>
                <w:sz w:val="22"/>
                <w:szCs w:val="22"/>
                <w:lang w:val="en-US"/>
              </w:rPr>
              <w:t>BZgA</w:t>
            </w:r>
            <w:proofErr w:type="spellEnd"/>
            <w:r>
              <w:rPr>
                <w:sz w:val="22"/>
                <w:szCs w:val="22"/>
                <w:lang w:val="en-US"/>
              </w:rPr>
              <w:t xml:space="preserve"> </w:t>
            </w:r>
          </w:p>
          <w:p>
            <w:pPr>
              <w:rPr>
                <w:sz w:val="22"/>
                <w:szCs w:val="22"/>
                <w:lang w:val="en-US"/>
              </w:rPr>
            </w:pPr>
            <w:r>
              <w:rPr>
                <w:sz w:val="22"/>
                <w:szCs w:val="22"/>
                <w:lang w:val="en-US"/>
              </w:rPr>
              <w:t>(</w:t>
            </w:r>
            <w:proofErr w:type="spellStart"/>
            <w:r>
              <w:rPr>
                <w:sz w:val="22"/>
                <w:szCs w:val="22"/>
                <w:lang w:val="en-US"/>
              </w:rPr>
              <w:t>Thaiss</w:t>
            </w:r>
            <w:proofErr w:type="spellEnd"/>
            <w:r>
              <w:rPr>
                <w:sz w:val="22"/>
                <w:szCs w:val="22"/>
                <w:lang w:val="en-US"/>
              </w:rPr>
              <w:t>)</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Presse (</w:t>
            </w:r>
            <w:proofErr w:type="spellStart"/>
            <w:proofErr w:type="gramStart"/>
            <w:r>
              <w:rPr>
                <w:sz w:val="22"/>
                <w:szCs w:val="22"/>
                <w:lang w:val="en-US"/>
              </w:rPr>
              <w:t>Glasmacher,Wenchel</w:t>
            </w:r>
            <w:proofErr w:type="spellEnd"/>
            <w:proofErr w:type="gramEnd"/>
            <w:r>
              <w:rPr>
                <w:sz w:val="22"/>
                <w:szCs w:val="22"/>
                <w:lang w:val="en-US"/>
              </w:rPr>
              <w:t>)</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p>
        </w:tc>
      </w:tr>
      <w:tr>
        <w:tc>
          <w:tcPr>
            <w:tcW w:w="684" w:type="dxa"/>
          </w:tcPr>
          <w:p>
            <w:pPr>
              <w:rPr>
                <w:b/>
              </w:rPr>
            </w:pPr>
            <w:r>
              <w:rPr>
                <w:b/>
              </w:rPr>
              <w:t>6</w:t>
            </w:r>
          </w:p>
        </w:tc>
        <w:tc>
          <w:tcPr>
            <w:tcW w:w="6795" w:type="dxa"/>
          </w:tcPr>
          <w:p>
            <w:pPr>
              <w:rPr>
                <w:b/>
                <w:sz w:val="28"/>
              </w:rPr>
            </w:pPr>
            <w:r>
              <w:rPr>
                <w:b/>
                <w:sz w:val="28"/>
              </w:rPr>
              <w:t>RKI-Strategie Fragen</w:t>
            </w:r>
          </w:p>
          <w:p>
            <w:pPr>
              <w:pStyle w:val="Listenabsatz"/>
              <w:numPr>
                <w:ilvl w:val="0"/>
                <w:numId w:val="6"/>
              </w:numPr>
              <w:ind w:left="340" w:hanging="340"/>
              <w:rPr>
                <w:b/>
                <w:sz w:val="22"/>
              </w:rPr>
            </w:pPr>
            <w:r>
              <w:rPr>
                <w:b/>
                <w:sz w:val="22"/>
              </w:rPr>
              <w:t>Allgemein</w:t>
            </w:r>
          </w:p>
          <w:p>
            <w:pPr>
              <w:pStyle w:val="Listenabsatz"/>
              <w:numPr>
                <w:ilvl w:val="0"/>
                <w:numId w:val="31"/>
              </w:numPr>
              <w:ind w:left="482"/>
              <w:rPr>
                <w:sz w:val="22"/>
                <w:szCs w:val="22"/>
              </w:rPr>
            </w:pPr>
            <w:r>
              <w:rPr>
                <w:b/>
                <w:sz w:val="22"/>
                <w:szCs w:val="22"/>
              </w:rPr>
              <w:t>Modellierung</w:t>
            </w:r>
            <w:r>
              <w:rPr>
                <w:sz w:val="22"/>
                <w:szCs w:val="22"/>
              </w:rPr>
              <w:t xml:space="preserve"> (Folien </w:t>
            </w:r>
            <w:r>
              <w:rPr>
                <w:sz w:val="22"/>
                <w:szCs w:val="22"/>
                <w:highlight w:val="yellow"/>
              </w:rPr>
              <w:t>hier bzw. folgen</w:t>
            </w:r>
            <w:r>
              <w:rPr>
                <w:rStyle w:val="Hyperlink"/>
                <w:color w:val="auto"/>
                <w:sz w:val="22"/>
                <w:szCs w:val="22"/>
                <w:u w:val="none"/>
              </w:rPr>
              <w:t>)</w:t>
            </w:r>
          </w:p>
          <w:p>
            <w:pPr>
              <w:pStyle w:val="Listenabsatz"/>
              <w:numPr>
                <w:ilvl w:val="1"/>
                <w:numId w:val="31"/>
              </w:numPr>
              <w:ind w:left="1049"/>
              <w:rPr>
                <w:sz w:val="22"/>
                <w:szCs w:val="22"/>
              </w:rPr>
            </w:pPr>
            <w:r>
              <w:rPr>
                <w:sz w:val="22"/>
                <w:szCs w:val="22"/>
              </w:rPr>
              <w:t xml:space="preserve">Grafische Darstellung der Mobilität im zeitlichen Verlauf,  3-4 Wochen vor Lockdown substanziell höhere Mobilität ab KW 47 in allen Bundesländern – außer Sachsen am Montag und Dienstag des dortigen Lockdowns, starke Abnahme der Mobilität, während aufgrund der Voran-kündigung des Lockdowns die Mobilität an diesen Tagen in diesen </w:t>
            </w:r>
            <w:proofErr w:type="spellStart"/>
            <w:r>
              <w:rPr>
                <w:sz w:val="22"/>
                <w:szCs w:val="22"/>
              </w:rPr>
              <w:t>BuLä</w:t>
            </w:r>
            <w:proofErr w:type="spellEnd"/>
            <w:r>
              <w:rPr>
                <w:sz w:val="22"/>
                <w:szCs w:val="22"/>
              </w:rPr>
              <w:t xml:space="preserve"> noch zunahm</w:t>
            </w:r>
          </w:p>
          <w:p>
            <w:pPr>
              <w:pStyle w:val="Listenabsatz"/>
              <w:numPr>
                <w:ilvl w:val="1"/>
                <w:numId w:val="31"/>
              </w:numPr>
              <w:ind w:left="1049"/>
              <w:rPr>
                <w:sz w:val="22"/>
                <w:szCs w:val="22"/>
              </w:rPr>
            </w:pPr>
            <w:proofErr w:type="spellStart"/>
            <w:r>
              <w:rPr>
                <w:sz w:val="22"/>
                <w:szCs w:val="22"/>
              </w:rPr>
              <w:lastRenderedPageBreak/>
              <w:t>Bsp</w:t>
            </w:r>
            <w:proofErr w:type="spellEnd"/>
            <w:r>
              <w:rPr>
                <w:sz w:val="22"/>
                <w:szCs w:val="22"/>
              </w:rPr>
              <w:t>: BaWü - oben links Montag, Uhrzeit auf x-Achse stündlich, versch. Farben = unterschiedliche Wochen, rot: Montag vor</w:t>
            </w:r>
            <w:r>
              <w:rPr>
                <w:color w:val="FF0000"/>
                <w:sz w:val="22"/>
                <w:szCs w:val="22"/>
              </w:rPr>
              <w:t xml:space="preserve"> </w:t>
            </w:r>
            <w:r>
              <w:rPr>
                <w:sz w:val="22"/>
                <w:szCs w:val="22"/>
              </w:rPr>
              <w:t xml:space="preserve">Lockdown: starker Anstieg (bis auf in Sachsen) </w:t>
            </w:r>
          </w:p>
          <w:p>
            <w:pPr>
              <w:pStyle w:val="Listenabsatz"/>
              <w:numPr>
                <w:ilvl w:val="1"/>
                <w:numId w:val="31"/>
              </w:numPr>
              <w:ind w:left="1049"/>
              <w:rPr>
                <w:sz w:val="22"/>
                <w:szCs w:val="22"/>
              </w:rPr>
            </w:pPr>
            <w:r>
              <w:rPr>
                <w:sz w:val="22"/>
                <w:szCs w:val="22"/>
              </w:rPr>
              <w:t xml:space="preserve">Insgesamt: weder „Lockdown light“ noch „echter Lock-down“ scheinen einen drastischen Effekt auf die Mobilität zu haben, diese wird vielmehr durch Ladenschließungen beschränkt (Mittwoch), switch der roten Kurve von ober- auf 20 % unterhalb der Vorwochen </w:t>
            </w:r>
            <w:r>
              <w:sym w:font="Wingdings" w:char="F0E0"/>
            </w:r>
            <w:r>
              <w:rPr>
                <w:sz w:val="22"/>
                <w:szCs w:val="22"/>
              </w:rPr>
              <w:t xml:space="preserve"> Binnenmobilität korreliert stark mit Einkaufsverhalten, scheinbar deutlicher als mit anderen möglichen Mobilitätsfaktoren wie Arbeit o.ä.  </w:t>
            </w:r>
          </w:p>
          <w:p>
            <w:pPr>
              <w:pStyle w:val="Listenabsatz"/>
              <w:numPr>
                <w:ilvl w:val="1"/>
                <w:numId w:val="31"/>
              </w:numPr>
              <w:ind w:left="1049"/>
              <w:rPr>
                <w:sz w:val="22"/>
                <w:szCs w:val="22"/>
              </w:rPr>
            </w:pPr>
            <w:r>
              <w:rPr>
                <w:sz w:val="22"/>
                <w:szCs w:val="22"/>
              </w:rPr>
              <w:t xml:space="preserve">Das Reiseverhalten sowie die zeitlich weitere Abfolge </w:t>
            </w:r>
            <w:proofErr w:type="gramStart"/>
            <w:r>
              <w:rPr>
                <w:sz w:val="22"/>
                <w:szCs w:val="22"/>
              </w:rPr>
              <w:t>hinsichtlich Lockdown</w:t>
            </w:r>
            <w:proofErr w:type="gramEnd"/>
            <w:r>
              <w:rPr>
                <w:sz w:val="22"/>
                <w:szCs w:val="22"/>
              </w:rPr>
              <w:t xml:space="preserve"> werden nachfolgend analysiert </w:t>
            </w:r>
          </w:p>
          <w:p>
            <w:pPr>
              <w:pStyle w:val="Listenabsatz"/>
              <w:rPr>
                <w:sz w:val="22"/>
                <w:szCs w:val="22"/>
              </w:rPr>
            </w:pPr>
          </w:p>
          <w:p>
            <w:pPr>
              <w:pStyle w:val="Listenabsatz"/>
              <w:numPr>
                <w:ilvl w:val="0"/>
                <w:numId w:val="31"/>
              </w:numPr>
              <w:rPr>
                <w:sz w:val="22"/>
                <w:szCs w:val="22"/>
              </w:rPr>
            </w:pPr>
            <w:r>
              <w:rPr>
                <w:b/>
                <w:sz w:val="22"/>
                <w:szCs w:val="22"/>
              </w:rPr>
              <w:t>Datenintegration</w:t>
            </w:r>
            <w:r>
              <w:rPr>
                <w:sz w:val="22"/>
                <w:szCs w:val="22"/>
              </w:rPr>
              <w:t xml:space="preserve"> (Folien </w:t>
            </w:r>
            <w:hyperlink r:id="rId14" w:history="1">
              <w:r>
                <w:rPr>
                  <w:rStyle w:val="Hyperlink"/>
                  <w:sz w:val="22"/>
                  <w:szCs w:val="22"/>
                </w:rPr>
                <w:t>hier</w:t>
              </w:r>
            </w:hyperlink>
            <w:r>
              <w:rPr>
                <w:sz w:val="22"/>
                <w:szCs w:val="22"/>
              </w:rPr>
              <w:t xml:space="preserve">) </w:t>
            </w:r>
          </w:p>
          <w:p>
            <w:pPr>
              <w:pStyle w:val="Listenabsatz"/>
              <w:numPr>
                <w:ilvl w:val="1"/>
                <w:numId w:val="31"/>
              </w:numPr>
              <w:ind w:left="1049"/>
              <w:rPr>
                <w:sz w:val="22"/>
                <w:szCs w:val="22"/>
              </w:rPr>
            </w:pPr>
            <w:r>
              <w:rPr>
                <w:sz w:val="22"/>
                <w:szCs w:val="22"/>
              </w:rPr>
              <w:t xml:space="preserve">Integrierte Datenquellen (autonome Datensammlung): RKI Website, ECDC, DIVI, Dashboard und weitere Daten-quellen genutzt, automatisierte Prozessierung und Über-führung in Datenbank </w:t>
            </w:r>
            <w:r>
              <w:rPr>
                <w:sz w:val="22"/>
                <w:szCs w:val="22"/>
              </w:rPr>
              <w:sym w:font="Wingdings" w:char="F0E0"/>
            </w:r>
            <w:r>
              <w:rPr>
                <w:sz w:val="22"/>
                <w:szCs w:val="22"/>
              </w:rPr>
              <w:t xml:space="preserve"> einheitliches Format, ein </w:t>
            </w:r>
            <w:proofErr w:type="spellStart"/>
            <w:r>
              <w:rPr>
                <w:sz w:val="22"/>
                <w:szCs w:val="22"/>
              </w:rPr>
              <w:t>Reposi</w:t>
            </w:r>
            <w:proofErr w:type="spellEnd"/>
            <w:r>
              <w:rPr>
                <w:sz w:val="22"/>
                <w:szCs w:val="22"/>
              </w:rPr>
              <w:t>-tory (derzeit noch privat), zentrale Zurverfügungstellung für alle Gruppen des RKI</w:t>
            </w:r>
          </w:p>
          <w:p>
            <w:pPr>
              <w:pStyle w:val="Listenabsatz"/>
              <w:numPr>
                <w:ilvl w:val="1"/>
                <w:numId w:val="31"/>
              </w:numPr>
              <w:ind w:left="1049"/>
              <w:rPr>
                <w:sz w:val="22"/>
                <w:szCs w:val="22"/>
              </w:rPr>
            </w:pPr>
            <w:r>
              <w:rPr>
                <w:sz w:val="22"/>
                <w:szCs w:val="22"/>
              </w:rPr>
              <w:t xml:space="preserve">Bereitgestellte Zeitreihen: meist aus Dashboard und DIVI sowie </w:t>
            </w:r>
            <w:proofErr w:type="spellStart"/>
            <w:r>
              <w:rPr>
                <w:sz w:val="22"/>
                <w:szCs w:val="22"/>
              </w:rPr>
              <w:t>Testing</w:t>
            </w:r>
            <w:proofErr w:type="spellEnd"/>
            <w:r>
              <w:rPr>
                <w:sz w:val="22"/>
                <w:szCs w:val="22"/>
              </w:rPr>
              <w:t>-Daten, bereits viele Zeitreihen integriert</w:t>
            </w:r>
          </w:p>
          <w:p>
            <w:pPr>
              <w:pStyle w:val="Listenabsatz"/>
              <w:numPr>
                <w:ilvl w:val="1"/>
                <w:numId w:val="31"/>
              </w:numPr>
              <w:ind w:left="1049"/>
              <w:rPr>
                <w:sz w:val="22"/>
                <w:szCs w:val="22"/>
              </w:rPr>
            </w:pPr>
            <w:r>
              <w:rPr>
                <w:sz w:val="22"/>
                <w:szCs w:val="22"/>
              </w:rPr>
              <w:t xml:space="preserve">Interaktiver Datenexplorer zwecks </w:t>
            </w:r>
            <w:proofErr w:type="spellStart"/>
            <w:r>
              <w:rPr>
                <w:sz w:val="22"/>
                <w:szCs w:val="22"/>
              </w:rPr>
              <w:t>Datenmonitoring</w:t>
            </w:r>
            <w:proofErr w:type="spellEnd"/>
            <w:r>
              <w:rPr>
                <w:sz w:val="22"/>
                <w:szCs w:val="22"/>
              </w:rPr>
              <w:t xml:space="preserve"> (LK, </w:t>
            </w:r>
            <w:proofErr w:type="spellStart"/>
            <w:r>
              <w:rPr>
                <w:sz w:val="22"/>
                <w:szCs w:val="22"/>
              </w:rPr>
              <w:t>BuLä</w:t>
            </w:r>
            <w:proofErr w:type="spellEnd"/>
            <w:r>
              <w:rPr>
                <w:sz w:val="22"/>
                <w:szCs w:val="22"/>
              </w:rPr>
              <w:t>)</w:t>
            </w:r>
          </w:p>
          <w:p>
            <w:pPr>
              <w:pStyle w:val="Listenabsatz"/>
              <w:numPr>
                <w:ilvl w:val="1"/>
                <w:numId w:val="31"/>
              </w:numPr>
              <w:ind w:left="1049"/>
              <w:rPr>
                <w:sz w:val="22"/>
                <w:szCs w:val="22"/>
              </w:rPr>
            </w:pPr>
            <w:r>
              <w:rPr>
                <w:sz w:val="22"/>
                <w:szCs w:val="22"/>
              </w:rPr>
              <w:t>Integrierte Analysen (</w:t>
            </w:r>
            <w:proofErr w:type="spellStart"/>
            <w:r>
              <w:rPr>
                <w:sz w:val="22"/>
                <w:szCs w:val="22"/>
              </w:rPr>
              <w:t>work</w:t>
            </w:r>
            <w:proofErr w:type="spellEnd"/>
            <w:r>
              <w:rPr>
                <w:sz w:val="22"/>
                <w:szCs w:val="22"/>
              </w:rPr>
              <w:t xml:space="preserve"> in </w:t>
            </w:r>
            <w:proofErr w:type="spellStart"/>
            <w:r>
              <w:rPr>
                <w:sz w:val="22"/>
                <w:szCs w:val="22"/>
              </w:rPr>
              <w:t>progress</w:t>
            </w:r>
            <w:proofErr w:type="spellEnd"/>
            <w:r>
              <w:rPr>
                <w:sz w:val="22"/>
                <w:szCs w:val="22"/>
              </w:rPr>
              <w:t xml:space="preserve">): Ziel = Erstellung einer Karte nicht nur für einzelne Zeitreihen von Fällen sondern auch von Datenspende, Mobilität, </w:t>
            </w:r>
            <w:proofErr w:type="spellStart"/>
            <w:r>
              <w:rPr>
                <w:sz w:val="22"/>
                <w:szCs w:val="22"/>
              </w:rPr>
              <w:t>Testingraten</w:t>
            </w:r>
            <w:proofErr w:type="spellEnd"/>
          </w:p>
          <w:p>
            <w:pPr>
              <w:pStyle w:val="Listenabsatz"/>
              <w:numPr>
                <w:ilvl w:val="1"/>
                <w:numId w:val="31"/>
              </w:numPr>
              <w:ind w:left="1049"/>
              <w:rPr>
                <w:sz w:val="22"/>
                <w:szCs w:val="22"/>
              </w:rPr>
            </w:pPr>
            <w:r>
              <w:rPr>
                <w:sz w:val="22"/>
                <w:szCs w:val="22"/>
              </w:rPr>
              <w:t xml:space="preserve">Interaktive Zeitreihenanzeige (bspw. zu Fallzahlen ITS, </w:t>
            </w:r>
            <w:proofErr w:type="spellStart"/>
            <w:r>
              <w:rPr>
                <w:sz w:val="22"/>
                <w:szCs w:val="22"/>
              </w:rPr>
              <w:t>occupied</w:t>
            </w:r>
            <w:proofErr w:type="spellEnd"/>
            <w:r>
              <w:rPr>
                <w:sz w:val="22"/>
                <w:szCs w:val="22"/>
              </w:rPr>
              <w:t xml:space="preserve"> </w:t>
            </w:r>
            <w:proofErr w:type="spellStart"/>
            <w:r>
              <w:rPr>
                <w:sz w:val="22"/>
                <w:szCs w:val="22"/>
              </w:rPr>
              <w:t>beds</w:t>
            </w:r>
            <w:proofErr w:type="spellEnd"/>
            <w:r>
              <w:rPr>
                <w:sz w:val="22"/>
                <w:szCs w:val="22"/>
              </w:rPr>
              <w:t xml:space="preserve"> etc.) und Vergleichbarkeit bspw. mit </w:t>
            </w:r>
            <w:proofErr w:type="spellStart"/>
            <w:r>
              <w:rPr>
                <w:sz w:val="22"/>
                <w:szCs w:val="22"/>
              </w:rPr>
              <w:t>ande-ren</w:t>
            </w:r>
            <w:proofErr w:type="spellEnd"/>
            <w:r>
              <w:rPr>
                <w:sz w:val="22"/>
                <w:szCs w:val="22"/>
              </w:rPr>
              <w:t xml:space="preserve"> LK sowie Umschaltbarkeit auf log-Skala (</w:t>
            </w:r>
            <w:r>
              <w:rPr>
                <w:sz w:val="22"/>
                <w:szCs w:val="22"/>
              </w:rPr>
              <w:sym w:font="Wingdings" w:char="F0E0"/>
            </w:r>
            <w:r>
              <w:rPr>
                <w:sz w:val="22"/>
                <w:szCs w:val="22"/>
              </w:rPr>
              <w:t xml:space="preserve"> </w:t>
            </w:r>
            <w:proofErr w:type="spellStart"/>
            <w:r>
              <w:rPr>
                <w:sz w:val="22"/>
                <w:szCs w:val="22"/>
              </w:rPr>
              <w:t>exponen-tielles</w:t>
            </w:r>
            <w:proofErr w:type="spellEnd"/>
            <w:r>
              <w:rPr>
                <w:sz w:val="22"/>
                <w:szCs w:val="22"/>
              </w:rPr>
              <w:t xml:space="preserve"> Wachstum)</w:t>
            </w:r>
          </w:p>
          <w:p>
            <w:pPr>
              <w:pStyle w:val="Listenabsatz"/>
              <w:numPr>
                <w:ilvl w:val="1"/>
                <w:numId w:val="31"/>
              </w:numPr>
              <w:ind w:left="1049"/>
              <w:rPr>
                <w:sz w:val="22"/>
                <w:szCs w:val="22"/>
              </w:rPr>
            </w:pPr>
            <w:r>
              <w:rPr>
                <w:sz w:val="22"/>
                <w:szCs w:val="22"/>
              </w:rPr>
              <w:t xml:space="preserve">Tool soll intern RKI-weit zur Verfügung stehen für Datenauswertung/Diagrammerstellung zwecks Ressourcenschonung, die hier bereitgestellten Formate sind konsistent und müssen kaum vor- oder nachbereitet werden </w:t>
            </w:r>
          </w:p>
          <w:p>
            <w:pPr>
              <w:pStyle w:val="Listenabsatz"/>
              <w:numPr>
                <w:ilvl w:val="1"/>
                <w:numId w:val="31"/>
              </w:numPr>
              <w:ind w:left="1049"/>
              <w:rPr>
                <w:sz w:val="22"/>
                <w:szCs w:val="22"/>
              </w:rPr>
            </w:pPr>
            <w:r>
              <w:rPr>
                <w:sz w:val="22"/>
                <w:szCs w:val="22"/>
              </w:rPr>
              <w:t xml:space="preserve">Diskussion: </w:t>
            </w:r>
          </w:p>
          <w:p>
            <w:pPr>
              <w:pStyle w:val="Listenabsatz"/>
              <w:numPr>
                <w:ilvl w:val="2"/>
                <w:numId w:val="31"/>
              </w:numPr>
              <w:ind w:left="1616"/>
              <w:rPr>
                <w:sz w:val="22"/>
                <w:szCs w:val="22"/>
              </w:rPr>
            </w:pPr>
            <w:r>
              <w:rPr>
                <w:sz w:val="22"/>
                <w:szCs w:val="22"/>
              </w:rPr>
              <w:t>Wertvolles Tool zur Datenzusammenführung und Analysefähigkeit</w:t>
            </w:r>
          </w:p>
          <w:p>
            <w:pPr>
              <w:pStyle w:val="Listenabsatz"/>
              <w:numPr>
                <w:ilvl w:val="2"/>
                <w:numId w:val="31"/>
              </w:numPr>
              <w:ind w:left="1616"/>
              <w:rPr>
                <w:sz w:val="22"/>
                <w:szCs w:val="22"/>
              </w:rPr>
            </w:pPr>
            <w:r>
              <w:rPr>
                <w:sz w:val="22"/>
                <w:szCs w:val="22"/>
              </w:rPr>
              <w:t xml:space="preserve">Automatisierte Erstellung von </w:t>
            </w:r>
            <w:proofErr w:type="spellStart"/>
            <w:r>
              <w:rPr>
                <w:sz w:val="22"/>
                <w:szCs w:val="22"/>
              </w:rPr>
              <w:t>Figures</w:t>
            </w:r>
            <w:proofErr w:type="spellEnd"/>
            <w:r>
              <w:rPr>
                <w:sz w:val="22"/>
                <w:szCs w:val="22"/>
              </w:rPr>
              <w:t xml:space="preserve"> kann viel Effizienz schaffen, auch hinsichtlich Situations-bericht, sofern Datenverarbeitung automatisiert, P4 bietet hier gern Hilfestellung zwecks Entlastung an </w:t>
            </w:r>
          </w:p>
          <w:p>
            <w:pPr>
              <w:pStyle w:val="Listenabsatz"/>
              <w:numPr>
                <w:ilvl w:val="2"/>
                <w:numId w:val="31"/>
              </w:numPr>
              <w:ind w:left="1616"/>
              <w:rPr>
                <w:sz w:val="22"/>
                <w:szCs w:val="22"/>
              </w:rPr>
            </w:pPr>
            <w:r>
              <w:rPr>
                <w:sz w:val="22"/>
                <w:szCs w:val="22"/>
              </w:rPr>
              <w:t>Enge Abstimmung mit anderen Abt./FGs die mit Modellierungen/Grafiken arbeiten (v.a. Frau Diercke, FG32)</w:t>
            </w:r>
            <w:r>
              <w:t>,</w:t>
            </w:r>
            <w:r>
              <w:rPr>
                <w:sz w:val="22"/>
                <w:szCs w:val="22"/>
              </w:rPr>
              <w:t xml:space="preserve"> MF4 (Herr Grabenhenrich) bereits involviert, Austausch jedoch in größerer Runde erforderlich, auch zu einem offiziellen GITHUB des RKI</w:t>
            </w:r>
          </w:p>
          <w:p>
            <w:pPr>
              <w:pStyle w:val="Listenabsatz"/>
              <w:numPr>
                <w:ilvl w:val="2"/>
                <w:numId w:val="31"/>
              </w:numPr>
              <w:ind w:left="1616"/>
              <w:rPr>
                <w:sz w:val="22"/>
                <w:szCs w:val="22"/>
              </w:rPr>
            </w:pPr>
            <w:r>
              <w:rPr>
                <w:sz w:val="22"/>
                <w:szCs w:val="22"/>
              </w:rPr>
              <w:t xml:space="preserve">Bei BMG-Anfragen steht P4 dem Lagezentrum bzw. Abt. 3 mit seiner Expertise gern zur Verfügung </w:t>
            </w:r>
          </w:p>
          <w:p>
            <w:pPr>
              <w:pStyle w:val="Listenabsatz"/>
              <w:numPr>
                <w:ilvl w:val="2"/>
                <w:numId w:val="31"/>
              </w:numPr>
              <w:ind w:left="1616"/>
              <w:rPr>
                <w:sz w:val="22"/>
                <w:szCs w:val="22"/>
              </w:rPr>
            </w:pPr>
            <w:r>
              <w:rPr>
                <w:sz w:val="22"/>
                <w:szCs w:val="22"/>
              </w:rPr>
              <w:lastRenderedPageBreak/>
              <w:t xml:space="preserve">Datenschutz vermutlich kein Problem bei </w:t>
            </w:r>
            <w:proofErr w:type="spellStart"/>
            <w:r>
              <w:rPr>
                <w:sz w:val="22"/>
                <w:szCs w:val="22"/>
              </w:rPr>
              <w:t>Verwen</w:t>
            </w:r>
            <w:proofErr w:type="spellEnd"/>
            <w:r>
              <w:rPr>
                <w:sz w:val="22"/>
                <w:szCs w:val="22"/>
              </w:rPr>
              <w:t>-dung öffentlich zugänglicher Daten, Verlinkung genutzter Daten muss jedoch datenschutzrechtlich geklärt werden („</w:t>
            </w:r>
            <w:proofErr w:type="spellStart"/>
            <w:r>
              <w:rPr>
                <w:sz w:val="22"/>
                <w:szCs w:val="22"/>
              </w:rPr>
              <w:t>backtracing</w:t>
            </w:r>
            <w:proofErr w:type="spellEnd"/>
            <w:r>
              <w:rPr>
                <w:sz w:val="22"/>
                <w:szCs w:val="22"/>
              </w:rPr>
              <w:t>“)</w:t>
            </w:r>
          </w:p>
          <w:p>
            <w:pPr>
              <w:pStyle w:val="Listenabsatz"/>
              <w:numPr>
                <w:ilvl w:val="2"/>
                <w:numId w:val="31"/>
              </w:numPr>
              <w:ind w:left="1616"/>
              <w:rPr>
                <w:sz w:val="22"/>
                <w:szCs w:val="22"/>
              </w:rPr>
            </w:pPr>
            <w:r>
              <w:rPr>
                <w:sz w:val="22"/>
                <w:szCs w:val="22"/>
              </w:rPr>
              <w:t>Klärung der Lizenzrechte muss noch abgeschlossen werden (bereits für viele Quellen geklärt, für einige ausstehend, daher Repository bislang privat)</w:t>
            </w:r>
          </w:p>
          <w:p>
            <w:pPr>
              <w:rPr>
                <w:i/>
                <w:sz w:val="22"/>
                <w:szCs w:val="22"/>
              </w:rPr>
            </w:pPr>
            <w:proofErr w:type="spellStart"/>
            <w:r>
              <w:rPr>
                <w:i/>
                <w:sz w:val="22"/>
                <w:szCs w:val="22"/>
              </w:rPr>
              <w:t>To</w:t>
            </w:r>
            <w:proofErr w:type="spellEnd"/>
            <w:r>
              <w:rPr>
                <w:i/>
                <w:sz w:val="22"/>
                <w:szCs w:val="22"/>
              </w:rPr>
              <w:t xml:space="preserve"> Do1: Bitte um Austausch in größerer Runde mit Modellierung-nutzenden FGs und zur Implementierung eines GITHUBS für das RKI</w:t>
            </w:r>
          </w:p>
          <w:p>
            <w:pPr>
              <w:rPr>
                <w:i/>
                <w:sz w:val="22"/>
                <w:szCs w:val="22"/>
              </w:rPr>
            </w:pPr>
          </w:p>
          <w:p>
            <w:pPr>
              <w:rPr>
                <w:i/>
                <w:sz w:val="22"/>
                <w:szCs w:val="22"/>
              </w:rPr>
            </w:pPr>
            <w:proofErr w:type="spellStart"/>
            <w:r>
              <w:rPr>
                <w:i/>
                <w:sz w:val="22"/>
                <w:szCs w:val="22"/>
              </w:rPr>
              <w:t>To</w:t>
            </w:r>
            <w:proofErr w:type="spellEnd"/>
            <w:r>
              <w:rPr>
                <w:i/>
                <w:sz w:val="22"/>
                <w:szCs w:val="22"/>
              </w:rPr>
              <w:t xml:space="preserve"> Do2: Bitte an P4 um lizenzrechtliche Klärung noch ausstehender Quellen sowie um datenschutzrechtliche Klärung der Verlinkung genutzter Daten („</w:t>
            </w:r>
            <w:proofErr w:type="spellStart"/>
            <w:r>
              <w:rPr>
                <w:i/>
                <w:sz w:val="22"/>
                <w:szCs w:val="22"/>
              </w:rPr>
              <w:t>backtracing</w:t>
            </w:r>
            <w:proofErr w:type="spellEnd"/>
            <w:r>
              <w:rPr>
                <w:i/>
                <w:sz w:val="22"/>
                <w:szCs w:val="22"/>
              </w:rPr>
              <w:t>“)</w:t>
            </w:r>
          </w:p>
          <w:p>
            <w:pPr>
              <w:pStyle w:val="Listenabsatz"/>
              <w:ind w:left="1616"/>
              <w:rPr>
                <w:sz w:val="22"/>
                <w:szCs w:val="22"/>
              </w:rPr>
            </w:pPr>
          </w:p>
          <w:p>
            <w:pPr>
              <w:numPr>
                <w:ilvl w:val="0"/>
                <w:numId w:val="6"/>
              </w:numPr>
              <w:rPr>
                <w:i/>
                <w:sz w:val="22"/>
                <w:szCs w:val="22"/>
              </w:rPr>
            </w:pPr>
            <w:r>
              <w:rPr>
                <w:b/>
                <w:sz w:val="22"/>
                <w:szCs w:val="22"/>
              </w:rPr>
              <w:t>RKI-intern</w:t>
            </w:r>
          </w:p>
          <w:p>
            <w:pPr>
              <w:pStyle w:val="Listenabsatz"/>
              <w:numPr>
                <w:ilvl w:val="0"/>
                <w:numId w:val="31"/>
              </w:numPr>
              <w:rPr>
                <w:sz w:val="22"/>
                <w:szCs w:val="22"/>
              </w:rPr>
            </w:pPr>
            <w:r>
              <w:rPr>
                <w:sz w:val="22"/>
                <w:szCs w:val="22"/>
              </w:rPr>
              <w:t>Neue Virusvariante(n) mit vermutlich höherer Übertragbar-</w:t>
            </w:r>
            <w:proofErr w:type="spellStart"/>
            <w:r>
              <w:rPr>
                <w:sz w:val="22"/>
                <w:szCs w:val="22"/>
              </w:rPr>
              <w:t>keit</w:t>
            </w:r>
            <w:proofErr w:type="spellEnd"/>
            <w:r>
              <w:rPr>
                <w:sz w:val="22"/>
                <w:szCs w:val="22"/>
              </w:rPr>
              <w:t xml:space="preserve"> - weitere Möglichkeiten zu Infektionsschutzmaßnahmen? </w:t>
            </w:r>
          </w:p>
          <w:p>
            <w:pPr>
              <w:pStyle w:val="Listenabsatz"/>
              <w:numPr>
                <w:ilvl w:val="1"/>
                <w:numId w:val="31"/>
              </w:numPr>
              <w:ind w:left="1047" w:hanging="283"/>
              <w:rPr>
                <w:sz w:val="22"/>
                <w:szCs w:val="22"/>
              </w:rPr>
            </w:pPr>
            <w:r>
              <w:rPr>
                <w:sz w:val="22"/>
                <w:szCs w:val="22"/>
              </w:rPr>
              <w:t xml:space="preserve">Klärung „höhere Übertragbarkeit“ bzw. ob 1) höhere Viruslast 2) frühere/präsymptomatische Ausscheidung oder 3) verlängerte Ausscheidung (= gewichtigstes Kriterium hinsichtlich der Maßnahmen) ursächlich, die zur erhöhten </w:t>
            </w:r>
            <w:proofErr w:type="spellStart"/>
            <w:r>
              <w:rPr>
                <w:sz w:val="22"/>
                <w:szCs w:val="22"/>
              </w:rPr>
              <w:t>Transmissibilität</w:t>
            </w:r>
            <w:proofErr w:type="spellEnd"/>
            <w:r>
              <w:rPr>
                <w:sz w:val="22"/>
                <w:szCs w:val="22"/>
              </w:rPr>
              <w:t xml:space="preserve"> führen</w:t>
            </w:r>
          </w:p>
          <w:p>
            <w:pPr>
              <w:pStyle w:val="Listenabsatz"/>
              <w:numPr>
                <w:ilvl w:val="1"/>
                <w:numId w:val="31"/>
              </w:numPr>
              <w:ind w:left="1047" w:hanging="283"/>
              <w:rPr>
                <w:sz w:val="22"/>
                <w:szCs w:val="22"/>
              </w:rPr>
            </w:pPr>
            <w:r>
              <w:rPr>
                <w:sz w:val="22"/>
                <w:szCs w:val="22"/>
              </w:rPr>
              <w:t xml:space="preserve">Ursächlichkeit sollte neue Überlegungen anstoßen: andere/weitere Faktoren, die ggf. andere Maßnahmen erfordern (Aerosolübertragung: Anpassung der PSA, ggf. FFP2-Empfehlung; längere Ausscheidung: Anpassung der </w:t>
            </w:r>
            <w:proofErr w:type="spellStart"/>
            <w:r>
              <w:rPr>
                <w:sz w:val="22"/>
                <w:szCs w:val="22"/>
              </w:rPr>
              <w:t>Entlasskriterien</w:t>
            </w:r>
            <w:proofErr w:type="spellEnd"/>
            <w:r>
              <w:rPr>
                <w:sz w:val="22"/>
                <w:szCs w:val="22"/>
              </w:rPr>
              <w:t>; veränderte Infektionsdosis: Herunter-setzen der kritischen Kontaktzeit von derzeit 15 min. bei KP-Management und Anpassung der Isolation von Patienten; weitere Vorschläge von Fachgesellschaften möglich - STAKOB, DGI etc.)</w:t>
            </w:r>
          </w:p>
          <w:p>
            <w:pPr>
              <w:pStyle w:val="Listenabsatz"/>
              <w:numPr>
                <w:ilvl w:val="1"/>
                <w:numId w:val="31"/>
              </w:numPr>
              <w:ind w:left="1047" w:hanging="283"/>
              <w:rPr>
                <w:sz w:val="22"/>
                <w:szCs w:val="22"/>
              </w:rPr>
            </w:pPr>
            <w:r>
              <w:rPr>
                <w:sz w:val="22"/>
                <w:szCs w:val="22"/>
              </w:rPr>
              <w:t xml:space="preserve">Cave bei strikteren Maßnahmen wie in anderen Ländern (komplette Lockdowns, härtere Kontaktverbote, Desinfektion von Umgebungen, Institutionelle Quarantäne oder Isolation o.ä.)  ggf. stark negative Auswirkungen </w:t>
            </w:r>
          </w:p>
          <w:p>
            <w:pPr>
              <w:pStyle w:val="Listenabsatz"/>
              <w:numPr>
                <w:ilvl w:val="1"/>
                <w:numId w:val="31"/>
              </w:numPr>
              <w:ind w:left="1047" w:hanging="283"/>
              <w:rPr>
                <w:sz w:val="22"/>
                <w:szCs w:val="22"/>
              </w:rPr>
            </w:pPr>
            <w:r>
              <w:rPr>
                <w:sz w:val="22"/>
                <w:szCs w:val="22"/>
              </w:rPr>
              <w:t xml:space="preserve">Kausalität muss zunächst überprüft, die </w:t>
            </w:r>
            <w:proofErr w:type="spellStart"/>
            <w:r>
              <w:rPr>
                <w:sz w:val="22"/>
                <w:szCs w:val="22"/>
              </w:rPr>
              <w:t>molekularbiolo</w:t>
            </w:r>
            <w:proofErr w:type="spellEnd"/>
            <w:r>
              <w:rPr>
                <w:sz w:val="22"/>
                <w:szCs w:val="22"/>
              </w:rPr>
              <w:t xml:space="preserve">-gische Grundlage der stärkeren Verbreitung untersucht und verstanden werden und entsprechende Daten </w:t>
            </w:r>
            <w:proofErr w:type="spellStart"/>
            <w:r>
              <w:rPr>
                <w:sz w:val="22"/>
                <w:szCs w:val="22"/>
              </w:rPr>
              <w:t>vorhan</w:t>
            </w:r>
            <w:proofErr w:type="spellEnd"/>
            <w:r>
              <w:rPr>
                <w:sz w:val="22"/>
                <w:szCs w:val="22"/>
              </w:rPr>
              <w:t>-den sein, um eine weitergehende Entscheidungsgrundlage zu liefern</w:t>
            </w:r>
          </w:p>
          <w:p>
            <w:pPr>
              <w:pStyle w:val="Listenabsatz"/>
              <w:numPr>
                <w:ilvl w:val="1"/>
                <w:numId w:val="31"/>
              </w:numPr>
              <w:ind w:left="1047" w:hanging="283"/>
              <w:rPr>
                <w:sz w:val="22"/>
                <w:szCs w:val="22"/>
              </w:rPr>
            </w:pPr>
            <w:r>
              <w:rPr>
                <w:sz w:val="22"/>
                <w:szCs w:val="22"/>
              </w:rPr>
              <w:t xml:space="preserve">Weitere Maßnahmen schwierig, Implementierung/ </w:t>
            </w:r>
            <w:proofErr w:type="spellStart"/>
            <w:r>
              <w:rPr>
                <w:sz w:val="22"/>
                <w:szCs w:val="22"/>
              </w:rPr>
              <w:t>Umset-zung</w:t>
            </w:r>
            <w:proofErr w:type="spellEnd"/>
            <w:r>
              <w:rPr>
                <w:sz w:val="22"/>
                <w:szCs w:val="22"/>
              </w:rPr>
              <w:t xml:space="preserve"> ist derzeit vor allem ursächlich für Verbreitung, dies ergibt sich auch aus Ausbruchsuntersuchungen (bzw. siehe UKB </w:t>
            </w:r>
            <w:proofErr w:type="spellStart"/>
            <w:r>
              <w:rPr>
                <w:sz w:val="22"/>
                <w:szCs w:val="22"/>
              </w:rPr>
              <w:t>proof</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principle</w:t>
            </w:r>
            <w:proofErr w:type="spellEnd"/>
            <w:r>
              <w:rPr>
                <w:sz w:val="22"/>
                <w:szCs w:val="22"/>
              </w:rPr>
              <w:t>) = Grundlagen der Infektions-prävention</w:t>
            </w:r>
          </w:p>
          <w:p>
            <w:pPr>
              <w:pStyle w:val="Listenabsatz"/>
              <w:numPr>
                <w:ilvl w:val="1"/>
                <w:numId w:val="31"/>
              </w:numPr>
              <w:ind w:left="1047" w:hanging="283"/>
              <w:rPr>
                <w:sz w:val="22"/>
                <w:szCs w:val="22"/>
              </w:rPr>
            </w:pPr>
            <w:r>
              <w:rPr>
                <w:sz w:val="22"/>
                <w:szCs w:val="22"/>
              </w:rPr>
              <w:t xml:space="preserve">Epidemiologisch-virologische Vorbereitung (Abt. 1 &amp; 3) für Ausbruchs-/Eintragsuntersuchung der neuen Variante:  </w:t>
            </w:r>
          </w:p>
          <w:p>
            <w:pPr>
              <w:pStyle w:val="Listenabsatz"/>
              <w:numPr>
                <w:ilvl w:val="2"/>
                <w:numId w:val="31"/>
              </w:numPr>
              <w:rPr>
                <w:sz w:val="22"/>
                <w:szCs w:val="22"/>
              </w:rPr>
            </w:pPr>
            <w:r>
              <w:rPr>
                <w:sz w:val="22"/>
                <w:szCs w:val="22"/>
              </w:rPr>
              <w:t xml:space="preserve">Abt. 1: Systematische Molekulare Surveillance, Hinweise zur Testung werden derzeit </w:t>
            </w:r>
            <w:proofErr w:type="spellStart"/>
            <w:r>
              <w:rPr>
                <w:sz w:val="22"/>
                <w:szCs w:val="22"/>
              </w:rPr>
              <w:t>aktuali-siert</w:t>
            </w:r>
            <w:proofErr w:type="spellEnd"/>
            <w:r>
              <w:rPr>
                <w:sz w:val="22"/>
                <w:szCs w:val="22"/>
              </w:rPr>
              <w:t xml:space="preserve">, Konsortien sind alarmiert, Labore </w:t>
            </w:r>
            <w:proofErr w:type="spellStart"/>
            <w:r>
              <w:rPr>
                <w:sz w:val="22"/>
                <w:szCs w:val="22"/>
              </w:rPr>
              <w:t>sensi-bilisiert</w:t>
            </w:r>
            <w:proofErr w:type="spellEnd"/>
          </w:p>
          <w:p>
            <w:pPr>
              <w:pStyle w:val="Listenabsatz"/>
              <w:numPr>
                <w:ilvl w:val="2"/>
                <w:numId w:val="31"/>
              </w:numPr>
              <w:rPr>
                <w:sz w:val="22"/>
                <w:szCs w:val="22"/>
              </w:rPr>
            </w:pPr>
            <w:r>
              <w:rPr>
                <w:sz w:val="22"/>
                <w:szCs w:val="22"/>
              </w:rPr>
              <w:lastRenderedPageBreak/>
              <w:t xml:space="preserve">Abt. 3: Vorbereitung epidemiologischer Untersuchung seitens Leitung notwendig (Cluster- bzw. systematische Untersuchung) </w:t>
            </w:r>
          </w:p>
          <w:p>
            <w:pPr>
              <w:pStyle w:val="Listenabsatz"/>
              <w:numPr>
                <w:ilvl w:val="1"/>
                <w:numId w:val="31"/>
              </w:numPr>
              <w:ind w:left="1047" w:hanging="283"/>
              <w:rPr>
                <w:sz w:val="22"/>
                <w:szCs w:val="22"/>
              </w:rPr>
            </w:pPr>
            <w:r>
              <w:rPr>
                <w:sz w:val="22"/>
                <w:szCs w:val="22"/>
              </w:rPr>
              <w:t>Auch die Untersuchung von Proben aus jeglichen „</w:t>
            </w:r>
            <w:proofErr w:type="spellStart"/>
            <w:r>
              <w:rPr>
                <w:sz w:val="22"/>
                <w:szCs w:val="22"/>
              </w:rPr>
              <w:t>beson</w:t>
            </w:r>
            <w:proofErr w:type="spellEnd"/>
            <w:r>
              <w:rPr>
                <w:sz w:val="22"/>
                <w:szCs w:val="22"/>
              </w:rPr>
              <w:t xml:space="preserve">-deren Ereignissen“ (wie bspw. in Sachsen) hilfreich, keine flächendeckende Analytik nötig, sondern sinnvolle Stich-proben bei Hinweisen auf ein beschleunigtes oder </w:t>
            </w:r>
            <w:proofErr w:type="spellStart"/>
            <w:r>
              <w:rPr>
                <w:sz w:val="22"/>
                <w:szCs w:val="22"/>
              </w:rPr>
              <w:t>inten-siviertes</w:t>
            </w:r>
            <w:proofErr w:type="spellEnd"/>
            <w:r>
              <w:rPr>
                <w:sz w:val="22"/>
                <w:szCs w:val="22"/>
              </w:rPr>
              <w:t xml:space="preserve"> Infektionsgeschehen </w:t>
            </w:r>
          </w:p>
          <w:p>
            <w:pPr>
              <w:pStyle w:val="Listenabsatz"/>
              <w:numPr>
                <w:ilvl w:val="1"/>
                <w:numId w:val="31"/>
              </w:numPr>
              <w:ind w:left="1047" w:hanging="283"/>
              <w:rPr>
                <w:sz w:val="22"/>
                <w:szCs w:val="22"/>
              </w:rPr>
            </w:pPr>
            <w:r>
              <w:rPr>
                <w:sz w:val="22"/>
                <w:szCs w:val="22"/>
              </w:rPr>
              <w:t xml:space="preserve">§ 13 IfSG: VO seitens BMG in Vorbereitung zwecks Bereit-stellung von </w:t>
            </w:r>
            <w:proofErr w:type="spellStart"/>
            <w:r>
              <w:rPr>
                <w:sz w:val="22"/>
                <w:szCs w:val="22"/>
              </w:rPr>
              <w:t>Sequenzierdaten</w:t>
            </w:r>
            <w:proofErr w:type="spellEnd"/>
            <w:r>
              <w:rPr>
                <w:sz w:val="22"/>
                <w:szCs w:val="22"/>
              </w:rPr>
              <w:t xml:space="preserve"> für das RKI bzw. deren Ver-</w:t>
            </w:r>
            <w:proofErr w:type="spellStart"/>
            <w:r>
              <w:rPr>
                <w:sz w:val="22"/>
                <w:szCs w:val="22"/>
              </w:rPr>
              <w:t>öffentlichung</w:t>
            </w:r>
            <w:proofErr w:type="spellEnd"/>
          </w:p>
          <w:p>
            <w:pPr>
              <w:pStyle w:val="Listenabsatz"/>
              <w:numPr>
                <w:ilvl w:val="1"/>
                <w:numId w:val="31"/>
              </w:numPr>
              <w:ind w:left="1047" w:hanging="283"/>
              <w:rPr>
                <w:sz w:val="22"/>
                <w:szCs w:val="22"/>
              </w:rPr>
            </w:pPr>
            <w:r>
              <w:rPr>
                <w:sz w:val="22"/>
                <w:szCs w:val="22"/>
              </w:rPr>
              <w:t>PCR-Möglichkeit zum Screening: Diagnostikhinweise sollen auf Website ergänzt werden, sämtliche Labore sind sensibilisiert, es soll jedoch noch ein Hinweis auf die Notwendigkeit einer spezifischen PCR in aktualisierter Form mitaufgenommen werden</w:t>
            </w:r>
          </w:p>
          <w:p>
            <w:pPr>
              <w:rPr>
                <w:i/>
                <w:sz w:val="22"/>
                <w:szCs w:val="22"/>
              </w:rPr>
            </w:pPr>
            <w:proofErr w:type="spellStart"/>
            <w:r>
              <w:rPr>
                <w:i/>
                <w:sz w:val="22"/>
                <w:szCs w:val="22"/>
              </w:rPr>
              <w:t>To</w:t>
            </w:r>
            <w:proofErr w:type="spellEnd"/>
            <w:r>
              <w:rPr>
                <w:i/>
                <w:sz w:val="22"/>
                <w:szCs w:val="22"/>
              </w:rPr>
              <w:t xml:space="preserve"> Do: Herr Mielke kontaktiert Frau Michel </w:t>
            </w:r>
            <w:proofErr w:type="gramStart"/>
            <w:r>
              <w:rPr>
                <w:i/>
                <w:sz w:val="22"/>
                <w:szCs w:val="22"/>
              </w:rPr>
              <w:t>zwecks Textbaustein</w:t>
            </w:r>
            <w:proofErr w:type="gramEnd"/>
            <w:r>
              <w:rPr>
                <w:i/>
                <w:sz w:val="22"/>
                <w:szCs w:val="22"/>
              </w:rPr>
              <w:t>, Aktualisierung soll noch heute finalisiert werden</w:t>
            </w:r>
          </w:p>
          <w:p>
            <w:pPr>
              <w:rPr>
                <w:i/>
                <w:sz w:val="22"/>
                <w:szCs w:val="22"/>
              </w:rPr>
            </w:pPr>
          </w:p>
          <w:p>
            <w:pPr>
              <w:pStyle w:val="Listenabsatz"/>
              <w:numPr>
                <w:ilvl w:val="1"/>
                <w:numId w:val="31"/>
              </w:numPr>
              <w:ind w:left="1047" w:hanging="283"/>
              <w:rPr>
                <w:sz w:val="22"/>
                <w:szCs w:val="22"/>
              </w:rPr>
            </w:pPr>
            <w:r>
              <w:rPr>
                <w:sz w:val="22"/>
                <w:szCs w:val="22"/>
              </w:rPr>
              <w:t>Ausbruchsuntersuchungen in Alten- und Pflegeheimen sollten zukünftig die Impfeffektivität mitbetrachten</w:t>
            </w:r>
          </w:p>
          <w:p>
            <w:pPr>
              <w:pStyle w:val="Listenabsatz"/>
              <w:numPr>
                <w:ilvl w:val="1"/>
                <w:numId w:val="31"/>
              </w:numPr>
              <w:ind w:left="1047" w:hanging="283"/>
              <w:rPr>
                <w:sz w:val="22"/>
                <w:szCs w:val="22"/>
              </w:rPr>
            </w:pPr>
            <w:r>
              <w:rPr>
                <w:sz w:val="22"/>
                <w:szCs w:val="22"/>
              </w:rPr>
              <w:t xml:space="preserve">Anfrage seitens DIVI und RWTH Aachen zu Modellierung von Szenarien der neuen Virusvariante für Deutschland soll an die UK verwiesen werden, da nach Rücksprache mit P4 bislang </w:t>
            </w:r>
            <w:r>
              <w:rPr>
                <w:i/>
                <w:sz w:val="22"/>
                <w:szCs w:val="22"/>
              </w:rPr>
              <w:t xml:space="preserve">in </w:t>
            </w:r>
            <w:proofErr w:type="spellStart"/>
            <w:r>
              <w:rPr>
                <w:i/>
                <w:sz w:val="22"/>
                <w:szCs w:val="22"/>
              </w:rPr>
              <w:t>house</w:t>
            </w:r>
            <w:proofErr w:type="spellEnd"/>
            <w:r>
              <w:rPr>
                <w:i/>
                <w:sz w:val="22"/>
                <w:szCs w:val="22"/>
              </w:rPr>
              <w:t xml:space="preserve"> </w:t>
            </w:r>
            <w:r>
              <w:rPr>
                <w:sz w:val="22"/>
                <w:szCs w:val="22"/>
              </w:rPr>
              <w:t xml:space="preserve">noch keine Aktivitäten dazu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P4 (Brockmann)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P4 </w:t>
            </w:r>
          </w:p>
          <w:p>
            <w:pPr>
              <w:rPr>
                <w:sz w:val="22"/>
                <w:szCs w:val="22"/>
              </w:rPr>
            </w:pPr>
            <w:r>
              <w:rPr>
                <w:sz w:val="22"/>
                <w:szCs w:val="22"/>
              </w:rPr>
              <w:t>(Maier)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xml:space="preserve"> (Schaade)</w:t>
            </w:r>
          </w:p>
          <w:p>
            <w:pPr>
              <w:rPr>
                <w:sz w:val="22"/>
                <w:szCs w:val="22"/>
              </w:rPr>
            </w:pPr>
          </w:p>
          <w:p>
            <w:pPr>
              <w:rPr>
                <w:sz w:val="22"/>
                <w:szCs w:val="22"/>
              </w:rPr>
            </w:pPr>
            <w:r>
              <w:rPr>
                <w:sz w:val="22"/>
                <w:szCs w:val="22"/>
              </w:rPr>
              <w:t>Abt.1 (Mielke)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 (Rexroth)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FG14</w:t>
            </w:r>
          </w:p>
          <w:p>
            <w:pPr>
              <w:rPr>
                <w:sz w:val="22"/>
                <w:szCs w:val="22"/>
              </w:rPr>
            </w:pPr>
            <w:r>
              <w:rPr>
                <w:sz w:val="22"/>
                <w:szCs w:val="22"/>
              </w:rPr>
              <w:t>(Brunke)</w:t>
            </w: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xml:space="preserve"> (Schaade)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(Abu Sin)</w:t>
            </w:r>
          </w:p>
          <w:p>
            <w:pPr>
              <w:rPr>
                <w:sz w:val="22"/>
                <w:szCs w:val="22"/>
              </w:rPr>
            </w:pPr>
            <w:r>
              <w:rPr>
                <w:sz w:val="22"/>
                <w:szCs w:val="22"/>
              </w:rPr>
              <w:t>IBBS (Herzog)</w:t>
            </w: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Dokumente/weitere Studien</w:t>
            </w:r>
          </w:p>
          <w:p>
            <w:pPr>
              <w:pStyle w:val="Listenabsatz"/>
              <w:numPr>
                <w:ilvl w:val="0"/>
                <w:numId w:val="5"/>
              </w:numPr>
              <w:ind w:left="453" w:hanging="340"/>
              <w:rPr>
                <w:sz w:val="22"/>
                <w:szCs w:val="22"/>
              </w:rPr>
            </w:pPr>
            <w:r>
              <w:rPr>
                <w:sz w:val="22"/>
                <w:szCs w:val="22"/>
              </w:rPr>
              <w:t xml:space="preserve">Update Falldefinition: wird heute noch online gestellt </w:t>
            </w:r>
          </w:p>
          <w:p>
            <w:pPr>
              <w:pStyle w:val="Listenabsatz"/>
              <w:ind w:left="453"/>
              <w:rPr>
                <w:sz w:val="22"/>
                <w:szCs w:val="22"/>
              </w:rPr>
            </w:pPr>
          </w:p>
          <w:p>
            <w:pPr>
              <w:pStyle w:val="Listenabsatz"/>
              <w:numPr>
                <w:ilvl w:val="0"/>
                <w:numId w:val="5"/>
              </w:numPr>
              <w:ind w:left="453" w:hanging="340"/>
              <w:rPr>
                <w:sz w:val="22"/>
                <w:szCs w:val="22"/>
              </w:rPr>
            </w:pPr>
            <w:r>
              <w:rPr>
                <w:sz w:val="22"/>
                <w:szCs w:val="22"/>
              </w:rPr>
              <w:t>Verfahrensanweisung zu internem Ausbruchsgeschehen (über IBBS und Mitarbeiter-Support, ZIG3 führt Abstriche durch – siehe auch bei Rückkehrern aus Feldeinsatz im Aus- oder Inland) in allen relevanten Gremien abgestimmt, Prüfung durch Anwaltskanzlei erfolgt, derzeit dem Personalrat vorliegend und ggf. bereits heute in Abstimmung, keine Dienstvereinbarung nötig, SOP wird nachfolgend finalisiert</w:t>
            </w:r>
          </w:p>
          <w:p>
            <w:pPr>
              <w:pStyle w:val="Listenabsatz"/>
              <w:rPr>
                <w:sz w:val="22"/>
                <w:szCs w:val="22"/>
                <w:highlight w:val="yellow"/>
              </w:rPr>
            </w:pPr>
          </w:p>
          <w:p>
            <w:pPr>
              <w:pStyle w:val="Listenabsatz"/>
              <w:numPr>
                <w:ilvl w:val="0"/>
                <w:numId w:val="5"/>
              </w:numPr>
              <w:ind w:left="453" w:hanging="340"/>
              <w:rPr>
                <w:sz w:val="22"/>
                <w:szCs w:val="22"/>
              </w:rPr>
            </w:pPr>
            <w:r>
              <w:rPr>
                <w:sz w:val="22"/>
                <w:szCs w:val="22"/>
              </w:rPr>
              <w:t>Übersterblichkeit: derzeit in Sachsen 48 %, in Bayern Bevölkerungsschrumpfung, z.T. bereits Medienbeiträge dazu</w:t>
            </w:r>
          </w:p>
          <w:p>
            <w:pPr>
              <w:pStyle w:val="Listenabsatz"/>
              <w:ind w:left="453"/>
              <w:rPr>
                <w:sz w:val="22"/>
                <w:szCs w:val="22"/>
              </w:rPr>
            </w:pPr>
          </w:p>
        </w:tc>
        <w:tc>
          <w:tcPr>
            <w:tcW w:w="1492" w:type="dxa"/>
          </w:tcPr>
          <w:p>
            <w:pPr>
              <w:rPr>
                <w:sz w:val="22"/>
                <w:szCs w:val="22"/>
              </w:rPr>
            </w:pPr>
          </w:p>
          <w:p>
            <w:pPr>
              <w:rPr>
                <w:sz w:val="22"/>
                <w:szCs w:val="22"/>
              </w:rPr>
            </w:pPr>
            <w:r>
              <w:rPr>
                <w:sz w:val="22"/>
                <w:szCs w:val="22"/>
              </w:rPr>
              <w:t>FG32 (Diercke)</w:t>
            </w:r>
          </w:p>
          <w:p>
            <w:pPr>
              <w:rPr>
                <w:sz w:val="22"/>
                <w:szCs w:val="22"/>
              </w:rPr>
            </w:pPr>
          </w:p>
          <w:p>
            <w:pPr>
              <w:rPr>
                <w:sz w:val="22"/>
                <w:szCs w:val="22"/>
              </w:rPr>
            </w:pPr>
            <w:r>
              <w:rPr>
                <w:sz w:val="22"/>
                <w:szCs w:val="22"/>
              </w:rPr>
              <w:t>Abt.1 (Mielke)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 (Rexroth)</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t>Nicht besprochen</w:t>
            </w:r>
          </w:p>
          <w:p>
            <w:pPr>
              <w:rPr>
                <w:sz w:val="22"/>
                <w:szCs w:val="22"/>
              </w:rPr>
            </w:pPr>
          </w:p>
        </w:tc>
        <w:tc>
          <w:tcPr>
            <w:tcW w:w="1492" w:type="dxa"/>
          </w:tcPr>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 xml:space="preserve">NRZ Influenzaviren (Folien </w:t>
            </w:r>
            <w:hyperlink r:id="rId15" w:history="1">
              <w:r>
                <w:rPr>
                  <w:rStyle w:val="Hyperlink"/>
                  <w:sz w:val="22"/>
                </w:rPr>
                <w:t>hier</w:t>
              </w:r>
            </w:hyperlink>
            <w:r>
              <w:rPr>
                <w:sz w:val="22"/>
              </w:rPr>
              <w:t>)</w:t>
            </w:r>
          </w:p>
          <w:p>
            <w:pPr>
              <w:pStyle w:val="Listenabsatz"/>
              <w:numPr>
                <w:ilvl w:val="1"/>
                <w:numId w:val="5"/>
              </w:numPr>
              <w:ind w:left="907" w:hanging="340"/>
              <w:rPr>
                <w:sz w:val="22"/>
                <w:szCs w:val="22"/>
              </w:rPr>
            </w:pPr>
            <w:r>
              <w:rPr>
                <w:sz w:val="22"/>
                <w:szCs w:val="22"/>
              </w:rPr>
              <w:t>Letzte Woche: 151 Einsendungen (leichter Rückgang), Nachweisrate SARS-Cov-2 bei 10 % (15 Proben), v.a. aus Einzelpraxen mit Nachweis von bis ca. 44 % und aus BB, Sachsen, Bayern, insgesamt 64 Viren zur Sequenzierung</w:t>
            </w:r>
          </w:p>
          <w:p>
            <w:pPr>
              <w:pStyle w:val="Listenabsatz"/>
              <w:numPr>
                <w:ilvl w:val="1"/>
                <w:numId w:val="5"/>
              </w:numPr>
              <w:ind w:left="907" w:hanging="340"/>
              <w:rPr>
                <w:sz w:val="22"/>
                <w:szCs w:val="22"/>
              </w:rPr>
            </w:pPr>
            <w:r>
              <w:rPr>
                <w:sz w:val="22"/>
                <w:szCs w:val="22"/>
              </w:rPr>
              <w:t xml:space="preserve">Diese Woche: bereits 30 Einsendungen, Nachweisrate SARS-Cov-2 bei 17 % (5 Proben) </w:t>
            </w:r>
          </w:p>
          <w:p>
            <w:pPr>
              <w:pStyle w:val="Listenabsatz"/>
              <w:numPr>
                <w:ilvl w:val="1"/>
                <w:numId w:val="5"/>
              </w:numPr>
              <w:ind w:left="907" w:hanging="340"/>
              <w:rPr>
                <w:sz w:val="22"/>
                <w:szCs w:val="22"/>
              </w:rPr>
            </w:pPr>
            <w:proofErr w:type="spellStart"/>
            <w:r>
              <w:rPr>
                <w:sz w:val="22"/>
                <w:szCs w:val="22"/>
              </w:rPr>
              <w:lastRenderedPageBreak/>
              <w:t>Rhinoviren</w:t>
            </w:r>
            <w:proofErr w:type="spellEnd"/>
            <w:r>
              <w:rPr>
                <w:sz w:val="22"/>
                <w:szCs w:val="22"/>
              </w:rPr>
              <w:t xml:space="preserve"> leicht ansteigend, aber weiterhin unter üblichem Niveau</w:t>
            </w:r>
          </w:p>
          <w:p>
            <w:pPr>
              <w:pStyle w:val="Listenabsatz"/>
              <w:numPr>
                <w:ilvl w:val="1"/>
                <w:numId w:val="5"/>
              </w:numPr>
              <w:ind w:left="907" w:hanging="340"/>
              <w:rPr>
                <w:sz w:val="22"/>
                <w:szCs w:val="22"/>
              </w:rPr>
            </w:pPr>
            <w:r>
              <w:rPr>
                <w:sz w:val="22"/>
                <w:szCs w:val="22"/>
              </w:rPr>
              <w:t>Heute: 50 Proben aus Dresden, nach Weihnachten weitere aus Dresden und Chemnitz erwartet</w:t>
            </w:r>
          </w:p>
          <w:p>
            <w:pPr>
              <w:pStyle w:val="Listenabsatz"/>
              <w:numPr>
                <w:ilvl w:val="1"/>
                <w:numId w:val="5"/>
              </w:numPr>
              <w:ind w:left="907" w:hanging="340"/>
              <w:rPr>
                <w:sz w:val="22"/>
                <w:szCs w:val="22"/>
              </w:rPr>
            </w:pPr>
            <w:r>
              <w:rPr>
                <w:sz w:val="22"/>
                <w:szCs w:val="22"/>
              </w:rPr>
              <w:t xml:space="preserve">Differenzierung von neuer Virusvariante derzeit nicht möglich, da keine spezifische PCR gegen das relevante Gen bzw. die die relevante Deletion abgreift </w:t>
            </w:r>
            <w:r>
              <w:rPr>
                <w:sz w:val="22"/>
                <w:szCs w:val="22"/>
              </w:rPr>
              <w:sym w:font="Wingdings" w:char="F0E0"/>
            </w:r>
            <w:r>
              <w:rPr>
                <w:sz w:val="22"/>
                <w:szCs w:val="22"/>
              </w:rPr>
              <w:t xml:space="preserve"> muss entwickelt werden</w:t>
            </w:r>
          </w:p>
          <w:p>
            <w:pPr>
              <w:rPr>
                <w:i/>
                <w:sz w:val="22"/>
                <w:szCs w:val="22"/>
              </w:rPr>
            </w:pPr>
            <w:proofErr w:type="spellStart"/>
            <w:r>
              <w:rPr>
                <w:i/>
                <w:sz w:val="22"/>
                <w:szCs w:val="22"/>
              </w:rPr>
              <w:t>To</w:t>
            </w:r>
            <w:proofErr w:type="spellEnd"/>
            <w:r>
              <w:rPr>
                <w:i/>
                <w:sz w:val="22"/>
                <w:szCs w:val="22"/>
              </w:rPr>
              <w:t xml:space="preserve"> Do: Bitte um Austausch von FG17 und ZBS1 zwecks Vorbereitung einer solchen PCR (Herr Mielke setzt sich mit Frau Michel in Verbindung)</w:t>
            </w:r>
          </w:p>
          <w:p>
            <w:pPr>
              <w:rPr>
                <w:i/>
                <w:sz w:val="22"/>
                <w:szCs w:val="22"/>
              </w:rPr>
            </w:pPr>
          </w:p>
          <w:p>
            <w:pPr>
              <w:pStyle w:val="Listenabsatz"/>
              <w:numPr>
                <w:ilvl w:val="0"/>
                <w:numId w:val="5"/>
              </w:numPr>
              <w:ind w:left="480" w:hanging="283"/>
              <w:rPr>
                <w:sz w:val="22"/>
                <w:szCs w:val="22"/>
              </w:rPr>
            </w:pPr>
            <w:r>
              <w:rPr>
                <w:sz w:val="22"/>
                <w:szCs w:val="22"/>
              </w:rPr>
              <w:t xml:space="preserve">IMS - ID2461Erlassbericht (Dokument </w:t>
            </w:r>
            <w:hyperlink r:id="rId16" w:history="1">
              <w:r>
                <w:rPr>
                  <w:rStyle w:val="Hyperlink"/>
                  <w:sz w:val="22"/>
                  <w:szCs w:val="22"/>
                </w:rPr>
                <w:t>hier</w:t>
              </w:r>
            </w:hyperlink>
            <w:r>
              <w:rPr>
                <w:sz w:val="22"/>
                <w:szCs w:val="22"/>
              </w:rPr>
              <w:t>): Vorarbeit von Herrn Kröger in Zusammenarbeit mit Herrn Haas, Herrn Semmler, Herrn Fuchs und Herrn Mielke, Abstimmung ist erfolgt, soll heute Mittag rausgeschickt werden</w:t>
            </w:r>
          </w:p>
          <w:p>
            <w:pPr>
              <w:rPr>
                <w:sz w:val="22"/>
              </w:rPr>
            </w:pPr>
          </w:p>
        </w:tc>
        <w:tc>
          <w:tcPr>
            <w:tcW w:w="1492" w:type="dxa"/>
          </w:tcPr>
          <w:p>
            <w:pPr>
              <w:rPr>
                <w:sz w:val="22"/>
                <w:szCs w:val="22"/>
              </w:rPr>
            </w:pPr>
          </w:p>
          <w:p>
            <w:pPr>
              <w:rPr>
                <w:sz w:val="22"/>
                <w:szCs w:val="22"/>
              </w:rPr>
            </w:pPr>
          </w:p>
          <w:p>
            <w:pPr>
              <w:rPr>
                <w:sz w:val="22"/>
                <w:szCs w:val="22"/>
              </w:rPr>
            </w:pPr>
            <w:r>
              <w:rPr>
                <w:sz w:val="22"/>
                <w:szCs w:val="22"/>
              </w:rPr>
              <w:t>FG17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Abt.1 (Mielke) </w:t>
            </w:r>
          </w:p>
          <w:p>
            <w:pPr>
              <w:rPr>
                <w:sz w:val="22"/>
                <w:szCs w:val="22"/>
              </w:rPr>
            </w:pPr>
            <w:r>
              <w:rPr>
                <w:sz w:val="22"/>
                <w:szCs w:val="22"/>
              </w:rPr>
              <w:t>FG38</w:t>
            </w:r>
          </w:p>
          <w:p>
            <w:pPr>
              <w:rPr>
                <w:sz w:val="22"/>
                <w:szCs w:val="22"/>
              </w:rPr>
            </w:pPr>
            <w:r>
              <w:rPr>
                <w:sz w:val="22"/>
                <w:szCs w:val="22"/>
              </w:rPr>
              <w:t>(Rexroth)</w:t>
            </w: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Nicht besprochen </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rPr>
                <w:sz w:val="22"/>
                <w:szCs w:val="22"/>
              </w:rPr>
            </w:pPr>
            <w:r>
              <w:rPr>
                <w:sz w:val="22"/>
                <w:szCs w:val="22"/>
              </w:rPr>
              <w:t>Infektionsschutz bei Geimpften (s. email LS v. 23.12, 08:54)</w:t>
            </w:r>
          </w:p>
          <w:p>
            <w:pPr>
              <w:pStyle w:val="Listenabsatz"/>
              <w:numPr>
                <w:ilvl w:val="0"/>
                <w:numId w:val="5"/>
              </w:numPr>
              <w:ind w:left="453" w:hanging="340"/>
              <w:rPr>
                <w:sz w:val="22"/>
                <w:szCs w:val="22"/>
              </w:rPr>
            </w:pPr>
            <w:r>
              <w:rPr>
                <w:sz w:val="22"/>
                <w:szCs w:val="22"/>
              </w:rPr>
              <w:t>Reaktion auf gestrigen Bericht an das BMG zum Infektionsschutz bei Geimpften: Herr Rottmann hatte mehrere Punkte angesprochen, die noch Klärung bedürfen,</w:t>
            </w:r>
          </w:p>
          <w:p>
            <w:pPr>
              <w:pStyle w:val="Listenabsatz"/>
              <w:numPr>
                <w:ilvl w:val="0"/>
                <w:numId w:val="5"/>
              </w:numPr>
              <w:ind w:left="453" w:hanging="340"/>
              <w:rPr>
                <w:sz w:val="22"/>
                <w:szCs w:val="22"/>
              </w:rPr>
            </w:pPr>
            <w:r>
              <w:rPr>
                <w:sz w:val="22"/>
                <w:szCs w:val="22"/>
              </w:rPr>
              <w:t xml:space="preserve">Herr Wichmann eruiert nun mit Referat 614 (Frau Ziegelmann) welche Herausforderungen das BMG genau sieht, damit die Informationen mit Impfbeginn publiziert werden können </w:t>
            </w:r>
          </w:p>
          <w:p>
            <w:pPr>
              <w:pStyle w:val="Listenabsatz"/>
              <w:ind w:left="453"/>
            </w:pPr>
          </w:p>
        </w:tc>
        <w:tc>
          <w:tcPr>
            <w:tcW w:w="1492" w:type="dxa"/>
          </w:tcPr>
          <w:p>
            <w:pPr>
              <w:rPr>
                <w:sz w:val="22"/>
                <w:szCs w:val="22"/>
              </w:rPr>
            </w:pPr>
          </w:p>
          <w:p>
            <w:pPr>
              <w:rPr>
                <w:sz w:val="22"/>
                <w:szCs w:val="22"/>
              </w:rPr>
            </w:pPr>
            <w:proofErr w:type="spellStart"/>
            <w:r>
              <w:rPr>
                <w:sz w:val="22"/>
                <w:szCs w:val="22"/>
              </w:rPr>
              <w:t>VPräs</w:t>
            </w:r>
            <w:proofErr w:type="spellEnd"/>
            <w:r>
              <w:rPr>
                <w:sz w:val="22"/>
                <w:szCs w:val="22"/>
              </w:rPr>
              <w:t xml:space="preserve"> (Schaade)</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t xml:space="preserve"> </w:t>
            </w:r>
            <w:r>
              <w:rPr>
                <w:sz w:val="22"/>
                <w:szCs w:val="22"/>
              </w:rPr>
              <w:t>Nicht besprochen</w:t>
            </w:r>
          </w:p>
          <w:p>
            <w:pPr>
              <w:ind w:left="113"/>
              <w:rPr>
                <w:sz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Schnelle Maßnahmen als Reaktion auf das Auftreten der neuen Virusvariante in der UK hat viele Probleme nach sich gezogen (Gestrandete im Transitbereit, Einsatz zu AG-Tests etc.)</w:t>
            </w:r>
          </w:p>
          <w:p>
            <w:pPr>
              <w:ind w:left="113"/>
              <w:rPr>
                <w:sz w:val="22"/>
              </w:rPr>
            </w:pPr>
          </w:p>
        </w:tc>
        <w:tc>
          <w:tcPr>
            <w:tcW w:w="1492" w:type="dxa"/>
          </w:tcPr>
          <w:p>
            <w:pPr>
              <w:rPr>
                <w:sz w:val="22"/>
                <w:szCs w:val="22"/>
              </w:rPr>
            </w:pPr>
          </w:p>
          <w:p>
            <w:pPr>
              <w:rPr>
                <w:sz w:val="22"/>
                <w:szCs w:val="22"/>
              </w:rPr>
            </w:pPr>
            <w:r>
              <w:rPr>
                <w:sz w:val="22"/>
                <w:szCs w:val="22"/>
              </w:rPr>
              <w:t>FG38 (Rexroth)</w:t>
            </w: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 xml:space="preserve">Ansprechpartner Statistiker/Modellierer vom 22.12.-3.1. (siehe Mail Mo 21.12.2020 15:18) </w:t>
            </w:r>
            <w:r>
              <w:rPr>
                <w:sz w:val="22"/>
                <w:szCs w:val="22"/>
              </w:rPr>
              <w:sym w:font="Wingdings" w:char="F0E0"/>
            </w:r>
            <w:r>
              <w:rPr>
                <w:sz w:val="22"/>
                <w:szCs w:val="22"/>
              </w:rPr>
              <w:t xml:space="preserve"> P4 steht für Modellierungsfragen zur Verfügung (siehe Punkt 6b)</w:t>
            </w:r>
          </w:p>
          <w:p>
            <w:pPr>
              <w:pStyle w:val="Listenabsatz"/>
              <w:numPr>
                <w:ilvl w:val="0"/>
                <w:numId w:val="5"/>
              </w:numPr>
              <w:ind w:left="453" w:hanging="340"/>
              <w:rPr>
                <w:sz w:val="22"/>
                <w:szCs w:val="22"/>
              </w:rPr>
            </w:pPr>
            <w:r>
              <w:rPr>
                <w:sz w:val="22"/>
                <w:szCs w:val="22"/>
              </w:rPr>
              <w:t xml:space="preserve">Nächster Krisenstab in den Feiertagswochen regulär montags und mittwochs, freitags im Notfall </w:t>
            </w:r>
          </w:p>
          <w:p>
            <w:pPr>
              <w:rPr>
                <w:sz w:val="22"/>
                <w:szCs w:val="22"/>
              </w:rPr>
            </w:pPr>
          </w:p>
        </w:tc>
        <w:tc>
          <w:tcPr>
            <w:tcW w:w="1492" w:type="dxa"/>
          </w:tcPr>
          <w:p>
            <w:pPr>
              <w:rPr>
                <w:sz w:val="22"/>
                <w:szCs w:val="22"/>
              </w:rPr>
            </w:pPr>
          </w:p>
          <w:p>
            <w:pPr>
              <w:rPr>
                <w:sz w:val="22"/>
                <w:szCs w:val="22"/>
              </w:rPr>
            </w:pPr>
            <w:r>
              <w:rPr>
                <w:sz w:val="22"/>
                <w:szCs w:val="22"/>
              </w:rPr>
              <w:t>FG38 (Rexroth)</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t>Keine Beiträge</w:t>
            </w:r>
          </w:p>
          <w:p>
            <w:pPr>
              <w:pStyle w:val="Listenabsatz"/>
              <w:ind w:left="453"/>
              <w:rPr>
                <w:sz w:val="22"/>
                <w:szCs w:val="22"/>
              </w:rPr>
            </w:pP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lastRenderedPageBreak/>
              <w:t xml:space="preserve">Nächste Sitzung: </w:t>
            </w:r>
            <w:r>
              <w:t>Montag 28.12.2020, 13:00</w:t>
            </w:r>
            <w:r>
              <w:rPr>
                <w:sz w:val="22"/>
                <w:szCs w:val="22"/>
              </w:rPr>
              <w:t xml:space="preserve">,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sectPr>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1F52"/>
    <w:multiLevelType w:val="hybridMultilevel"/>
    <w:tmpl w:val="91CA67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E63019"/>
    <w:multiLevelType w:val="hybridMultilevel"/>
    <w:tmpl w:val="B9F0BC54"/>
    <w:lvl w:ilvl="0" w:tplc="6C1498D2">
      <w:start w:val="1"/>
      <w:numFmt w:val="bullet"/>
      <w:lvlText w:val="-"/>
      <w:lvlJc w:val="left"/>
      <w:pPr>
        <w:tabs>
          <w:tab w:val="num" w:pos="720"/>
        </w:tabs>
        <w:ind w:left="720" w:hanging="360"/>
      </w:pPr>
      <w:rPr>
        <w:rFonts w:ascii="Times New Roman" w:hAnsi="Times New Roman" w:hint="default"/>
      </w:rPr>
    </w:lvl>
    <w:lvl w:ilvl="1" w:tplc="2CC4AE54" w:tentative="1">
      <w:start w:val="1"/>
      <w:numFmt w:val="bullet"/>
      <w:lvlText w:val="-"/>
      <w:lvlJc w:val="left"/>
      <w:pPr>
        <w:tabs>
          <w:tab w:val="num" w:pos="1440"/>
        </w:tabs>
        <w:ind w:left="1440" w:hanging="360"/>
      </w:pPr>
      <w:rPr>
        <w:rFonts w:ascii="Times New Roman" w:hAnsi="Times New Roman" w:hint="default"/>
      </w:rPr>
    </w:lvl>
    <w:lvl w:ilvl="2" w:tplc="4B0A5764" w:tentative="1">
      <w:start w:val="1"/>
      <w:numFmt w:val="bullet"/>
      <w:lvlText w:val="-"/>
      <w:lvlJc w:val="left"/>
      <w:pPr>
        <w:tabs>
          <w:tab w:val="num" w:pos="2160"/>
        </w:tabs>
        <w:ind w:left="2160" w:hanging="360"/>
      </w:pPr>
      <w:rPr>
        <w:rFonts w:ascii="Times New Roman" w:hAnsi="Times New Roman" w:hint="default"/>
      </w:rPr>
    </w:lvl>
    <w:lvl w:ilvl="3" w:tplc="13C6DF02" w:tentative="1">
      <w:start w:val="1"/>
      <w:numFmt w:val="bullet"/>
      <w:lvlText w:val="-"/>
      <w:lvlJc w:val="left"/>
      <w:pPr>
        <w:tabs>
          <w:tab w:val="num" w:pos="2880"/>
        </w:tabs>
        <w:ind w:left="2880" w:hanging="360"/>
      </w:pPr>
      <w:rPr>
        <w:rFonts w:ascii="Times New Roman" w:hAnsi="Times New Roman" w:hint="default"/>
      </w:rPr>
    </w:lvl>
    <w:lvl w:ilvl="4" w:tplc="F96673BE" w:tentative="1">
      <w:start w:val="1"/>
      <w:numFmt w:val="bullet"/>
      <w:lvlText w:val="-"/>
      <w:lvlJc w:val="left"/>
      <w:pPr>
        <w:tabs>
          <w:tab w:val="num" w:pos="3600"/>
        </w:tabs>
        <w:ind w:left="3600" w:hanging="360"/>
      </w:pPr>
      <w:rPr>
        <w:rFonts w:ascii="Times New Roman" w:hAnsi="Times New Roman" w:hint="default"/>
      </w:rPr>
    </w:lvl>
    <w:lvl w:ilvl="5" w:tplc="CA1296FC" w:tentative="1">
      <w:start w:val="1"/>
      <w:numFmt w:val="bullet"/>
      <w:lvlText w:val="-"/>
      <w:lvlJc w:val="left"/>
      <w:pPr>
        <w:tabs>
          <w:tab w:val="num" w:pos="4320"/>
        </w:tabs>
        <w:ind w:left="4320" w:hanging="360"/>
      </w:pPr>
      <w:rPr>
        <w:rFonts w:ascii="Times New Roman" w:hAnsi="Times New Roman" w:hint="default"/>
      </w:rPr>
    </w:lvl>
    <w:lvl w:ilvl="6" w:tplc="CA2C795C" w:tentative="1">
      <w:start w:val="1"/>
      <w:numFmt w:val="bullet"/>
      <w:lvlText w:val="-"/>
      <w:lvlJc w:val="left"/>
      <w:pPr>
        <w:tabs>
          <w:tab w:val="num" w:pos="5040"/>
        </w:tabs>
        <w:ind w:left="5040" w:hanging="360"/>
      </w:pPr>
      <w:rPr>
        <w:rFonts w:ascii="Times New Roman" w:hAnsi="Times New Roman" w:hint="default"/>
      </w:rPr>
    </w:lvl>
    <w:lvl w:ilvl="7" w:tplc="433A931C" w:tentative="1">
      <w:start w:val="1"/>
      <w:numFmt w:val="bullet"/>
      <w:lvlText w:val="-"/>
      <w:lvlJc w:val="left"/>
      <w:pPr>
        <w:tabs>
          <w:tab w:val="num" w:pos="5760"/>
        </w:tabs>
        <w:ind w:left="5760" w:hanging="360"/>
      </w:pPr>
      <w:rPr>
        <w:rFonts w:ascii="Times New Roman" w:hAnsi="Times New Roman" w:hint="default"/>
      </w:rPr>
    </w:lvl>
    <w:lvl w:ilvl="8" w:tplc="4448077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1A3B05A6"/>
    <w:multiLevelType w:val="hybridMultilevel"/>
    <w:tmpl w:val="E580DD56"/>
    <w:lvl w:ilvl="0" w:tplc="04070005">
      <w:start w:val="1"/>
      <w:numFmt w:val="bullet"/>
      <w:lvlText w:val=""/>
      <w:lvlJc w:val="left"/>
      <w:pPr>
        <w:ind w:left="1080" w:hanging="360"/>
      </w:pPr>
      <w:rPr>
        <w:rFonts w:ascii="Wingdings" w:hAnsi="Wingdings" w:hint="default"/>
      </w:rPr>
    </w:lvl>
    <w:lvl w:ilvl="1" w:tplc="355EB7B2">
      <w:start w:val="1"/>
      <w:numFmt w:val="bullet"/>
      <w:lvlText w:val="-"/>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1B6B15B9"/>
    <w:multiLevelType w:val="hybridMultilevel"/>
    <w:tmpl w:val="3D36BAFC"/>
    <w:lvl w:ilvl="0" w:tplc="04070001">
      <w:start w:val="1"/>
      <w:numFmt w:val="bullet"/>
      <w:lvlText w:val=""/>
      <w:lvlJc w:val="left"/>
      <w:pPr>
        <w:ind w:left="473" w:hanging="360"/>
      </w:pPr>
      <w:rPr>
        <w:rFonts w:ascii="Symbol" w:hAnsi="Symbo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0" w15:restartNumberingAfterBreak="0">
    <w:nsid w:val="24340A16"/>
    <w:multiLevelType w:val="hybridMultilevel"/>
    <w:tmpl w:val="3D962DA4"/>
    <w:lvl w:ilvl="0" w:tplc="6FCA37A0">
      <w:start w:val="1"/>
      <w:numFmt w:val="bullet"/>
      <w:lvlText w:val="•"/>
      <w:lvlJc w:val="left"/>
      <w:pPr>
        <w:tabs>
          <w:tab w:val="num" w:pos="720"/>
        </w:tabs>
        <w:ind w:left="720" w:hanging="360"/>
      </w:pPr>
      <w:rPr>
        <w:rFonts w:ascii="Arial" w:hAnsi="Arial" w:hint="default"/>
      </w:rPr>
    </w:lvl>
    <w:lvl w:ilvl="1" w:tplc="7BB086D8" w:tentative="1">
      <w:start w:val="1"/>
      <w:numFmt w:val="bullet"/>
      <w:lvlText w:val="•"/>
      <w:lvlJc w:val="left"/>
      <w:pPr>
        <w:tabs>
          <w:tab w:val="num" w:pos="1440"/>
        </w:tabs>
        <w:ind w:left="1440" w:hanging="360"/>
      </w:pPr>
      <w:rPr>
        <w:rFonts w:ascii="Arial" w:hAnsi="Arial" w:hint="default"/>
      </w:rPr>
    </w:lvl>
    <w:lvl w:ilvl="2" w:tplc="A1104CFA" w:tentative="1">
      <w:start w:val="1"/>
      <w:numFmt w:val="bullet"/>
      <w:lvlText w:val="•"/>
      <w:lvlJc w:val="left"/>
      <w:pPr>
        <w:tabs>
          <w:tab w:val="num" w:pos="2160"/>
        </w:tabs>
        <w:ind w:left="2160" w:hanging="360"/>
      </w:pPr>
      <w:rPr>
        <w:rFonts w:ascii="Arial" w:hAnsi="Arial" w:hint="default"/>
      </w:rPr>
    </w:lvl>
    <w:lvl w:ilvl="3" w:tplc="67DCDCD6" w:tentative="1">
      <w:start w:val="1"/>
      <w:numFmt w:val="bullet"/>
      <w:lvlText w:val="•"/>
      <w:lvlJc w:val="left"/>
      <w:pPr>
        <w:tabs>
          <w:tab w:val="num" w:pos="2880"/>
        </w:tabs>
        <w:ind w:left="2880" w:hanging="360"/>
      </w:pPr>
      <w:rPr>
        <w:rFonts w:ascii="Arial" w:hAnsi="Arial" w:hint="default"/>
      </w:rPr>
    </w:lvl>
    <w:lvl w:ilvl="4" w:tplc="BBB004F8" w:tentative="1">
      <w:start w:val="1"/>
      <w:numFmt w:val="bullet"/>
      <w:lvlText w:val="•"/>
      <w:lvlJc w:val="left"/>
      <w:pPr>
        <w:tabs>
          <w:tab w:val="num" w:pos="3600"/>
        </w:tabs>
        <w:ind w:left="3600" w:hanging="360"/>
      </w:pPr>
      <w:rPr>
        <w:rFonts w:ascii="Arial" w:hAnsi="Arial" w:hint="default"/>
      </w:rPr>
    </w:lvl>
    <w:lvl w:ilvl="5" w:tplc="FAD085CE" w:tentative="1">
      <w:start w:val="1"/>
      <w:numFmt w:val="bullet"/>
      <w:lvlText w:val="•"/>
      <w:lvlJc w:val="left"/>
      <w:pPr>
        <w:tabs>
          <w:tab w:val="num" w:pos="4320"/>
        </w:tabs>
        <w:ind w:left="4320" w:hanging="360"/>
      </w:pPr>
      <w:rPr>
        <w:rFonts w:ascii="Arial" w:hAnsi="Arial" w:hint="default"/>
      </w:rPr>
    </w:lvl>
    <w:lvl w:ilvl="6" w:tplc="C94ACCF4" w:tentative="1">
      <w:start w:val="1"/>
      <w:numFmt w:val="bullet"/>
      <w:lvlText w:val="•"/>
      <w:lvlJc w:val="left"/>
      <w:pPr>
        <w:tabs>
          <w:tab w:val="num" w:pos="5040"/>
        </w:tabs>
        <w:ind w:left="5040" w:hanging="360"/>
      </w:pPr>
      <w:rPr>
        <w:rFonts w:ascii="Arial" w:hAnsi="Arial" w:hint="default"/>
      </w:rPr>
    </w:lvl>
    <w:lvl w:ilvl="7" w:tplc="25082CE2" w:tentative="1">
      <w:start w:val="1"/>
      <w:numFmt w:val="bullet"/>
      <w:lvlText w:val="•"/>
      <w:lvlJc w:val="left"/>
      <w:pPr>
        <w:tabs>
          <w:tab w:val="num" w:pos="5760"/>
        </w:tabs>
        <w:ind w:left="5760" w:hanging="360"/>
      </w:pPr>
      <w:rPr>
        <w:rFonts w:ascii="Arial" w:hAnsi="Arial" w:hint="default"/>
      </w:rPr>
    </w:lvl>
    <w:lvl w:ilvl="8" w:tplc="576ADC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8A3459"/>
    <w:multiLevelType w:val="hybridMultilevel"/>
    <w:tmpl w:val="F3243458"/>
    <w:lvl w:ilvl="0" w:tplc="04070005">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B397807"/>
    <w:multiLevelType w:val="hybridMultilevel"/>
    <w:tmpl w:val="BD028C3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B825B8F"/>
    <w:multiLevelType w:val="hybridMultilevel"/>
    <w:tmpl w:val="A00802DE"/>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4067673"/>
    <w:multiLevelType w:val="hybridMultilevel"/>
    <w:tmpl w:val="D7883ECC"/>
    <w:lvl w:ilvl="0" w:tplc="9F74D508">
      <w:start w:val="1"/>
      <w:numFmt w:val="bullet"/>
      <w:lvlText w:val="•"/>
      <w:lvlJc w:val="left"/>
      <w:pPr>
        <w:tabs>
          <w:tab w:val="num" w:pos="720"/>
        </w:tabs>
        <w:ind w:left="720" w:hanging="360"/>
      </w:pPr>
      <w:rPr>
        <w:rFonts w:ascii="Arial" w:hAnsi="Arial" w:hint="default"/>
      </w:rPr>
    </w:lvl>
    <w:lvl w:ilvl="1" w:tplc="29BC7116" w:tentative="1">
      <w:start w:val="1"/>
      <w:numFmt w:val="bullet"/>
      <w:lvlText w:val="•"/>
      <w:lvlJc w:val="left"/>
      <w:pPr>
        <w:tabs>
          <w:tab w:val="num" w:pos="1440"/>
        </w:tabs>
        <w:ind w:left="1440" w:hanging="360"/>
      </w:pPr>
      <w:rPr>
        <w:rFonts w:ascii="Arial" w:hAnsi="Arial" w:hint="default"/>
      </w:rPr>
    </w:lvl>
    <w:lvl w:ilvl="2" w:tplc="CCCC65C2" w:tentative="1">
      <w:start w:val="1"/>
      <w:numFmt w:val="bullet"/>
      <w:lvlText w:val="•"/>
      <w:lvlJc w:val="left"/>
      <w:pPr>
        <w:tabs>
          <w:tab w:val="num" w:pos="2160"/>
        </w:tabs>
        <w:ind w:left="2160" w:hanging="360"/>
      </w:pPr>
      <w:rPr>
        <w:rFonts w:ascii="Arial" w:hAnsi="Arial" w:hint="default"/>
      </w:rPr>
    </w:lvl>
    <w:lvl w:ilvl="3" w:tplc="5C5A703A" w:tentative="1">
      <w:start w:val="1"/>
      <w:numFmt w:val="bullet"/>
      <w:lvlText w:val="•"/>
      <w:lvlJc w:val="left"/>
      <w:pPr>
        <w:tabs>
          <w:tab w:val="num" w:pos="2880"/>
        </w:tabs>
        <w:ind w:left="2880" w:hanging="360"/>
      </w:pPr>
      <w:rPr>
        <w:rFonts w:ascii="Arial" w:hAnsi="Arial" w:hint="default"/>
      </w:rPr>
    </w:lvl>
    <w:lvl w:ilvl="4" w:tplc="F8C40CAE" w:tentative="1">
      <w:start w:val="1"/>
      <w:numFmt w:val="bullet"/>
      <w:lvlText w:val="•"/>
      <w:lvlJc w:val="left"/>
      <w:pPr>
        <w:tabs>
          <w:tab w:val="num" w:pos="3600"/>
        </w:tabs>
        <w:ind w:left="3600" w:hanging="360"/>
      </w:pPr>
      <w:rPr>
        <w:rFonts w:ascii="Arial" w:hAnsi="Arial" w:hint="default"/>
      </w:rPr>
    </w:lvl>
    <w:lvl w:ilvl="5" w:tplc="BEEAD06A" w:tentative="1">
      <w:start w:val="1"/>
      <w:numFmt w:val="bullet"/>
      <w:lvlText w:val="•"/>
      <w:lvlJc w:val="left"/>
      <w:pPr>
        <w:tabs>
          <w:tab w:val="num" w:pos="4320"/>
        </w:tabs>
        <w:ind w:left="4320" w:hanging="360"/>
      </w:pPr>
      <w:rPr>
        <w:rFonts w:ascii="Arial" w:hAnsi="Arial" w:hint="default"/>
      </w:rPr>
    </w:lvl>
    <w:lvl w:ilvl="6" w:tplc="FAE0ECA0" w:tentative="1">
      <w:start w:val="1"/>
      <w:numFmt w:val="bullet"/>
      <w:lvlText w:val="•"/>
      <w:lvlJc w:val="left"/>
      <w:pPr>
        <w:tabs>
          <w:tab w:val="num" w:pos="5040"/>
        </w:tabs>
        <w:ind w:left="5040" w:hanging="360"/>
      </w:pPr>
      <w:rPr>
        <w:rFonts w:ascii="Arial" w:hAnsi="Arial" w:hint="default"/>
      </w:rPr>
    </w:lvl>
    <w:lvl w:ilvl="7" w:tplc="4D04F228" w:tentative="1">
      <w:start w:val="1"/>
      <w:numFmt w:val="bullet"/>
      <w:lvlText w:val="•"/>
      <w:lvlJc w:val="left"/>
      <w:pPr>
        <w:tabs>
          <w:tab w:val="num" w:pos="5760"/>
        </w:tabs>
        <w:ind w:left="5760" w:hanging="360"/>
      </w:pPr>
      <w:rPr>
        <w:rFonts w:ascii="Arial" w:hAnsi="Arial" w:hint="default"/>
      </w:rPr>
    </w:lvl>
    <w:lvl w:ilvl="8" w:tplc="83FE230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095915"/>
    <w:multiLevelType w:val="hybridMultilevel"/>
    <w:tmpl w:val="92E4A8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437F24FC"/>
    <w:multiLevelType w:val="hybridMultilevel"/>
    <w:tmpl w:val="20BA03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59E11FA"/>
    <w:multiLevelType w:val="hybridMultilevel"/>
    <w:tmpl w:val="B11E4B2E"/>
    <w:lvl w:ilvl="0" w:tplc="7278D7EA">
      <w:start w:val="1"/>
      <w:numFmt w:val="bullet"/>
      <w:lvlText w:val="•"/>
      <w:lvlJc w:val="left"/>
      <w:pPr>
        <w:tabs>
          <w:tab w:val="num" w:pos="720"/>
        </w:tabs>
        <w:ind w:left="720" w:hanging="360"/>
      </w:pPr>
      <w:rPr>
        <w:rFonts w:ascii="Arial" w:hAnsi="Arial" w:hint="default"/>
      </w:rPr>
    </w:lvl>
    <w:lvl w:ilvl="1" w:tplc="C34CD6B6" w:tentative="1">
      <w:start w:val="1"/>
      <w:numFmt w:val="bullet"/>
      <w:lvlText w:val="•"/>
      <w:lvlJc w:val="left"/>
      <w:pPr>
        <w:tabs>
          <w:tab w:val="num" w:pos="1440"/>
        </w:tabs>
        <w:ind w:left="1440" w:hanging="360"/>
      </w:pPr>
      <w:rPr>
        <w:rFonts w:ascii="Arial" w:hAnsi="Arial" w:hint="default"/>
      </w:rPr>
    </w:lvl>
    <w:lvl w:ilvl="2" w:tplc="8216013C" w:tentative="1">
      <w:start w:val="1"/>
      <w:numFmt w:val="bullet"/>
      <w:lvlText w:val="•"/>
      <w:lvlJc w:val="left"/>
      <w:pPr>
        <w:tabs>
          <w:tab w:val="num" w:pos="2160"/>
        </w:tabs>
        <w:ind w:left="2160" w:hanging="360"/>
      </w:pPr>
      <w:rPr>
        <w:rFonts w:ascii="Arial" w:hAnsi="Arial" w:hint="default"/>
      </w:rPr>
    </w:lvl>
    <w:lvl w:ilvl="3" w:tplc="CA98BFB2" w:tentative="1">
      <w:start w:val="1"/>
      <w:numFmt w:val="bullet"/>
      <w:lvlText w:val="•"/>
      <w:lvlJc w:val="left"/>
      <w:pPr>
        <w:tabs>
          <w:tab w:val="num" w:pos="2880"/>
        </w:tabs>
        <w:ind w:left="2880" w:hanging="360"/>
      </w:pPr>
      <w:rPr>
        <w:rFonts w:ascii="Arial" w:hAnsi="Arial" w:hint="default"/>
      </w:rPr>
    </w:lvl>
    <w:lvl w:ilvl="4" w:tplc="C014310C" w:tentative="1">
      <w:start w:val="1"/>
      <w:numFmt w:val="bullet"/>
      <w:lvlText w:val="•"/>
      <w:lvlJc w:val="left"/>
      <w:pPr>
        <w:tabs>
          <w:tab w:val="num" w:pos="3600"/>
        </w:tabs>
        <w:ind w:left="3600" w:hanging="360"/>
      </w:pPr>
      <w:rPr>
        <w:rFonts w:ascii="Arial" w:hAnsi="Arial" w:hint="default"/>
      </w:rPr>
    </w:lvl>
    <w:lvl w:ilvl="5" w:tplc="E95CF34E" w:tentative="1">
      <w:start w:val="1"/>
      <w:numFmt w:val="bullet"/>
      <w:lvlText w:val="•"/>
      <w:lvlJc w:val="left"/>
      <w:pPr>
        <w:tabs>
          <w:tab w:val="num" w:pos="4320"/>
        </w:tabs>
        <w:ind w:left="4320" w:hanging="360"/>
      </w:pPr>
      <w:rPr>
        <w:rFonts w:ascii="Arial" w:hAnsi="Arial" w:hint="default"/>
      </w:rPr>
    </w:lvl>
    <w:lvl w:ilvl="6" w:tplc="86E471D6" w:tentative="1">
      <w:start w:val="1"/>
      <w:numFmt w:val="bullet"/>
      <w:lvlText w:val="•"/>
      <w:lvlJc w:val="left"/>
      <w:pPr>
        <w:tabs>
          <w:tab w:val="num" w:pos="5040"/>
        </w:tabs>
        <w:ind w:left="5040" w:hanging="360"/>
      </w:pPr>
      <w:rPr>
        <w:rFonts w:ascii="Arial" w:hAnsi="Arial" w:hint="default"/>
      </w:rPr>
    </w:lvl>
    <w:lvl w:ilvl="7" w:tplc="B41AE894" w:tentative="1">
      <w:start w:val="1"/>
      <w:numFmt w:val="bullet"/>
      <w:lvlText w:val="•"/>
      <w:lvlJc w:val="left"/>
      <w:pPr>
        <w:tabs>
          <w:tab w:val="num" w:pos="5760"/>
        </w:tabs>
        <w:ind w:left="5760" w:hanging="360"/>
      </w:pPr>
      <w:rPr>
        <w:rFonts w:ascii="Arial" w:hAnsi="Arial" w:hint="default"/>
      </w:rPr>
    </w:lvl>
    <w:lvl w:ilvl="8" w:tplc="370AF9B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5C50E9"/>
    <w:multiLevelType w:val="hybridMultilevel"/>
    <w:tmpl w:val="73365584"/>
    <w:lvl w:ilvl="0" w:tplc="1EC0ED56">
      <w:start w:val="1"/>
      <w:numFmt w:val="bullet"/>
      <w:lvlText w:val="•"/>
      <w:lvlJc w:val="left"/>
      <w:pPr>
        <w:tabs>
          <w:tab w:val="num" w:pos="720"/>
        </w:tabs>
        <w:ind w:left="720" w:hanging="360"/>
      </w:pPr>
      <w:rPr>
        <w:rFonts w:ascii="Arial" w:hAnsi="Arial" w:hint="default"/>
      </w:rPr>
    </w:lvl>
    <w:lvl w:ilvl="1" w:tplc="BD8C44D8" w:tentative="1">
      <w:start w:val="1"/>
      <w:numFmt w:val="bullet"/>
      <w:lvlText w:val="•"/>
      <w:lvlJc w:val="left"/>
      <w:pPr>
        <w:tabs>
          <w:tab w:val="num" w:pos="1440"/>
        </w:tabs>
        <w:ind w:left="1440" w:hanging="360"/>
      </w:pPr>
      <w:rPr>
        <w:rFonts w:ascii="Arial" w:hAnsi="Arial" w:hint="default"/>
      </w:rPr>
    </w:lvl>
    <w:lvl w:ilvl="2" w:tplc="7C4A9AC2" w:tentative="1">
      <w:start w:val="1"/>
      <w:numFmt w:val="bullet"/>
      <w:lvlText w:val="•"/>
      <w:lvlJc w:val="left"/>
      <w:pPr>
        <w:tabs>
          <w:tab w:val="num" w:pos="2160"/>
        </w:tabs>
        <w:ind w:left="2160" w:hanging="360"/>
      </w:pPr>
      <w:rPr>
        <w:rFonts w:ascii="Arial" w:hAnsi="Arial" w:hint="default"/>
      </w:rPr>
    </w:lvl>
    <w:lvl w:ilvl="3" w:tplc="A7726A4A" w:tentative="1">
      <w:start w:val="1"/>
      <w:numFmt w:val="bullet"/>
      <w:lvlText w:val="•"/>
      <w:lvlJc w:val="left"/>
      <w:pPr>
        <w:tabs>
          <w:tab w:val="num" w:pos="2880"/>
        </w:tabs>
        <w:ind w:left="2880" w:hanging="360"/>
      </w:pPr>
      <w:rPr>
        <w:rFonts w:ascii="Arial" w:hAnsi="Arial" w:hint="default"/>
      </w:rPr>
    </w:lvl>
    <w:lvl w:ilvl="4" w:tplc="3984FB4C" w:tentative="1">
      <w:start w:val="1"/>
      <w:numFmt w:val="bullet"/>
      <w:lvlText w:val="•"/>
      <w:lvlJc w:val="left"/>
      <w:pPr>
        <w:tabs>
          <w:tab w:val="num" w:pos="3600"/>
        </w:tabs>
        <w:ind w:left="3600" w:hanging="360"/>
      </w:pPr>
      <w:rPr>
        <w:rFonts w:ascii="Arial" w:hAnsi="Arial" w:hint="default"/>
      </w:rPr>
    </w:lvl>
    <w:lvl w:ilvl="5" w:tplc="240C2BE6" w:tentative="1">
      <w:start w:val="1"/>
      <w:numFmt w:val="bullet"/>
      <w:lvlText w:val="•"/>
      <w:lvlJc w:val="left"/>
      <w:pPr>
        <w:tabs>
          <w:tab w:val="num" w:pos="4320"/>
        </w:tabs>
        <w:ind w:left="4320" w:hanging="360"/>
      </w:pPr>
      <w:rPr>
        <w:rFonts w:ascii="Arial" w:hAnsi="Arial" w:hint="default"/>
      </w:rPr>
    </w:lvl>
    <w:lvl w:ilvl="6" w:tplc="A47CAC50" w:tentative="1">
      <w:start w:val="1"/>
      <w:numFmt w:val="bullet"/>
      <w:lvlText w:val="•"/>
      <w:lvlJc w:val="left"/>
      <w:pPr>
        <w:tabs>
          <w:tab w:val="num" w:pos="5040"/>
        </w:tabs>
        <w:ind w:left="5040" w:hanging="360"/>
      </w:pPr>
      <w:rPr>
        <w:rFonts w:ascii="Arial" w:hAnsi="Arial" w:hint="default"/>
      </w:rPr>
    </w:lvl>
    <w:lvl w:ilvl="7" w:tplc="17B27F66" w:tentative="1">
      <w:start w:val="1"/>
      <w:numFmt w:val="bullet"/>
      <w:lvlText w:val="•"/>
      <w:lvlJc w:val="left"/>
      <w:pPr>
        <w:tabs>
          <w:tab w:val="num" w:pos="5760"/>
        </w:tabs>
        <w:ind w:left="5760" w:hanging="360"/>
      </w:pPr>
      <w:rPr>
        <w:rFonts w:ascii="Arial" w:hAnsi="Arial" w:hint="default"/>
      </w:rPr>
    </w:lvl>
    <w:lvl w:ilvl="8" w:tplc="FDC0554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BCA56AF"/>
    <w:multiLevelType w:val="hybridMultilevel"/>
    <w:tmpl w:val="AD6CAD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2790950"/>
    <w:multiLevelType w:val="hybridMultilevel"/>
    <w:tmpl w:val="C894529E"/>
    <w:lvl w:ilvl="0" w:tplc="F9AA7454">
      <w:start w:val="1"/>
      <w:numFmt w:val="bullet"/>
      <w:lvlText w:val="•"/>
      <w:lvlJc w:val="left"/>
      <w:pPr>
        <w:tabs>
          <w:tab w:val="num" w:pos="720"/>
        </w:tabs>
        <w:ind w:left="720" w:hanging="360"/>
      </w:pPr>
      <w:rPr>
        <w:rFonts w:ascii="Arial" w:hAnsi="Arial" w:hint="default"/>
      </w:rPr>
    </w:lvl>
    <w:lvl w:ilvl="1" w:tplc="14D0CA10" w:tentative="1">
      <w:start w:val="1"/>
      <w:numFmt w:val="bullet"/>
      <w:lvlText w:val="•"/>
      <w:lvlJc w:val="left"/>
      <w:pPr>
        <w:tabs>
          <w:tab w:val="num" w:pos="1440"/>
        </w:tabs>
        <w:ind w:left="1440" w:hanging="360"/>
      </w:pPr>
      <w:rPr>
        <w:rFonts w:ascii="Arial" w:hAnsi="Arial" w:hint="default"/>
      </w:rPr>
    </w:lvl>
    <w:lvl w:ilvl="2" w:tplc="5E66D76A" w:tentative="1">
      <w:start w:val="1"/>
      <w:numFmt w:val="bullet"/>
      <w:lvlText w:val="•"/>
      <w:lvlJc w:val="left"/>
      <w:pPr>
        <w:tabs>
          <w:tab w:val="num" w:pos="2160"/>
        </w:tabs>
        <w:ind w:left="2160" w:hanging="360"/>
      </w:pPr>
      <w:rPr>
        <w:rFonts w:ascii="Arial" w:hAnsi="Arial" w:hint="default"/>
      </w:rPr>
    </w:lvl>
    <w:lvl w:ilvl="3" w:tplc="8EE8BEE2" w:tentative="1">
      <w:start w:val="1"/>
      <w:numFmt w:val="bullet"/>
      <w:lvlText w:val="•"/>
      <w:lvlJc w:val="left"/>
      <w:pPr>
        <w:tabs>
          <w:tab w:val="num" w:pos="2880"/>
        </w:tabs>
        <w:ind w:left="2880" w:hanging="360"/>
      </w:pPr>
      <w:rPr>
        <w:rFonts w:ascii="Arial" w:hAnsi="Arial" w:hint="default"/>
      </w:rPr>
    </w:lvl>
    <w:lvl w:ilvl="4" w:tplc="6D802CC6" w:tentative="1">
      <w:start w:val="1"/>
      <w:numFmt w:val="bullet"/>
      <w:lvlText w:val="•"/>
      <w:lvlJc w:val="left"/>
      <w:pPr>
        <w:tabs>
          <w:tab w:val="num" w:pos="3600"/>
        </w:tabs>
        <w:ind w:left="3600" w:hanging="360"/>
      </w:pPr>
      <w:rPr>
        <w:rFonts w:ascii="Arial" w:hAnsi="Arial" w:hint="default"/>
      </w:rPr>
    </w:lvl>
    <w:lvl w:ilvl="5" w:tplc="0D2E0CC6" w:tentative="1">
      <w:start w:val="1"/>
      <w:numFmt w:val="bullet"/>
      <w:lvlText w:val="•"/>
      <w:lvlJc w:val="left"/>
      <w:pPr>
        <w:tabs>
          <w:tab w:val="num" w:pos="4320"/>
        </w:tabs>
        <w:ind w:left="4320" w:hanging="360"/>
      </w:pPr>
      <w:rPr>
        <w:rFonts w:ascii="Arial" w:hAnsi="Arial" w:hint="default"/>
      </w:rPr>
    </w:lvl>
    <w:lvl w:ilvl="6" w:tplc="56F0D09A" w:tentative="1">
      <w:start w:val="1"/>
      <w:numFmt w:val="bullet"/>
      <w:lvlText w:val="•"/>
      <w:lvlJc w:val="left"/>
      <w:pPr>
        <w:tabs>
          <w:tab w:val="num" w:pos="5040"/>
        </w:tabs>
        <w:ind w:left="5040" w:hanging="360"/>
      </w:pPr>
      <w:rPr>
        <w:rFonts w:ascii="Arial" w:hAnsi="Arial" w:hint="default"/>
      </w:rPr>
    </w:lvl>
    <w:lvl w:ilvl="7" w:tplc="25AA43BA" w:tentative="1">
      <w:start w:val="1"/>
      <w:numFmt w:val="bullet"/>
      <w:lvlText w:val="•"/>
      <w:lvlJc w:val="left"/>
      <w:pPr>
        <w:tabs>
          <w:tab w:val="num" w:pos="5760"/>
        </w:tabs>
        <w:ind w:left="5760" w:hanging="360"/>
      </w:pPr>
      <w:rPr>
        <w:rFonts w:ascii="Arial" w:hAnsi="Arial" w:hint="default"/>
      </w:rPr>
    </w:lvl>
    <w:lvl w:ilvl="8" w:tplc="A9A484E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63435476"/>
    <w:multiLevelType w:val="hybridMultilevel"/>
    <w:tmpl w:val="D4CE83EA"/>
    <w:lvl w:ilvl="0" w:tplc="04070005">
      <w:start w:val="1"/>
      <w:numFmt w:val="bullet"/>
      <w:lvlText w:val=""/>
      <w:lvlJc w:val="left"/>
      <w:pPr>
        <w:ind w:left="1440" w:hanging="360"/>
      </w:pPr>
      <w:rPr>
        <w:rFonts w:ascii="Wingdings" w:hAnsi="Wingdings" w:hint="default"/>
        <w:color w:val="auto"/>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8" w15:restartNumberingAfterBreak="0">
    <w:nsid w:val="63835EE9"/>
    <w:multiLevelType w:val="hybridMultilevel"/>
    <w:tmpl w:val="9732EB8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70B5755"/>
    <w:multiLevelType w:val="hybridMultilevel"/>
    <w:tmpl w:val="5B48763A"/>
    <w:lvl w:ilvl="0" w:tplc="04070005">
      <w:start w:val="1"/>
      <w:numFmt w:val="bullet"/>
      <w:lvlText w:val=""/>
      <w:lvlJc w:val="left"/>
      <w:pPr>
        <w:ind w:left="1080" w:hanging="360"/>
      </w:pPr>
      <w:rPr>
        <w:rFonts w:ascii="Wingdings" w:hAnsi="Wingdings" w:hint="default"/>
      </w:rPr>
    </w:lvl>
    <w:lvl w:ilvl="1" w:tplc="355EB7B2">
      <w:start w:val="1"/>
      <w:numFmt w:val="bullet"/>
      <w:lvlText w:val="-"/>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740072BE"/>
    <w:multiLevelType w:val="hybridMultilevel"/>
    <w:tmpl w:val="F85CA2B8"/>
    <w:lvl w:ilvl="0" w:tplc="04070005">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9"/>
  </w:num>
  <w:num w:numId="2">
    <w:abstractNumId w:val="5"/>
  </w:num>
  <w:num w:numId="3">
    <w:abstractNumId w:val="4"/>
  </w:num>
  <w:num w:numId="4">
    <w:abstractNumId w:val="28"/>
  </w:num>
  <w:num w:numId="5">
    <w:abstractNumId w:val="13"/>
  </w:num>
  <w:num w:numId="6">
    <w:abstractNumId w:val="31"/>
  </w:num>
  <w:num w:numId="7">
    <w:abstractNumId w:val="40"/>
  </w:num>
  <w:num w:numId="8">
    <w:abstractNumId w:val="22"/>
  </w:num>
  <w:num w:numId="9">
    <w:abstractNumId w:val="7"/>
  </w:num>
  <w:num w:numId="10">
    <w:abstractNumId w:val="45"/>
  </w:num>
  <w:num w:numId="11">
    <w:abstractNumId w:val="36"/>
  </w:num>
  <w:num w:numId="12">
    <w:abstractNumId w:val="26"/>
  </w:num>
  <w:num w:numId="13">
    <w:abstractNumId w:val="21"/>
  </w:num>
  <w:num w:numId="14">
    <w:abstractNumId w:val="32"/>
  </w:num>
  <w:num w:numId="15">
    <w:abstractNumId w:val="27"/>
  </w:num>
  <w:num w:numId="16">
    <w:abstractNumId w:val="1"/>
  </w:num>
  <w:num w:numId="17">
    <w:abstractNumId w:val="20"/>
  </w:num>
  <w:num w:numId="18">
    <w:abstractNumId w:val="42"/>
  </w:num>
  <w:num w:numId="19">
    <w:abstractNumId w:val="18"/>
  </w:num>
  <w:num w:numId="20">
    <w:abstractNumId w:val="41"/>
  </w:num>
  <w:num w:numId="21">
    <w:abstractNumId w:val="11"/>
  </w:num>
  <w:num w:numId="22">
    <w:abstractNumId w:val="15"/>
  </w:num>
  <w:num w:numId="23">
    <w:abstractNumId w:val="3"/>
  </w:num>
  <w:num w:numId="24">
    <w:abstractNumId w:val="33"/>
  </w:num>
  <w:num w:numId="25">
    <w:abstractNumId w:val="24"/>
  </w:num>
  <w:num w:numId="26">
    <w:abstractNumId w:val="2"/>
  </w:num>
  <w:num w:numId="27">
    <w:abstractNumId w:val="34"/>
  </w:num>
  <w:num w:numId="28">
    <w:abstractNumId w:val="43"/>
  </w:num>
  <w:num w:numId="29">
    <w:abstractNumId w:val="23"/>
  </w:num>
  <w:num w:numId="30">
    <w:abstractNumId w:val="0"/>
  </w:num>
  <w:num w:numId="31">
    <w:abstractNumId w:val="30"/>
  </w:num>
  <w:num w:numId="32">
    <w:abstractNumId w:val="25"/>
  </w:num>
  <w:num w:numId="33">
    <w:abstractNumId w:val="16"/>
  </w:num>
  <w:num w:numId="34">
    <w:abstractNumId w:val="10"/>
  </w:num>
  <w:num w:numId="35">
    <w:abstractNumId w:val="35"/>
  </w:num>
  <w:num w:numId="36">
    <w:abstractNumId w:val="29"/>
  </w:num>
  <w:num w:numId="37">
    <w:abstractNumId w:val="44"/>
  </w:num>
  <w:num w:numId="38">
    <w:abstractNumId w:val="38"/>
  </w:num>
  <w:num w:numId="39">
    <w:abstractNumId w:val="14"/>
  </w:num>
  <w:num w:numId="40">
    <w:abstractNumId w:val="12"/>
  </w:num>
  <w:num w:numId="41">
    <w:abstractNumId w:val="39"/>
  </w:num>
  <w:num w:numId="42">
    <w:abstractNumId w:val="8"/>
  </w:num>
  <w:num w:numId="43">
    <w:abstractNumId w:val="6"/>
  </w:num>
  <w:num w:numId="44">
    <w:abstractNumId w:val="9"/>
  </w:num>
  <w:num w:numId="45">
    <w:abstractNumId w:val="37"/>
  </w:num>
  <w:num w:numId="4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highlight">
    <w:name w:val="highlight"/>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7818">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87665385">
      <w:bodyDiv w:val="1"/>
      <w:marLeft w:val="0"/>
      <w:marRight w:val="0"/>
      <w:marTop w:val="0"/>
      <w:marBottom w:val="0"/>
      <w:divBdr>
        <w:top w:val="none" w:sz="0" w:space="0" w:color="auto"/>
        <w:left w:val="none" w:sz="0" w:space="0" w:color="auto"/>
        <w:bottom w:val="none" w:sz="0" w:space="0" w:color="auto"/>
        <w:right w:val="none" w:sz="0" w:space="0" w:color="auto"/>
      </w:divBdr>
      <w:divsChild>
        <w:div w:id="1087582215">
          <w:marLeft w:val="547"/>
          <w:marRight w:val="0"/>
          <w:marTop w:val="96"/>
          <w:marBottom w:val="0"/>
          <w:divBdr>
            <w:top w:val="none" w:sz="0" w:space="0" w:color="auto"/>
            <w:left w:val="none" w:sz="0" w:space="0" w:color="auto"/>
            <w:bottom w:val="none" w:sz="0" w:space="0" w:color="auto"/>
            <w:right w:val="none" w:sz="0" w:space="0" w:color="auto"/>
          </w:divBdr>
        </w:div>
        <w:div w:id="236717235">
          <w:marLeft w:val="547"/>
          <w:marRight w:val="0"/>
          <w:marTop w:val="96"/>
          <w:marBottom w:val="0"/>
          <w:divBdr>
            <w:top w:val="none" w:sz="0" w:space="0" w:color="auto"/>
            <w:left w:val="none" w:sz="0" w:space="0" w:color="auto"/>
            <w:bottom w:val="none" w:sz="0" w:space="0" w:color="auto"/>
            <w:right w:val="none" w:sz="0" w:space="0" w:color="auto"/>
          </w:divBdr>
        </w:div>
        <w:div w:id="1451319767">
          <w:marLeft w:val="547"/>
          <w:marRight w:val="0"/>
          <w:marTop w:val="96"/>
          <w:marBottom w:val="0"/>
          <w:divBdr>
            <w:top w:val="none" w:sz="0" w:space="0" w:color="auto"/>
            <w:left w:val="none" w:sz="0" w:space="0" w:color="auto"/>
            <w:bottom w:val="none" w:sz="0" w:space="0" w:color="auto"/>
            <w:right w:val="none" w:sz="0" w:space="0" w:color="auto"/>
          </w:divBdr>
        </w:div>
      </w:divsChild>
    </w:div>
    <w:div w:id="339623451">
      <w:bodyDiv w:val="1"/>
      <w:marLeft w:val="0"/>
      <w:marRight w:val="0"/>
      <w:marTop w:val="0"/>
      <w:marBottom w:val="0"/>
      <w:divBdr>
        <w:top w:val="none" w:sz="0" w:space="0" w:color="auto"/>
        <w:left w:val="none" w:sz="0" w:space="0" w:color="auto"/>
        <w:bottom w:val="none" w:sz="0" w:space="0" w:color="auto"/>
        <w:right w:val="none" w:sz="0" w:space="0" w:color="auto"/>
      </w:divBdr>
      <w:divsChild>
        <w:div w:id="555121706">
          <w:marLeft w:val="547"/>
          <w:marRight w:val="0"/>
          <w:marTop w:val="96"/>
          <w:marBottom w:val="0"/>
          <w:divBdr>
            <w:top w:val="none" w:sz="0" w:space="0" w:color="auto"/>
            <w:left w:val="none" w:sz="0" w:space="0" w:color="auto"/>
            <w:bottom w:val="none" w:sz="0" w:space="0" w:color="auto"/>
            <w:right w:val="none" w:sz="0" w:space="0" w:color="auto"/>
          </w:divBdr>
        </w:div>
        <w:div w:id="278419412">
          <w:marLeft w:val="547"/>
          <w:marRight w:val="0"/>
          <w:marTop w:val="96"/>
          <w:marBottom w:val="0"/>
          <w:divBdr>
            <w:top w:val="none" w:sz="0" w:space="0" w:color="auto"/>
            <w:left w:val="none" w:sz="0" w:space="0" w:color="auto"/>
            <w:bottom w:val="none" w:sz="0" w:space="0" w:color="auto"/>
            <w:right w:val="none" w:sz="0" w:space="0" w:color="auto"/>
          </w:divBdr>
        </w:div>
      </w:divsChild>
    </w:div>
    <w:div w:id="460349360">
      <w:bodyDiv w:val="1"/>
      <w:marLeft w:val="0"/>
      <w:marRight w:val="0"/>
      <w:marTop w:val="0"/>
      <w:marBottom w:val="0"/>
      <w:divBdr>
        <w:top w:val="none" w:sz="0" w:space="0" w:color="auto"/>
        <w:left w:val="none" w:sz="0" w:space="0" w:color="auto"/>
        <w:bottom w:val="none" w:sz="0" w:space="0" w:color="auto"/>
        <w:right w:val="none" w:sz="0" w:space="0" w:color="auto"/>
      </w:divBdr>
    </w:div>
    <w:div w:id="576592128">
      <w:bodyDiv w:val="1"/>
      <w:marLeft w:val="0"/>
      <w:marRight w:val="0"/>
      <w:marTop w:val="0"/>
      <w:marBottom w:val="0"/>
      <w:divBdr>
        <w:top w:val="none" w:sz="0" w:space="0" w:color="auto"/>
        <w:left w:val="none" w:sz="0" w:space="0" w:color="auto"/>
        <w:bottom w:val="none" w:sz="0" w:space="0" w:color="auto"/>
        <w:right w:val="none" w:sz="0" w:space="0" w:color="auto"/>
      </w:divBdr>
    </w:div>
    <w:div w:id="672103863">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20179253">
      <w:bodyDiv w:val="1"/>
      <w:marLeft w:val="0"/>
      <w:marRight w:val="0"/>
      <w:marTop w:val="0"/>
      <w:marBottom w:val="0"/>
      <w:divBdr>
        <w:top w:val="none" w:sz="0" w:space="0" w:color="auto"/>
        <w:left w:val="none" w:sz="0" w:space="0" w:color="auto"/>
        <w:bottom w:val="none" w:sz="0" w:space="0" w:color="auto"/>
        <w:right w:val="none" w:sz="0" w:space="0" w:color="auto"/>
      </w:divBdr>
      <w:divsChild>
        <w:div w:id="1545094815">
          <w:marLeft w:val="547"/>
          <w:marRight w:val="0"/>
          <w:marTop w:val="86"/>
          <w:marBottom w:val="0"/>
          <w:divBdr>
            <w:top w:val="none" w:sz="0" w:space="0" w:color="auto"/>
            <w:left w:val="none" w:sz="0" w:space="0" w:color="auto"/>
            <w:bottom w:val="none" w:sz="0" w:space="0" w:color="auto"/>
            <w:right w:val="none" w:sz="0" w:space="0" w:color="auto"/>
          </w:divBdr>
        </w:div>
        <w:div w:id="1592394427">
          <w:marLeft w:val="547"/>
          <w:marRight w:val="0"/>
          <w:marTop w:val="86"/>
          <w:marBottom w:val="0"/>
          <w:divBdr>
            <w:top w:val="none" w:sz="0" w:space="0" w:color="auto"/>
            <w:left w:val="none" w:sz="0" w:space="0" w:color="auto"/>
            <w:bottom w:val="none" w:sz="0" w:space="0" w:color="auto"/>
            <w:right w:val="none" w:sz="0" w:space="0" w:color="auto"/>
          </w:divBdr>
        </w:div>
        <w:div w:id="1502351939">
          <w:marLeft w:val="547"/>
          <w:marRight w:val="0"/>
          <w:marTop w:val="86"/>
          <w:marBottom w:val="0"/>
          <w:divBdr>
            <w:top w:val="none" w:sz="0" w:space="0" w:color="auto"/>
            <w:left w:val="none" w:sz="0" w:space="0" w:color="auto"/>
            <w:bottom w:val="none" w:sz="0" w:space="0" w:color="auto"/>
            <w:right w:val="none" w:sz="0" w:space="0" w:color="auto"/>
          </w:divBdr>
        </w:div>
      </w:divsChild>
    </w:div>
    <w:div w:id="814830919">
      <w:bodyDiv w:val="1"/>
      <w:marLeft w:val="0"/>
      <w:marRight w:val="0"/>
      <w:marTop w:val="0"/>
      <w:marBottom w:val="0"/>
      <w:divBdr>
        <w:top w:val="none" w:sz="0" w:space="0" w:color="auto"/>
        <w:left w:val="none" w:sz="0" w:space="0" w:color="auto"/>
        <w:bottom w:val="none" w:sz="0" w:space="0" w:color="auto"/>
        <w:right w:val="none" w:sz="0" w:space="0" w:color="auto"/>
      </w:divBdr>
      <w:divsChild>
        <w:div w:id="1118987053">
          <w:marLeft w:val="547"/>
          <w:marRight w:val="0"/>
          <w:marTop w:val="144"/>
          <w:marBottom w:val="0"/>
          <w:divBdr>
            <w:top w:val="none" w:sz="0" w:space="0" w:color="auto"/>
            <w:left w:val="none" w:sz="0" w:space="0" w:color="auto"/>
            <w:bottom w:val="none" w:sz="0" w:space="0" w:color="auto"/>
            <w:right w:val="none" w:sz="0" w:space="0" w:color="auto"/>
          </w:divBdr>
        </w:div>
        <w:div w:id="1298561473">
          <w:marLeft w:val="547"/>
          <w:marRight w:val="0"/>
          <w:marTop w:val="144"/>
          <w:marBottom w:val="0"/>
          <w:divBdr>
            <w:top w:val="none" w:sz="0" w:space="0" w:color="auto"/>
            <w:left w:val="none" w:sz="0" w:space="0" w:color="auto"/>
            <w:bottom w:val="none" w:sz="0" w:space="0" w:color="auto"/>
            <w:right w:val="none" w:sz="0" w:space="0" w:color="auto"/>
          </w:divBdr>
        </w:div>
        <w:div w:id="507326208">
          <w:marLeft w:val="547"/>
          <w:marRight w:val="0"/>
          <w:marTop w:val="144"/>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209950100">
      <w:bodyDiv w:val="1"/>
      <w:marLeft w:val="0"/>
      <w:marRight w:val="0"/>
      <w:marTop w:val="0"/>
      <w:marBottom w:val="0"/>
      <w:divBdr>
        <w:top w:val="none" w:sz="0" w:space="0" w:color="auto"/>
        <w:left w:val="none" w:sz="0" w:space="0" w:color="auto"/>
        <w:bottom w:val="none" w:sz="0" w:space="0" w:color="auto"/>
        <w:right w:val="none" w:sz="0" w:space="0" w:color="auto"/>
      </w:divBdr>
    </w:div>
    <w:div w:id="1290817804">
      <w:bodyDiv w:val="1"/>
      <w:marLeft w:val="0"/>
      <w:marRight w:val="0"/>
      <w:marTop w:val="0"/>
      <w:marBottom w:val="0"/>
      <w:divBdr>
        <w:top w:val="none" w:sz="0" w:space="0" w:color="auto"/>
        <w:left w:val="none" w:sz="0" w:space="0" w:color="auto"/>
        <w:bottom w:val="none" w:sz="0" w:space="0" w:color="auto"/>
        <w:right w:val="none" w:sz="0" w:space="0" w:color="auto"/>
      </w:divBdr>
    </w:div>
    <w:div w:id="1489712259">
      <w:bodyDiv w:val="1"/>
      <w:marLeft w:val="0"/>
      <w:marRight w:val="0"/>
      <w:marTop w:val="0"/>
      <w:marBottom w:val="0"/>
      <w:divBdr>
        <w:top w:val="none" w:sz="0" w:space="0" w:color="auto"/>
        <w:left w:val="none" w:sz="0" w:space="0" w:color="auto"/>
        <w:bottom w:val="none" w:sz="0" w:space="0" w:color="auto"/>
        <w:right w:val="none" w:sz="0" w:space="0" w:color="auto"/>
      </w:divBdr>
      <w:divsChild>
        <w:div w:id="1036083116">
          <w:marLeft w:val="547"/>
          <w:marRight w:val="0"/>
          <w:marTop w:val="96"/>
          <w:marBottom w:val="0"/>
          <w:divBdr>
            <w:top w:val="none" w:sz="0" w:space="0" w:color="auto"/>
            <w:left w:val="none" w:sz="0" w:space="0" w:color="auto"/>
            <w:bottom w:val="none" w:sz="0" w:space="0" w:color="auto"/>
            <w:right w:val="none" w:sz="0" w:space="0" w:color="auto"/>
          </w:divBdr>
        </w:div>
        <w:div w:id="1797605637">
          <w:marLeft w:val="547"/>
          <w:marRight w:val="0"/>
          <w:marTop w:val="96"/>
          <w:marBottom w:val="0"/>
          <w:divBdr>
            <w:top w:val="none" w:sz="0" w:space="0" w:color="auto"/>
            <w:left w:val="none" w:sz="0" w:space="0" w:color="auto"/>
            <w:bottom w:val="none" w:sz="0" w:space="0" w:color="auto"/>
            <w:right w:val="none" w:sz="0" w:space="0" w:color="auto"/>
          </w:divBdr>
        </w:div>
      </w:divsChild>
    </w:div>
    <w:div w:id="149174993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48136538">
      <w:bodyDiv w:val="1"/>
      <w:marLeft w:val="0"/>
      <w:marRight w:val="0"/>
      <w:marTop w:val="0"/>
      <w:marBottom w:val="0"/>
      <w:divBdr>
        <w:top w:val="none" w:sz="0" w:space="0" w:color="auto"/>
        <w:left w:val="none" w:sz="0" w:space="0" w:color="auto"/>
        <w:bottom w:val="none" w:sz="0" w:space="0" w:color="auto"/>
        <w:right w:val="none" w:sz="0" w:space="0" w:color="auto"/>
      </w:divBdr>
      <w:divsChild>
        <w:div w:id="1427847880">
          <w:marLeft w:val="274"/>
          <w:marRight w:val="0"/>
          <w:marTop w:val="0"/>
          <w:marBottom w:val="0"/>
          <w:divBdr>
            <w:top w:val="none" w:sz="0" w:space="0" w:color="auto"/>
            <w:left w:val="none" w:sz="0" w:space="0" w:color="auto"/>
            <w:bottom w:val="none" w:sz="0" w:space="0" w:color="auto"/>
            <w:right w:val="none" w:sz="0" w:space="0" w:color="auto"/>
          </w:divBdr>
        </w:div>
        <w:div w:id="649796052">
          <w:marLeft w:val="274"/>
          <w:marRight w:val="0"/>
          <w:marTop w:val="0"/>
          <w:marBottom w:val="0"/>
          <w:divBdr>
            <w:top w:val="none" w:sz="0" w:space="0" w:color="auto"/>
            <w:left w:val="none" w:sz="0" w:space="0" w:color="auto"/>
            <w:bottom w:val="none" w:sz="0" w:space="0" w:color="auto"/>
            <w:right w:val="none" w:sz="0" w:space="0" w:color="auto"/>
          </w:divBdr>
        </w:div>
        <w:div w:id="1464932153">
          <w:marLeft w:val="274"/>
          <w:marRight w:val="0"/>
          <w:marTop w:val="0"/>
          <w:marBottom w:val="0"/>
          <w:divBdr>
            <w:top w:val="none" w:sz="0" w:space="0" w:color="auto"/>
            <w:left w:val="none" w:sz="0" w:space="0" w:color="auto"/>
            <w:bottom w:val="none" w:sz="0" w:space="0" w:color="auto"/>
            <w:right w:val="none" w:sz="0" w:space="0" w:color="auto"/>
          </w:divBdr>
        </w:div>
      </w:divsChild>
    </w:div>
    <w:div w:id="1874462665">
      <w:bodyDiv w:val="1"/>
      <w:marLeft w:val="0"/>
      <w:marRight w:val="0"/>
      <w:marTop w:val="0"/>
      <w:marBottom w:val="0"/>
      <w:divBdr>
        <w:top w:val="none" w:sz="0" w:space="0" w:color="auto"/>
        <w:left w:val="none" w:sz="0" w:space="0" w:color="auto"/>
        <w:bottom w:val="none" w:sz="0" w:space="0" w:color="auto"/>
        <w:right w:val="none" w:sz="0" w:space="0" w:color="auto"/>
      </w:divBdr>
    </w:div>
    <w:div w:id="1900752166">
      <w:bodyDiv w:val="1"/>
      <w:marLeft w:val="0"/>
      <w:marRight w:val="0"/>
      <w:marTop w:val="0"/>
      <w:marBottom w:val="0"/>
      <w:divBdr>
        <w:top w:val="none" w:sz="0" w:space="0" w:color="auto"/>
        <w:left w:val="none" w:sz="0" w:space="0" w:color="auto"/>
        <w:bottom w:val="none" w:sz="0" w:space="0" w:color="auto"/>
        <w:right w:val="none" w:sz="0" w:space="0" w:color="auto"/>
      </w:divBdr>
    </w:div>
    <w:div w:id="2024210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12-23_Lage_AG\COVID-19_Internationale_Lage_2020-12-23.pptx" TargetMode="External"/><Relationship Id="rId13" Type="http://schemas.openxmlformats.org/officeDocument/2006/relationships/hyperlink" Target="file:///S:\Wissdaten\RKI_nCoV-Lage\1.Lagemanagement\1.3.Besprechungen_TKs\1.Lage_AG\2020-12-23_Lage_AG\20201223_SARS-CoV-2%20in%20ARS_Krisenstabssitzung.ppt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0-12-23_Lage_AG\Testzahlerfassung%20am%20RKI_2020-12-023.pptx"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0-12-23_Lage_AG\IMS_Entwurf_Erlassanwort_2461_molSurv-SARS-CoV-2_wh1_TS1_Stand%20201223_09-56.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0-12-23_Lage_AG\syndrom-SARI-COVID_bis_KW50_2020_f&#252;r-Lagebericht.pptx"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0-12-23_Lage_AG\NRZ%20Influenzaviren%20Krisenstab%2023122020.pptx" TargetMode="External"/><Relationship Id="rId23" Type="http://schemas.openxmlformats.org/officeDocument/2006/relationships/fontTable" Target="fontTable.xml"/><Relationship Id="rId10" Type="http://schemas.openxmlformats.org/officeDocument/2006/relationships/hyperlink" Target="file:///S:\Wissdaten\RKI_nCoV-Lage\1.Lagemanagement\1.3.Besprechungen_TKs\1.Lage_AG\2020-12-23_Lage_AG\syndrom-ARE-SARI-COVID_bis_KW51_2020_f&#252;r-Krisenstab.ppt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12-23_Lage_AG\Lage-National_2020_12_23.pptx" TargetMode="External"/><Relationship Id="rId14" Type="http://schemas.openxmlformats.org/officeDocument/2006/relationships/hyperlink" Target="file:///S:\Wissdaten\RKI_nCoV-Lage\1.Lagemanagement\1.3.Besprechungen_TKs\1.Lage_AG\2020-12-23_Lage_AG\Krisenstabssitzung_21122020.pptx"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3CC71-1F20-440D-9AC5-B89ED3F7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3486</Words>
  <Characters>21966</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45</cp:revision>
  <cp:lastPrinted>2020-05-06T16:43:00Z</cp:lastPrinted>
  <dcterms:created xsi:type="dcterms:W3CDTF">2020-12-18T18:47:00Z</dcterms:created>
  <dcterms:modified xsi:type="dcterms:W3CDTF">2021-05-10T14:39:00Z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437929987</vt:i4>
  </property>
</Properties>
</file>