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30.12.2020,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Lars Schaade</w:t>
      </w:r>
    </w:p>
    <w:p>
      <w:pPr>
        <w:rPr>
          <w:b/>
          <w:vanish/>
          <w:sz w:val="22"/>
        </w:rPr>
      </w:pPr>
    </w:p>
    <w:p>
      <w:pPr>
        <w:spacing w:after="0"/>
        <w:rPr>
          <w:b/>
          <w:sz w:val="22"/>
        </w:rPr>
      </w:pPr>
      <w:r>
        <w:rPr>
          <w:b/>
          <w:sz w:val="22"/>
        </w:rPr>
        <w:t xml:space="preserve">Teilnehmende: </w:t>
      </w:r>
    </w:p>
    <w:p>
      <w:pPr>
        <w:pStyle w:val="Listenabsatz"/>
        <w:numPr>
          <w:ilvl w:val="0"/>
          <w:numId w:val="2"/>
        </w:numPr>
        <w:spacing w:after="0" w:line="233" w:lineRule="auto"/>
        <w:ind w:hanging="357"/>
        <w:contextualSpacing w:val="0"/>
        <w:rPr>
          <w:sz w:val="22"/>
          <w:szCs w:val="22"/>
        </w:rPr>
      </w:pPr>
      <w:r>
        <w:rPr>
          <w:sz w:val="22"/>
          <w:szCs w:val="22"/>
        </w:rPr>
        <w:t>Institutsleitung</w:t>
      </w:r>
    </w:p>
    <w:p>
      <w:pPr>
        <w:pStyle w:val="Listenabsatz"/>
        <w:numPr>
          <w:ilvl w:val="1"/>
          <w:numId w:val="2"/>
        </w:numPr>
        <w:spacing w:after="0" w:line="233" w:lineRule="auto"/>
        <w:contextualSpacing w:val="0"/>
        <w:rPr>
          <w:sz w:val="22"/>
          <w:szCs w:val="22"/>
        </w:rPr>
      </w:pPr>
      <w:r>
        <w:rPr>
          <w:sz w:val="22"/>
          <w:szCs w:val="22"/>
        </w:rPr>
        <w:t>Lars Schaade</w:t>
      </w:r>
    </w:p>
    <w:p>
      <w:pPr>
        <w:pStyle w:val="Listenabsatz"/>
        <w:numPr>
          <w:ilvl w:val="0"/>
          <w:numId w:val="2"/>
        </w:numPr>
        <w:spacing w:after="0" w:line="233" w:lineRule="auto"/>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line="233" w:lineRule="auto"/>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FG12</w:t>
      </w:r>
    </w:p>
    <w:p>
      <w:pPr>
        <w:pStyle w:val="Listenabsatz"/>
        <w:numPr>
          <w:ilvl w:val="1"/>
          <w:numId w:val="2"/>
        </w:numPr>
        <w:spacing w:after="0"/>
        <w:contextualSpacing w:val="0"/>
        <w:rPr>
          <w:sz w:val="22"/>
          <w:szCs w:val="22"/>
        </w:rPr>
      </w:pPr>
      <w:r>
        <w:rPr>
          <w:sz w:val="22"/>
          <w:szCs w:val="22"/>
        </w:rPr>
        <w:t>Annette Mankertz</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2"/>
        </w:numPr>
        <w:spacing w:after="0"/>
        <w:contextualSpacing w:val="0"/>
        <w:rPr>
          <w:sz w:val="22"/>
          <w:szCs w:val="22"/>
        </w:rPr>
      </w:pPr>
      <w:r>
        <w:rPr>
          <w:sz w:val="22"/>
          <w:szCs w:val="22"/>
        </w:rPr>
        <w:t>FG24</w:t>
      </w:r>
    </w:p>
    <w:p>
      <w:pPr>
        <w:pStyle w:val="Listenabsatz"/>
        <w:numPr>
          <w:ilvl w:val="1"/>
          <w:numId w:val="2"/>
        </w:numPr>
        <w:spacing w:after="0"/>
        <w:contextualSpacing w:val="0"/>
        <w:rPr>
          <w:sz w:val="22"/>
          <w:szCs w:val="22"/>
        </w:rPr>
      </w:pPr>
      <w:r>
        <w:rPr>
          <w:sz w:val="22"/>
          <w:szCs w:val="22"/>
        </w:rPr>
        <w:t>Thomas Ziese</w:t>
      </w:r>
    </w:p>
    <w:p>
      <w:pPr>
        <w:pStyle w:val="Listenabsatz"/>
        <w:numPr>
          <w:ilvl w:val="0"/>
          <w:numId w:val="2"/>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Sebastian Haller</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Claudia Schulz-Weidhaas</w:t>
      </w:r>
    </w:p>
    <w:p>
      <w:pPr>
        <w:pStyle w:val="Listenabsatz"/>
        <w:numPr>
          <w:ilvl w:val="0"/>
          <w:numId w:val="3"/>
        </w:numPr>
        <w:spacing w:after="0"/>
        <w:contextualSpacing w:val="0"/>
        <w:rPr>
          <w:sz w:val="22"/>
          <w:szCs w:val="22"/>
        </w:rPr>
      </w:pPr>
      <w:r>
        <w:rPr>
          <w:sz w:val="22"/>
          <w:szCs w:val="22"/>
        </w:rPr>
        <w:t>ZBS1</w:t>
      </w:r>
    </w:p>
    <w:p>
      <w:pPr>
        <w:pStyle w:val="Listenabsatz"/>
        <w:numPr>
          <w:ilvl w:val="1"/>
          <w:numId w:val="3"/>
        </w:numPr>
        <w:spacing w:after="0"/>
        <w:contextualSpacing w:val="0"/>
        <w:rPr>
          <w:sz w:val="22"/>
          <w:szCs w:val="22"/>
        </w:rPr>
      </w:pPr>
      <w:r>
        <w:rPr>
          <w:sz w:val="22"/>
          <w:szCs w:val="22"/>
        </w:rPr>
        <w:t>Eva Krause</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szCs w:val="22"/>
        </w:rPr>
      </w:pPr>
      <w:r>
        <w:rPr>
          <w:sz w:val="22"/>
          <w:szCs w:val="22"/>
        </w:rPr>
        <w:t>Regina Singer</w:t>
      </w:r>
    </w:p>
    <w:p>
      <w:pPr>
        <w:pStyle w:val="Listenabsatz"/>
        <w:numPr>
          <w:ilvl w:val="1"/>
          <w:numId w:val="2"/>
        </w:numPr>
        <w:spacing w:after="0"/>
        <w:contextualSpacing w:val="0"/>
        <w:rPr>
          <w:sz w:val="22"/>
          <w:szCs w:val="22"/>
        </w:rPr>
      </w:pPr>
      <w:r>
        <w:rPr>
          <w:sz w:val="22"/>
          <w:szCs w:val="22"/>
        </w:rPr>
        <w:t>Iris Andernach</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 xml:space="preserve">Heidrun </w:t>
      </w:r>
      <w:proofErr w:type="spellStart"/>
      <w:r>
        <w:rPr>
          <w:sz w:val="22"/>
          <w:szCs w:val="22"/>
        </w:rPr>
        <w:t>Thaiss</w:t>
      </w:r>
      <w:proofErr w:type="spellEnd"/>
    </w:p>
    <w:p>
      <w:pPr>
        <w:pStyle w:val="Listenabsatz"/>
        <w:numPr>
          <w:ilvl w:val="0"/>
          <w:numId w:val="2"/>
        </w:numPr>
        <w:spacing w:after="0"/>
        <w:contextualSpacing w:val="0"/>
        <w:rPr>
          <w:sz w:val="22"/>
          <w:szCs w:val="22"/>
        </w:rPr>
      </w:pPr>
      <w:r>
        <w:rPr>
          <w:sz w:val="22"/>
          <w:szCs w:val="22"/>
        </w:rPr>
        <w:t>MF3</w:t>
      </w:r>
    </w:p>
    <w:p>
      <w:pPr>
        <w:pStyle w:val="Listenabsatz"/>
        <w:numPr>
          <w:ilvl w:val="1"/>
          <w:numId w:val="2"/>
        </w:numPr>
        <w:spacing w:after="0"/>
        <w:contextualSpacing w:val="0"/>
        <w:rPr>
          <w:sz w:val="22"/>
          <w:szCs w:val="22"/>
        </w:rPr>
      </w:pPr>
      <w:r>
        <w:rPr>
          <w:sz w:val="22"/>
          <w:szCs w:val="22"/>
        </w:rPr>
        <w:t>Nancy Erickson (Protokoll)</w:t>
      </w:r>
    </w:p>
    <w:p>
      <w:pPr>
        <w:pStyle w:val="Listenabsatz"/>
        <w:spacing w:after="0"/>
        <w:contextualSpacing w:val="0"/>
        <w:rPr>
          <w:sz w:val="22"/>
          <w:szCs w:val="22"/>
        </w:rPr>
      </w:pPr>
    </w:p>
    <w:p>
      <w:pPr>
        <w:pStyle w:val="Listenabsatz"/>
        <w:spacing w:after="0"/>
        <w:contextualSpacing w:val="0"/>
        <w:rPr>
          <w:sz w:val="22"/>
          <w:szCs w:val="22"/>
        </w:rPr>
      </w:pPr>
    </w:p>
    <w:p>
      <w:pPr>
        <w:pStyle w:val="Listenabsatz"/>
        <w:spacing w:after="0"/>
        <w:contextualSpacing w:val="0"/>
        <w:rPr>
          <w:sz w:val="22"/>
          <w:szCs w:val="22"/>
        </w:rPr>
      </w:pPr>
    </w:p>
    <w:p>
      <w:pPr>
        <w:pStyle w:val="Listenabsatz"/>
        <w:spacing w:after="0"/>
        <w:contextualSpacing w:val="0"/>
        <w:rPr>
          <w:sz w:val="22"/>
          <w:szCs w:val="22"/>
        </w:rPr>
      </w:pPr>
    </w:p>
    <w:p>
      <w:pPr>
        <w:pStyle w:val="Listenabsatz"/>
        <w:spacing w:after="0"/>
        <w:contextualSpacing w:val="0"/>
        <w:rPr>
          <w:sz w:val="22"/>
          <w:szCs w:val="22"/>
        </w:rPr>
      </w:pPr>
    </w:p>
    <w:p>
      <w:pPr>
        <w:pStyle w:val="Listenabsatz"/>
        <w:spacing w:after="0"/>
        <w:contextualSpacing w:val="0"/>
        <w:rPr>
          <w:sz w:val="22"/>
          <w:szCs w:val="22"/>
        </w:r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2"/>
                <w:szCs w:val="22"/>
              </w:rPr>
            </w:pPr>
            <w:r>
              <w:rPr>
                <w:b/>
                <w:sz w:val="22"/>
                <w:szCs w:val="22"/>
              </w:rPr>
              <w:t xml:space="preserve">International </w:t>
            </w:r>
          </w:p>
          <w:p>
            <w:pPr>
              <w:pStyle w:val="Listenabsatz"/>
              <w:numPr>
                <w:ilvl w:val="0"/>
                <w:numId w:val="9"/>
              </w:numPr>
              <w:ind w:left="475"/>
              <w:rPr>
                <w:sz w:val="22"/>
                <w:szCs w:val="22"/>
              </w:rPr>
            </w:pPr>
            <w:r>
              <w:rPr>
                <w:sz w:val="22"/>
                <w:szCs w:val="22"/>
              </w:rPr>
              <w:t xml:space="preserve">Internationale Lage (Folien </w:t>
            </w:r>
            <w:hyperlink r:id="rId8" w:history="1">
              <w:r>
                <w:rPr>
                  <w:rStyle w:val="Hyperlink"/>
                  <w:sz w:val="22"/>
                  <w:szCs w:val="22"/>
                </w:rPr>
                <w:t>hier</w:t>
              </w:r>
            </w:hyperlink>
            <w:r>
              <w:rPr>
                <w:sz w:val="22"/>
                <w:szCs w:val="22"/>
              </w:rPr>
              <w:t>)</w:t>
            </w:r>
          </w:p>
          <w:p>
            <w:pPr>
              <w:pStyle w:val="Listenabsatz"/>
              <w:numPr>
                <w:ilvl w:val="0"/>
                <w:numId w:val="12"/>
              </w:numPr>
              <w:rPr>
                <w:sz w:val="22"/>
                <w:szCs w:val="22"/>
              </w:rPr>
            </w:pPr>
            <w:r>
              <w:rPr>
                <w:b/>
                <w:sz w:val="22"/>
                <w:szCs w:val="22"/>
              </w:rPr>
              <w:t>Fälle, Ausbreitung</w:t>
            </w:r>
            <w:r>
              <w:rPr>
                <w:sz w:val="22"/>
                <w:szCs w:val="22"/>
              </w:rPr>
              <w:t>: Stand 29.12.2020 &gt; 80 Mio. Fälle und &gt; 1.7 Mio. Todesfälle (2.2 %), Top 10 Länder: USA; Brasilien, GB, Russland, Indien, Deutschland, Türkei, Italien, Kolumbien, Südafrika; Indien nun auf Platz 5 statt 7, Südafrika anstelle Frankreichs nun in den Top 10; Datengrundlage hier WHO (feiertagsbedingte Verschiebungen der ECDC-Daten);</w:t>
            </w:r>
          </w:p>
          <w:p>
            <w:pPr>
              <w:pStyle w:val="Listenabsatz"/>
              <w:numPr>
                <w:ilvl w:val="0"/>
                <w:numId w:val="12"/>
              </w:numPr>
              <w:rPr>
                <w:sz w:val="22"/>
                <w:szCs w:val="22"/>
              </w:rPr>
            </w:pPr>
            <w:r>
              <w:rPr>
                <w:b/>
                <w:sz w:val="22"/>
                <w:szCs w:val="22"/>
              </w:rPr>
              <w:t xml:space="preserve">WHO </w:t>
            </w:r>
            <w:proofErr w:type="spellStart"/>
            <w:r>
              <w:rPr>
                <w:b/>
                <w:sz w:val="22"/>
                <w:szCs w:val="22"/>
              </w:rPr>
              <w:t>Epidemiological</w:t>
            </w:r>
            <w:proofErr w:type="spellEnd"/>
            <w:r>
              <w:rPr>
                <w:b/>
                <w:sz w:val="22"/>
                <w:szCs w:val="22"/>
              </w:rPr>
              <w:t xml:space="preserve"> update</w:t>
            </w:r>
            <w:r>
              <w:rPr>
                <w:sz w:val="22"/>
                <w:szCs w:val="22"/>
              </w:rPr>
              <w:t>, Stand 29.12.2020 (Vergleich Vorwoche): insgesamt Rückgang neuer COVID-19-Fälle bzw. Todesfälle um 12 % bzw. 8 %, aber aufgrund der Feiertage laut WHO Meldeverzögerungen;</w:t>
            </w:r>
          </w:p>
          <w:p>
            <w:pPr>
              <w:pStyle w:val="Listenabsatz"/>
              <w:numPr>
                <w:ilvl w:val="0"/>
                <w:numId w:val="11"/>
              </w:numPr>
              <w:rPr>
                <w:sz w:val="22"/>
                <w:szCs w:val="22"/>
              </w:rPr>
            </w:pPr>
            <w:r>
              <w:rPr>
                <w:b/>
                <w:sz w:val="22"/>
                <w:szCs w:val="22"/>
              </w:rPr>
              <w:t>Region Amerika</w:t>
            </w:r>
            <w:r>
              <w:rPr>
                <w:sz w:val="22"/>
                <w:szCs w:val="22"/>
              </w:rPr>
              <w:t>: erneut größter Anteil neuer COVID-19-Fälle (&gt; 2,3 Mio. neue Fälle; 50 % weltweiter Fälle);</w:t>
            </w:r>
            <w:r>
              <w:rPr>
                <w:rFonts w:eastAsiaTheme="minorEastAsia" w:hAnsi="Calibri"/>
                <w:color w:val="000000" w:themeColor="text1"/>
                <w:kern w:val="24"/>
                <w:sz w:val="36"/>
                <w:szCs w:val="36"/>
                <w:lang w:eastAsia="de-DE"/>
              </w:rPr>
              <w:t xml:space="preserve"> </w:t>
            </w:r>
          </w:p>
          <w:p>
            <w:pPr>
              <w:pStyle w:val="Listenabsatz"/>
              <w:ind w:left="1080"/>
              <w:rPr>
                <w:sz w:val="22"/>
                <w:szCs w:val="22"/>
              </w:rPr>
            </w:pPr>
            <w:r>
              <w:rPr>
                <w:sz w:val="22"/>
                <w:szCs w:val="22"/>
              </w:rPr>
              <w:t xml:space="preserve">Rückgang neuer Fälle bzw. Todesfälle um 15 % bzw. 3 %; USA 68 % neuer Fälle in der Region; </w:t>
            </w:r>
          </w:p>
          <w:p>
            <w:pPr>
              <w:pStyle w:val="Listenabsatz"/>
              <w:ind w:left="1080"/>
              <w:rPr>
                <w:sz w:val="22"/>
                <w:szCs w:val="22"/>
              </w:rPr>
            </w:pPr>
            <w:r>
              <w:rPr>
                <w:sz w:val="22"/>
                <w:szCs w:val="22"/>
              </w:rPr>
              <w:t>meiste neue (Todes)Fälle: USA, Brasilien, Kolumbien, Mexiko;</w:t>
            </w:r>
          </w:p>
          <w:p>
            <w:pPr>
              <w:pStyle w:val="Listenabsatz"/>
              <w:numPr>
                <w:ilvl w:val="0"/>
                <w:numId w:val="11"/>
              </w:numPr>
              <w:rPr>
                <w:sz w:val="22"/>
                <w:szCs w:val="22"/>
              </w:rPr>
            </w:pPr>
            <w:r>
              <w:rPr>
                <w:b/>
                <w:sz w:val="22"/>
                <w:szCs w:val="22"/>
              </w:rPr>
              <w:t>Region Europa</w:t>
            </w:r>
            <w:r>
              <w:rPr>
                <w:sz w:val="22"/>
                <w:szCs w:val="22"/>
              </w:rPr>
              <w:t xml:space="preserve">: meiste neue Todesfälle (36.286; 46 %) </w:t>
            </w:r>
          </w:p>
          <w:p>
            <w:pPr>
              <w:pStyle w:val="Listenabsatz"/>
              <w:ind w:left="1080"/>
              <w:rPr>
                <w:sz w:val="22"/>
                <w:szCs w:val="22"/>
              </w:rPr>
            </w:pPr>
            <w:r>
              <w:rPr>
                <w:sz w:val="22"/>
                <w:szCs w:val="22"/>
              </w:rPr>
              <w:t xml:space="preserve">&gt; 1,5 Mio. neue Fälle = weiterhin hoch; </w:t>
            </w:r>
          </w:p>
          <w:p>
            <w:pPr>
              <w:pStyle w:val="Listenabsatz"/>
              <w:ind w:left="1080"/>
              <w:rPr>
                <w:sz w:val="22"/>
                <w:szCs w:val="22"/>
              </w:rPr>
            </w:pPr>
            <w:r>
              <w:rPr>
                <w:sz w:val="22"/>
                <w:szCs w:val="22"/>
              </w:rPr>
              <w:t>Rückgang neuer Fälle bzw. Todesfälle um 12 % bzw. 15 %;</w:t>
            </w:r>
          </w:p>
          <w:p>
            <w:pPr>
              <w:pStyle w:val="Listenabsatz"/>
              <w:ind w:left="1080"/>
              <w:rPr>
                <w:sz w:val="22"/>
                <w:szCs w:val="22"/>
              </w:rPr>
            </w:pPr>
            <w:r>
              <w:rPr>
                <w:sz w:val="22"/>
                <w:szCs w:val="22"/>
              </w:rPr>
              <w:t xml:space="preserve">meiste neue (Todes)Fälle: GB, Nordirland, Russland, Deutschland; </w:t>
            </w:r>
          </w:p>
          <w:p>
            <w:pPr>
              <w:pStyle w:val="Listenabsatz"/>
              <w:numPr>
                <w:ilvl w:val="0"/>
                <w:numId w:val="11"/>
              </w:numPr>
              <w:rPr>
                <w:sz w:val="22"/>
                <w:szCs w:val="22"/>
              </w:rPr>
            </w:pPr>
            <w:r>
              <w:rPr>
                <w:b/>
                <w:sz w:val="22"/>
                <w:szCs w:val="22"/>
              </w:rPr>
              <w:t>Region Afrika</w:t>
            </w:r>
            <w:r>
              <w:rPr>
                <w:sz w:val="22"/>
                <w:szCs w:val="22"/>
              </w:rPr>
              <w:t>: größter relativer Anstieg neuer Fälle (27 %) und Todesfälle (34 %); Neuerkrankungen und Todes-</w:t>
            </w:r>
            <w:proofErr w:type="spellStart"/>
            <w:r>
              <w:rPr>
                <w:sz w:val="22"/>
                <w:szCs w:val="22"/>
              </w:rPr>
              <w:t>fälle</w:t>
            </w:r>
            <w:proofErr w:type="spellEnd"/>
            <w:r>
              <w:rPr>
                <w:sz w:val="22"/>
                <w:szCs w:val="22"/>
              </w:rPr>
              <w:t xml:space="preserve"> im Vergleich zu anderen Regionen niedrig; </w:t>
            </w:r>
          </w:p>
          <w:p>
            <w:pPr>
              <w:pStyle w:val="Listenabsatz"/>
              <w:ind w:left="1080"/>
              <w:rPr>
                <w:sz w:val="22"/>
                <w:szCs w:val="22"/>
              </w:rPr>
            </w:pPr>
            <w:r>
              <w:rPr>
                <w:sz w:val="22"/>
                <w:szCs w:val="22"/>
              </w:rPr>
              <w:t>Anstieg neuer Fälle bzw. Todesfälle um 20 % bzw. 37 %;</w:t>
            </w:r>
          </w:p>
          <w:p>
            <w:pPr>
              <w:pStyle w:val="Listenabsatz"/>
              <w:ind w:left="1080"/>
              <w:rPr>
                <w:sz w:val="22"/>
                <w:szCs w:val="22"/>
              </w:rPr>
            </w:pPr>
            <w:r>
              <w:rPr>
                <w:sz w:val="22"/>
                <w:szCs w:val="22"/>
              </w:rPr>
              <w:t xml:space="preserve">meiste neue (Todes)Fälle: Südafrika, Nigeria, Algerien, Namibia, DRC; </w:t>
            </w:r>
          </w:p>
          <w:p>
            <w:pPr>
              <w:pStyle w:val="Listenabsatz"/>
              <w:numPr>
                <w:ilvl w:val="0"/>
                <w:numId w:val="11"/>
              </w:numPr>
              <w:rPr>
                <w:sz w:val="22"/>
                <w:szCs w:val="22"/>
              </w:rPr>
            </w:pPr>
            <w:r>
              <w:rPr>
                <w:b/>
                <w:sz w:val="22"/>
                <w:szCs w:val="22"/>
              </w:rPr>
              <w:t>Region Westpazifik</w:t>
            </w:r>
            <w:r>
              <w:rPr>
                <w:sz w:val="22"/>
                <w:szCs w:val="22"/>
              </w:rPr>
              <w:t xml:space="preserve">: steigende Trends; </w:t>
            </w:r>
          </w:p>
          <w:p>
            <w:pPr>
              <w:pStyle w:val="Listenabsatz"/>
              <w:ind w:left="1080"/>
              <w:rPr>
                <w:sz w:val="22"/>
                <w:szCs w:val="22"/>
              </w:rPr>
            </w:pPr>
            <w:r>
              <w:rPr>
                <w:sz w:val="22"/>
                <w:szCs w:val="22"/>
              </w:rPr>
              <w:t xml:space="preserve">Anstieg neuer Fälle bzw. Todesfälle um 13 % bzw. 4 %; </w:t>
            </w:r>
          </w:p>
          <w:p>
            <w:pPr>
              <w:pStyle w:val="Listenabsatz"/>
              <w:ind w:left="1080"/>
              <w:rPr>
                <w:sz w:val="22"/>
                <w:szCs w:val="22"/>
              </w:rPr>
            </w:pPr>
            <w:r>
              <w:rPr>
                <w:sz w:val="22"/>
                <w:szCs w:val="22"/>
              </w:rPr>
              <w:t xml:space="preserve">meiste neue (Todes)Fälle: Japan, Malaysia, Philippinen, Südkorea; </w:t>
            </w:r>
          </w:p>
          <w:p>
            <w:pPr>
              <w:pStyle w:val="Listenabsatz"/>
              <w:numPr>
                <w:ilvl w:val="0"/>
                <w:numId w:val="11"/>
              </w:numPr>
              <w:rPr>
                <w:sz w:val="22"/>
                <w:szCs w:val="22"/>
              </w:rPr>
            </w:pPr>
            <w:r>
              <w:rPr>
                <w:b/>
                <w:sz w:val="22"/>
                <w:szCs w:val="22"/>
              </w:rPr>
              <w:t>Regionen Südostasien und Östliches Mittelmeer</w:t>
            </w:r>
            <w:r>
              <w:rPr>
                <w:sz w:val="22"/>
                <w:szCs w:val="22"/>
              </w:rPr>
              <w:t xml:space="preserve">: Rückgang der Fälle und Todesfälle; </w:t>
            </w:r>
          </w:p>
          <w:p>
            <w:pPr>
              <w:pStyle w:val="Listenabsatz"/>
              <w:ind w:left="1080"/>
              <w:rPr>
                <w:sz w:val="22"/>
                <w:szCs w:val="22"/>
              </w:rPr>
            </w:pPr>
            <w:r>
              <w:rPr>
                <w:sz w:val="22"/>
                <w:szCs w:val="22"/>
              </w:rPr>
              <w:t xml:space="preserve">SOA: Rückgang neuer Fälle bzw. Todesfälle um 6 % bzw. 1 %; meiste neue (Todes)Fälle: Indien, Indonesien, </w:t>
            </w:r>
            <w:proofErr w:type="spellStart"/>
            <w:r>
              <w:rPr>
                <w:sz w:val="22"/>
                <w:szCs w:val="22"/>
              </w:rPr>
              <w:t>Bangla-desch</w:t>
            </w:r>
            <w:proofErr w:type="spellEnd"/>
            <w:r>
              <w:rPr>
                <w:sz w:val="22"/>
                <w:szCs w:val="22"/>
              </w:rPr>
              <w:t xml:space="preserve">; </w:t>
            </w:r>
          </w:p>
          <w:p>
            <w:pPr>
              <w:pStyle w:val="Listenabsatz"/>
              <w:ind w:left="1080"/>
              <w:rPr>
                <w:sz w:val="22"/>
                <w:szCs w:val="22"/>
              </w:rPr>
            </w:pPr>
            <w:r>
              <w:rPr>
                <w:sz w:val="22"/>
                <w:szCs w:val="22"/>
              </w:rPr>
              <w:t>ÖMM: Rückgang neuer Fälle bzw. Todesfälle um 9 % bzw. 10 %; meiste neue (Todes)Fälle: Iran, Marokko, Pakistan, Tunesien;</w:t>
            </w:r>
          </w:p>
          <w:p>
            <w:pPr>
              <w:pStyle w:val="Listenabsatz"/>
              <w:numPr>
                <w:ilvl w:val="0"/>
                <w:numId w:val="12"/>
              </w:numPr>
              <w:rPr>
                <w:sz w:val="22"/>
                <w:szCs w:val="22"/>
                <w:lang w:val="en-US"/>
              </w:rPr>
            </w:pPr>
            <w:r>
              <w:rPr>
                <w:sz w:val="22"/>
                <w:szCs w:val="22"/>
                <w:lang w:val="en-US"/>
              </w:rPr>
              <w:t>Update Neue SARS-CoV-2-Varianten</w:t>
            </w:r>
          </w:p>
          <w:p>
            <w:pPr>
              <w:pStyle w:val="Listenabsatz"/>
              <w:numPr>
                <w:ilvl w:val="0"/>
                <w:numId w:val="11"/>
              </w:numPr>
              <w:rPr>
                <w:sz w:val="22"/>
                <w:szCs w:val="22"/>
              </w:rPr>
            </w:pPr>
            <w:r>
              <w:rPr>
                <w:b/>
                <w:bCs/>
                <w:sz w:val="22"/>
                <w:szCs w:val="22"/>
              </w:rPr>
              <w:t>VOC 202012/01</w:t>
            </w:r>
            <w:r>
              <w:rPr>
                <w:sz w:val="22"/>
                <w:szCs w:val="22"/>
              </w:rPr>
              <w:t xml:space="preserve"> (UK): mind. 3.000 Fälle in UK; weitere Fälle in Europa und weltweit; </w:t>
            </w:r>
          </w:p>
          <w:p>
            <w:pPr>
              <w:pStyle w:val="Listenabsatz"/>
              <w:numPr>
                <w:ilvl w:val="0"/>
                <w:numId w:val="11"/>
              </w:numPr>
              <w:rPr>
                <w:sz w:val="22"/>
                <w:szCs w:val="22"/>
              </w:rPr>
            </w:pPr>
            <w:r>
              <w:rPr>
                <w:sz w:val="22"/>
                <w:szCs w:val="22"/>
              </w:rPr>
              <w:t xml:space="preserve">Neuer technischer Report PHE: vorläufige Ergebnisse der Kohortenstudie </w:t>
            </w:r>
            <w:r>
              <w:rPr>
                <w:sz w:val="22"/>
                <w:szCs w:val="22"/>
              </w:rPr>
              <w:sym w:font="Wingdings" w:char="F0E0"/>
            </w:r>
            <w:r>
              <w:rPr>
                <w:sz w:val="22"/>
                <w:szCs w:val="22"/>
              </w:rPr>
              <w:t xml:space="preserve"> kein statistisch signifikanter Unter-schied in Hospitalisierung, 28-Tage-Todesrate oder Wahr-</w:t>
            </w:r>
            <w:proofErr w:type="spellStart"/>
            <w:r>
              <w:rPr>
                <w:sz w:val="22"/>
                <w:szCs w:val="22"/>
              </w:rPr>
              <w:t>scheinlichkeit</w:t>
            </w:r>
            <w:proofErr w:type="spellEnd"/>
            <w:r>
              <w:rPr>
                <w:sz w:val="22"/>
                <w:szCs w:val="22"/>
              </w:rPr>
              <w:t xml:space="preserve"> einer Reinfektion;</w:t>
            </w:r>
          </w:p>
          <w:p>
            <w:pPr>
              <w:pStyle w:val="Listenabsatz"/>
              <w:numPr>
                <w:ilvl w:val="0"/>
                <w:numId w:val="11"/>
              </w:numPr>
              <w:rPr>
                <w:sz w:val="22"/>
                <w:szCs w:val="22"/>
              </w:rPr>
            </w:pPr>
            <w:r>
              <w:rPr>
                <w:b/>
                <w:bCs/>
                <w:sz w:val="22"/>
                <w:szCs w:val="22"/>
              </w:rPr>
              <w:lastRenderedPageBreak/>
              <w:t>501.V2</w:t>
            </w:r>
            <w:r>
              <w:rPr>
                <w:sz w:val="22"/>
                <w:szCs w:val="22"/>
              </w:rPr>
              <w:t xml:space="preserve"> (Südafrika): stark verbreitet, &gt;90 % der </w:t>
            </w:r>
            <w:proofErr w:type="spellStart"/>
            <w:r>
              <w:rPr>
                <w:sz w:val="22"/>
                <w:szCs w:val="22"/>
              </w:rPr>
              <w:t>Sequen-zen</w:t>
            </w:r>
            <w:proofErr w:type="spellEnd"/>
            <w:r>
              <w:rPr>
                <w:sz w:val="22"/>
                <w:szCs w:val="22"/>
              </w:rPr>
              <w:t xml:space="preserve"> seit 16.11.; erste Entdeckungen außerhalb SA, u.a. in GB und Finnland; </w:t>
            </w:r>
          </w:p>
          <w:p>
            <w:pPr>
              <w:pStyle w:val="Listenabsatz"/>
              <w:numPr>
                <w:ilvl w:val="0"/>
                <w:numId w:val="11"/>
              </w:numPr>
              <w:rPr>
                <w:sz w:val="22"/>
                <w:szCs w:val="22"/>
              </w:rPr>
            </w:pPr>
            <w:r>
              <w:rPr>
                <w:sz w:val="22"/>
                <w:szCs w:val="22"/>
              </w:rPr>
              <w:t xml:space="preserve">Vorläufige Analysen </w:t>
            </w:r>
            <w:r>
              <w:rPr>
                <w:sz w:val="22"/>
                <w:szCs w:val="22"/>
              </w:rPr>
              <w:sym w:font="Wingdings" w:char="F0E0"/>
            </w:r>
            <w:r>
              <w:rPr>
                <w:sz w:val="22"/>
                <w:szCs w:val="22"/>
              </w:rPr>
              <w:t xml:space="preserve"> neue Varianten erhöhte Übertrag-barkeit, jedoch bislang keine erhöhte Infektionsschwere oder –</w:t>
            </w:r>
            <w:proofErr w:type="spellStart"/>
            <w:r>
              <w:rPr>
                <w:sz w:val="22"/>
                <w:szCs w:val="22"/>
              </w:rPr>
              <w:t>mortalität</w:t>
            </w:r>
            <w:proofErr w:type="spellEnd"/>
            <w:r>
              <w:rPr>
                <w:sz w:val="22"/>
                <w:szCs w:val="22"/>
              </w:rPr>
              <w:t xml:space="preserve"> festgestellt; Einfluss auf entwickelte Impfstoffe weiterhin unklar</w:t>
            </w:r>
          </w:p>
          <w:p>
            <w:pPr>
              <w:pStyle w:val="Listenabsatz"/>
              <w:numPr>
                <w:ilvl w:val="1"/>
                <w:numId w:val="9"/>
              </w:numPr>
              <w:ind w:left="766"/>
              <w:rPr>
                <w:sz w:val="22"/>
                <w:szCs w:val="22"/>
              </w:rPr>
            </w:pPr>
            <w:r>
              <w:rPr>
                <w:sz w:val="22"/>
                <w:szCs w:val="22"/>
              </w:rPr>
              <w:t>Diskussion</w:t>
            </w:r>
          </w:p>
          <w:p>
            <w:pPr>
              <w:pStyle w:val="Listenabsatz"/>
              <w:numPr>
                <w:ilvl w:val="1"/>
                <w:numId w:val="16"/>
              </w:numPr>
              <w:ind w:left="1049" w:hanging="283"/>
              <w:rPr>
                <w:sz w:val="22"/>
                <w:szCs w:val="22"/>
              </w:rPr>
            </w:pPr>
            <w:r>
              <w:rPr>
                <w:sz w:val="22"/>
                <w:szCs w:val="22"/>
              </w:rPr>
              <w:t xml:space="preserve">Sehr hohe CFR (Folie 1) von Deutschland </w:t>
            </w:r>
            <w:proofErr w:type="spellStart"/>
            <w:r>
              <w:rPr>
                <w:sz w:val="22"/>
                <w:szCs w:val="22"/>
              </w:rPr>
              <w:t>ggü</w:t>
            </w:r>
            <w:proofErr w:type="spellEnd"/>
            <w:r>
              <w:rPr>
                <w:sz w:val="22"/>
                <w:szCs w:val="22"/>
              </w:rPr>
              <w:t xml:space="preserve">. bspw. GB (2,74 </w:t>
            </w:r>
            <w:r>
              <w:rPr>
                <w:i/>
                <w:sz w:val="22"/>
                <w:szCs w:val="22"/>
              </w:rPr>
              <w:t>versus</w:t>
            </w:r>
            <w:r>
              <w:rPr>
                <w:sz w:val="22"/>
                <w:szCs w:val="22"/>
              </w:rPr>
              <w:t xml:space="preserve"> 1,28 %): vermutlich Rechenfehler, wird überarbeitet, im Situation Report der WHO für D 29.778 Todesfälle und 1.640.858 Fälle </w:t>
            </w:r>
            <w:r>
              <w:rPr>
                <w:sz w:val="22"/>
                <w:szCs w:val="22"/>
              </w:rPr>
              <w:sym w:font="Wingdings" w:char="F0E0"/>
            </w:r>
            <w:r>
              <w:rPr>
                <w:sz w:val="22"/>
                <w:szCs w:val="22"/>
              </w:rPr>
              <w:t xml:space="preserve"> CFR ca. 1,8 % </w:t>
            </w:r>
            <w:hyperlink r:id="rId9" w:history="1">
              <w:r>
                <w:rPr>
                  <w:rStyle w:val="Hyperlink"/>
                  <w:sz w:val="22"/>
                  <w:szCs w:val="22"/>
                </w:rPr>
                <w:t>https://www.who.int/publications/m/item/weekly-epidemiological-update---29-december-2020</w:t>
              </w:r>
            </w:hyperlink>
          </w:p>
          <w:p>
            <w:pPr>
              <w:pStyle w:val="Listenabsatz"/>
              <w:numPr>
                <w:ilvl w:val="1"/>
                <w:numId w:val="16"/>
              </w:numPr>
              <w:ind w:left="1049" w:hanging="283"/>
              <w:rPr>
                <w:sz w:val="22"/>
                <w:szCs w:val="22"/>
              </w:rPr>
            </w:pPr>
            <w:r>
              <w:rPr>
                <w:sz w:val="22"/>
                <w:szCs w:val="22"/>
              </w:rPr>
              <w:t xml:space="preserve">Aktualisierter Bericht von PHE: </w:t>
            </w:r>
            <w:hyperlink r:id="rId10" w:history="1">
              <w:r>
                <w:rPr>
                  <w:rStyle w:val="Hyperlink"/>
                  <w:sz w:val="22"/>
                  <w:szCs w:val="22"/>
                </w:rPr>
                <w:t>https://assets.publishing.service.gov.uk/government/uploads/system/uploads/attachment_data/file/948152/Technical_Briefing_VOC202012-2_Briefing_2_FINAL.pdf</w:t>
              </w:r>
            </w:hyperlink>
            <w:r>
              <w:rPr>
                <w:sz w:val="22"/>
                <w:szCs w:val="22"/>
              </w:rPr>
              <w:t xml:space="preserve">  </w:t>
            </w:r>
          </w:p>
          <w:p>
            <w:pPr>
              <w:pStyle w:val="Listenabsatz"/>
              <w:numPr>
                <w:ilvl w:val="1"/>
                <w:numId w:val="16"/>
              </w:numPr>
              <w:ind w:left="1049" w:hanging="283"/>
              <w:rPr>
                <w:sz w:val="22"/>
                <w:szCs w:val="22"/>
              </w:rPr>
            </w:pPr>
            <w:r>
              <w:rPr>
                <w:sz w:val="22"/>
                <w:szCs w:val="22"/>
              </w:rPr>
              <w:t xml:space="preserve">Link zu internationalen Daten </w:t>
            </w:r>
            <w:r>
              <w:rPr>
                <w:sz w:val="22"/>
                <w:szCs w:val="22"/>
              </w:rPr>
              <w:sym w:font="Wingdings" w:char="F0E0"/>
            </w:r>
            <w:r>
              <w:rPr>
                <w:sz w:val="22"/>
                <w:szCs w:val="22"/>
              </w:rPr>
              <w:t xml:space="preserve"> Todesfälle </w:t>
            </w:r>
            <w:r>
              <w:rPr>
                <w:i/>
                <w:sz w:val="22"/>
                <w:szCs w:val="22"/>
              </w:rPr>
              <w:t>versus</w:t>
            </w:r>
            <w:r>
              <w:rPr>
                <w:sz w:val="22"/>
                <w:szCs w:val="22"/>
              </w:rPr>
              <w:t xml:space="preserve"> Bevölkerungszahl als „transparentestes“ Maß der Surveillance- und anderen Mechanismen: hier Zahlen für USA, UK und Italien ca. 4x so hoch wie für Deutschland</w:t>
            </w:r>
          </w:p>
          <w:p>
            <w:pPr>
              <w:pStyle w:val="Listenabsatz"/>
              <w:ind w:left="900"/>
              <w:rPr>
                <w:sz w:val="22"/>
                <w:szCs w:val="22"/>
              </w:rPr>
            </w:pPr>
          </w:p>
          <w:p>
            <w:pPr>
              <w:rPr>
                <w:i/>
                <w:sz w:val="22"/>
                <w:szCs w:val="22"/>
              </w:rPr>
            </w:pPr>
            <w:proofErr w:type="spellStart"/>
            <w:r>
              <w:rPr>
                <w:i/>
                <w:sz w:val="22"/>
                <w:szCs w:val="22"/>
              </w:rPr>
              <w:t>To</w:t>
            </w:r>
            <w:proofErr w:type="spellEnd"/>
            <w:r>
              <w:rPr>
                <w:i/>
                <w:sz w:val="22"/>
                <w:szCs w:val="22"/>
              </w:rPr>
              <w:t xml:space="preserve"> Do1: Bitte an Frau Singer, den Neuen technischen Report PHE zu zirkulieren.</w:t>
            </w:r>
          </w:p>
          <w:p>
            <w:pPr>
              <w:rPr>
                <w:i/>
                <w:sz w:val="22"/>
                <w:szCs w:val="22"/>
              </w:rPr>
            </w:pPr>
            <w:proofErr w:type="spellStart"/>
            <w:r>
              <w:rPr>
                <w:i/>
                <w:sz w:val="22"/>
                <w:szCs w:val="22"/>
              </w:rPr>
              <w:t>To</w:t>
            </w:r>
            <w:proofErr w:type="spellEnd"/>
            <w:r>
              <w:rPr>
                <w:i/>
                <w:sz w:val="22"/>
                <w:szCs w:val="22"/>
              </w:rPr>
              <w:t xml:space="preserve"> Do2: Bitte um Korrektur der CFR Folie 1.</w:t>
            </w:r>
          </w:p>
          <w:p>
            <w:pPr>
              <w:rPr>
                <w:sz w:val="22"/>
                <w:szCs w:val="22"/>
              </w:rPr>
            </w:pPr>
          </w:p>
          <w:p>
            <w:pPr>
              <w:spacing w:before="120"/>
              <w:rPr>
                <w:b/>
                <w:sz w:val="22"/>
                <w:szCs w:val="22"/>
                <w:lang w:val="en-US"/>
              </w:rPr>
            </w:pPr>
            <w:r>
              <w:rPr>
                <w:b/>
                <w:sz w:val="22"/>
                <w:szCs w:val="22"/>
                <w:lang w:val="en-US"/>
              </w:rPr>
              <w:t xml:space="preserve">National </w:t>
            </w:r>
          </w:p>
          <w:p>
            <w:pPr>
              <w:pStyle w:val="Listenabsatz"/>
              <w:numPr>
                <w:ilvl w:val="0"/>
                <w:numId w:val="5"/>
              </w:numPr>
              <w:ind w:left="453" w:hanging="340"/>
              <w:rPr>
                <w:sz w:val="22"/>
                <w:szCs w:val="22"/>
              </w:rPr>
            </w:pPr>
            <w:r>
              <w:rPr>
                <w:b/>
                <w:sz w:val="22"/>
                <w:szCs w:val="22"/>
              </w:rPr>
              <w:t>Fallzahlen, Todesfälle, Trend</w:t>
            </w:r>
            <w:r>
              <w:rPr>
                <w:sz w:val="22"/>
                <w:szCs w:val="22"/>
              </w:rPr>
              <w:t xml:space="preserve"> (Folien </w:t>
            </w:r>
            <w:hyperlink r:id="rId11" w:history="1">
              <w:r>
                <w:rPr>
                  <w:rStyle w:val="Hyperlink"/>
                  <w:sz w:val="22"/>
                  <w:szCs w:val="22"/>
                </w:rPr>
                <w:t>hier</w:t>
              </w:r>
            </w:hyperlink>
            <w:r>
              <w:rPr>
                <w:sz w:val="22"/>
                <w:szCs w:val="22"/>
              </w:rPr>
              <w:t xml:space="preserve">) </w:t>
            </w:r>
          </w:p>
          <w:p>
            <w:pPr>
              <w:pStyle w:val="Listenabsatz"/>
              <w:numPr>
                <w:ilvl w:val="1"/>
                <w:numId w:val="7"/>
              </w:numPr>
              <w:ind w:left="907" w:hanging="340"/>
              <w:rPr>
                <w:sz w:val="22"/>
                <w:szCs w:val="22"/>
              </w:rPr>
            </w:pPr>
            <w:proofErr w:type="spellStart"/>
            <w:r>
              <w:rPr>
                <w:sz w:val="22"/>
                <w:szCs w:val="22"/>
              </w:rPr>
              <w:t>SurvNet</w:t>
            </w:r>
            <w:proofErr w:type="spellEnd"/>
            <w:r>
              <w:rPr>
                <w:sz w:val="22"/>
                <w:szCs w:val="22"/>
              </w:rPr>
              <w:t xml:space="preserve"> übermittelt: 1.687.185 (+22.459), davon 32.107 (1.9 %) Todesfälle (+1.129), 7-Tage-Inzidenz 141/100.000 </w:t>
            </w:r>
            <w:proofErr w:type="spellStart"/>
            <w:r>
              <w:rPr>
                <w:sz w:val="22"/>
                <w:szCs w:val="22"/>
              </w:rPr>
              <w:t>Einw</w:t>
            </w:r>
            <w:proofErr w:type="spellEnd"/>
            <w:r>
              <w:rPr>
                <w:sz w:val="22"/>
                <w:szCs w:val="22"/>
              </w:rPr>
              <w:t xml:space="preserve">. </w:t>
            </w:r>
            <w:r>
              <w:sym w:font="Wingdings" w:char="F0E0"/>
            </w:r>
            <w:r>
              <w:rPr>
                <w:sz w:val="22"/>
                <w:szCs w:val="22"/>
              </w:rPr>
              <w:t xml:space="preserve"> gestern erhebliche Anzahl neuer Meldungen, bei Interpretation der Daten sind die verringerte Anzahl an Arztbesuchen, Meldungen und Übermittlungen bzw. Verschiebungen bei Tests etc. aufgrund der Feiertage zu berücksichtigen;</w:t>
            </w:r>
          </w:p>
          <w:p>
            <w:pPr>
              <w:pStyle w:val="Listenabsatz"/>
              <w:numPr>
                <w:ilvl w:val="1"/>
                <w:numId w:val="7"/>
              </w:numPr>
              <w:ind w:left="907" w:hanging="340"/>
              <w:rPr>
                <w:sz w:val="22"/>
                <w:szCs w:val="22"/>
              </w:rPr>
            </w:pPr>
            <w:r>
              <w:rPr>
                <w:sz w:val="22"/>
                <w:szCs w:val="22"/>
              </w:rPr>
              <w:t>4-Tage-R=0.54, 7-Tage-R=0.68: Reproduktionszahlen deutlich unter 1, müssen mit Vorsicht interpretiert werden;</w:t>
            </w:r>
          </w:p>
          <w:p>
            <w:pPr>
              <w:pStyle w:val="Listenabsatz"/>
              <w:numPr>
                <w:ilvl w:val="1"/>
                <w:numId w:val="7"/>
              </w:numPr>
              <w:ind w:left="907" w:hanging="340"/>
              <w:rPr>
                <w:sz w:val="22"/>
                <w:szCs w:val="22"/>
              </w:rPr>
            </w:pPr>
            <w:r>
              <w:rPr>
                <w:sz w:val="22"/>
                <w:szCs w:val="22"/>
              </w:rPr>
              <w:t xml:space="preserve">ITS: 5.649 (+52), invasiv beatmet: 3.071 (+54): weiter angestiegen, Kapazitäten regional am Limit (nicht nur ITS-, sondern auch allgemeine Bettenbelegung), Lage spannt sich weiter an, wenngleich Fallzahlen scheinbar rückgängig; </w:t>
            </w:r>
          </w:p>
          <w:p>
            <w:pPr>
              <w:pStyle w:val="Listenabsatz"/>
              <w:numPr>
                <w:ilvl w:val="1"/>
                <w:numId w:val="5"/>
              </w:numPr>
              <w:ind w:left="924" w:hanging="357"/>
              <w:rPr>
                <w:sz w:val="22"/>
                <w:szCs w:val="22"/>
              </w:rPr>
            </w:pPr>
            <w:r>
              <w:rPr>
                <w:sz w:val="22"/>
                <w:szCs w:val="22"/>
              </w:rPr>
              <w:t>7-Tages-Inzidenz der Bundesländer nach Berichtsdatum:</w:t>
            </w:r>
          </w:p>
          <w:p>
            <w:pPr>
              <w:pStyle w:val="Listenabsatz"/>
              <w:numPr>
                <w:ilvl w:val="2"/>
                <w:numId w:val="5"/>
              </w:numPr>
              <w:ind w:left="1491" w:hanging="357"/>
              <w:rPr>
                <w:sz w:val="22"/>
                <w:szCs w:val="22"/>
              </w:rPr>
            </w:pPr>
            <w:r>
              <w:rPr>
                <w:sz w:val="22"/>
                <w:szCs w:val="22"/>
              </w:rPr>
              <w:t>Sachsen weiterhin höchste Inzidenz aber deutliche Abnahme, ebenso für Thüringen;</w:t>
            </w:r>
          </w:p>
          <w:p>
            <w:pPr>
              <w:pStyle w:val="Listenabsatz"/>
              <w:numPr>
                <w:ilvl w:val="2"/>
                <w:numId w:val="5"/>
              </w:numPr>
              <w:ind w:left="1491" w:hanging="357"/>
              <w:rPr>
                <w:sz w:val="22"/>
                <w:szCs w:val="22"/>
              </w:rPr>
            </w:pPr>
            <w:r>
              <w:rPr>
                <w:sz w:val="22"/>
                <w:szCs w:val="22"/>
              </w:rPr>
              <w:t>Bayern und BB etwas über Bundesdurchschnitt;</w:t>
            </w:r>
          </w:p>
          <w:p>
            <w:pPr>
              <w:pStyle w:val="Listenabsatz"/>
              <w:numPr>
                <w:ilvl w:val="2"/>
                <w:numId w:val="5"/>
              </w:numPr>
              <w:ind w:left="1491" w:hanging="357"/>
              <w:rPr>
                <w:sz w:val="22"/>
                <w:szCs w:val="22"/>
              </w:rPr>
            </w:pPr>
            <w:r>
              <w:rPr>
                <w:sz w:val="22"/>
                <w:szCs w:val="22"/>
              </w:rPr>
              <w:t xml:space="preserve">Unter den Ländern mit niedrigster Inzidenz </w:t>
            </w:r>
            <w:proofErr w:type="spellStart"/>
            <w:r>
              <w:rPr>
                <w:sz w:val="22"/>
                <w:szCs w:val="22"/>
              </w:rPr>
              <w:t>verzeich-nen</w:t>
            </w:r>
            <w:proofErr w:type="spellEnd"/>
            <w:r>
              <w:rPr>
                <w:sz w:val="22"/>
                <w:szCs w:val="22"/>
              </w:rPr>
              <w:t xml:space="preserve"> Bremen und Meckl.-</w:t>
            </w:r>
            <w:proofErr w:type="spellStart"/>
            <w:r>
              <w:rPr>
                <w:sz w:val="22"/>
                <w:szCs w:val="22"/>
              </w:rPr>
              <w:t>Vorpomm</w:t>
            </w:r>
            <w:proofErr w:type="spellEnd"/>
            <w:r>
              <w:rPr>
                <w:sz w:val="22"/>
                <w:szCs w:val="22"/>
              </w:rPr>
              <w:t>. wieder leichte Anstiege, vermutlich nachmeldungsbedingt;</w:t>
            </w:r>
          </w:p>
          <w:p>
            <w:pPr>
              <w:pStyle w:val="Listenabsatz"/>
              <w:numPr>
                <w:ilvl w:val="2"/>
                <w:numId w:val="5"/>
              </w:numPr>
              <w:ind w:left="1491" w:hanging="357"/>
              <w:rPr>
                <w:sz w:val="22"/>
                <w:szCs w:val="22"/>
              </w:rPr>
            </w:pPr>
            <w:r>
              <w:rPr>
                <w:sz w:val="22"/>
                <w:szCs w:val="22"/>
              </w:rPr>
              <w:t>Insgesamt keine reale Einschätzung des Rückgangs möglich;</w:t>
            </w:r>
          </w:p>
          <w:p>
            <w:pPr>
              <w:pStyle w:val="Listenabsatz"/>
              <w:numPr>
                <w:ilvl w:val="1"/>
                <w:numId w:val="5"/>
              </w:numPr>
              <w:ind w:left="924" w:hanging="357"/>
              <w:rPr>
                <w:sz w:val="22"/>
                <w:szCs w:val="22"/>
              </w:rPr>
            </w:pPr>
            <w:r>
              <w:rPr>
                <w:sz w:val="22"/>
                <w:szCs w:val="22"/>
              </w:rPr>
              <w:lastRenderedPageBreak/>
              <w:t xml:space="preserve">Geografische Verteilung in Deutschland: 7-Tage-Inzidenz (Fälle/100.000 </w:t>
            </w:r>
            <w:proofErr w:type="spellStart"/>
            <w:r>
              <w:rPr>
                <w:sz w:val="22"/>
                <w:szCs w:val="22"/>
              </w:rPr>
              <w:t>Einw</w:t>
            </w:r>
            <w:proofErr w:type="spellEnd"/>
            <w:r>
              <w:rPr>
                <w:sz w:val="22"/>
                <w:szCs w:val="22"/>
              </w:rPr>
              <w:t>.): Vogtlandkreis führend mit Inzidenz von ca. 690, trotz geringerer Meldeaktivität weiterhin</w:t>
            </w:r>
          </w:p>
          <w:p>
            <w:pPr>
              <w:pStyle w:val="Listenabsatz"/>
              <w:numPr>
                <w:ilvl w:val="2"/>
                <w:numId w:val="5"/>
              </w:numPr>
              <w:ind w:left="1491" w:hanging="357"/>
              <w:rPr>
                <w:sz w:val="22"/>
                <w:szCs w:val="22"/>
              </w:rPr>
            </w:pPr>
            <w:r>
              <w:rPr>
                <w:sz w:val="22"/>
                <w:szCs w:val="22"/>
              </w:rPr>
              <w:t>21 LK &gt; 25-50,</w:t>
            </w:r>
          </w:p>
          <w:p>
            <w:pPr>
              <w:pStyle w:val="Listenabsatz"/>
              <w:numPr>
                <w:ilvl w:val="2"/>
                <w:numId w:val="5"/>
              </w:numPr>
              <w:ind w:left="1491" w:hanging="357"/>
              <w:rPr>
                <w:sz w:val="22"/>
                <w:szCs w:val="22"/>
              </w:rPr>
            </w:pPr>
            <w:r>
              <w:rPr>
                <w:sz w:val="22"/>
                <w:szCs w:val="22"/>
              </w:rPr>
              <w:t>100 LK &gt; 50-100,</w:t>
            </w:r>
          </w:p>
          <w:p>
            <w:pPr>
              <w:pStyle w:val="Listenabsatz"/>
              <w:numPr>
                <w:ilvl w:val="2"/>
                <w:numId w:val="5"/>
              </w:numPr>
              <w:ind w:left="1491" w:hanging="357"/>
              <w:rPr>
                <w:sz w:val="22"/>
                <w:szCs w:val="22"/>
              </w:rPr>
            </w:pPr>
            <w:r>
              <w:rPr>
                <w:sz w:val="22"/>
                <w:szCs w:val="22"/>
              </w:rPr>
              <w:t>253 LK &gt; 100-250,</w:t>
            </w:r>
          </w:p>
          <w:p>
            <w:pPr>
              <w:pStyle w:val="Listenabsatz"/>
              <w:numPr>
                <w:ilvl w:val="2"/>
                <w:numId w:val="5"/>
              </w:numPr>
              <w:ind w:left="1491" w:hanging="357"/>
              <w:rPr>
                <w:sz w:val="22"/>
                <w:szCs w:val="22"/>
              </w:rPr>
            </w:pPr>
            <w:r>
              <w:rPr>
                <w:sz w:val="22"/>
                <w:szCs w:val="22"/>
              </w:rPr>
              <w:t>34 LK &gt; 250-500 und</w:t>
            </w:r>
          </w:p>
          <w:p>
            <w:pPr>
              <w:pStyle w:val="Listenabsatz"/>
              <w:numPr>
                <w:ilvl w:val="2"/>
                <w:numId w:val="5"/>
              </w:numPr>
              <w:ind w:left="1491" w:hanging="357"/>
              <w:rPr>
                <w:sz w:val="22"/>
                <w:szCs w:val="22"/>
              </w:rPr>
            </w:pPr>
            <w:r>
              <w:rPr>
                <w:sz w:val="22"/>
                <w:szCs w:val="22"/>
              </w:rPr>
              <w:t>3 LK &gt; 500-1000;</w:t>
            </w:r>
          </w:p>
          <w:p>
            <w:pPr>
              <w:pStyle w:val="Listenabsatz"/>
              <w:numPr>
                <w:ilvl w:val="1"/>
                <w:numId w:val="5"/>
              </w:numPr>
              <w:ind w:left="924" w:hanging="357"/>
              <w:rPr>
                <w:sz w:val="22"/>
                <w:szCs w:val="22"/>
              </w:rPr>
            </w:pPr>
            <w:r>
              <w:rPr>
                <w:bCs/>
                <w:sz w:val="22"/>
                <w:szCs w:val="22"/>
              </w:rPr>
              <w:t xml:space="preserve">7-Tage-Inzidenz der COVID-19-Fälle nach Altersgruppe (AG) und Meldewoche: durch Winterpause in Schule und Kindergarten Inzidenz in AG 5-14 J (dunkelblau) bereits seit ca. KW 50 rückläufig; AG 60-79 J (gelb) deutlich niedriger als 35-59 J (hellblau) und 15-34 J (grün); AG 80+ mit </w:t>
            </w:r>
            <w:proofErr w:type="spellStart"/>
            <w:r>
              <w:rPr>
                <w:bCs/>
                <w:sz w:val="22"/>
                <w:szCs w:val="22"/>
              </w:rPr>
              <w:t>höchs-ter</w:t>
            </w:r>
            <w:proofErr w:type="spellEnd"/>
            <w:r>
              <w:rPr>
                <w:bCs/>
                <w:sz w:val="22"/>
                <w:szCs w:val="22"/>
              </w:rPr>
              <w:t xml:space="preserve"> Inzidenz von &gt; 350 Fälle/100.000 </w:t>
            </w:r>
            <w:proofErr w:type="spellStart"/>
            <w:r>
              <w:rPr>
                <w:bCs/>
                <w:sz w:val="22"/>
                <w:szCs w:val="22"/>
              </w:rPr>
              <w:t>Einw</w:t>
            </w:r>
            <w:proofErr w:type="spellEnd"/>
            <w:r>
              <w:rPr>
                <w:bCs/>
                <w:sz w:val="22"/>
                <w:szCs w:val="22"/>
              </w:rPr>
              <w:t xml:space="preserve">. </w:t>
            </w:r>
            <w:r>
              <w:rPr>
                <w:bCs/>
                <w:sz w:val="22"/>
                <w:szCs w:val="22"/>
              </w:rPr>
              <w:sym w:font="Wingdings" w:char="F0E0"/>
            </w:r>
            <w:r>
              <w:rPr>
                <w:bCs/>
                <w:sz w:val="22"/>
                <w:szCs w:val="22"/>
              </w:rPr>
              <w:t xml:space="preserve"> in dieser AG relativ geringster Rückgang im Vergleich zu anderen AG;</w:t>
            </w:r>
          </w:p>
          <w:p>
            <w:pPr>
              <w:pStyle w:val="Listenabsatz"/>
              <w:numPr>
                <w:ilvl w:val="1"/>
                <w:numId w:val="5"/>
              </w:numPr>
              <w:ind w:left="924" w:hanging="357"/>
              <w:rPr>
                <w:sz w:val="22"/>
                <w:szCs w:val="22"/>
              </w:rPr>
            </w:pPr>
            <w:r>
              <w:rPr>
                <w:bCs/>
                <w:sz w:val="22"/>
                <w:szCs w:val="22"/>
              </w:rPr>
              <w:t xml:space="preserve">Darstellung der gemeldeten COVID-19 Fälle nach </w:t>
            </w:r>
            <w:proofErr w:type="spellStart"/>
            <w:r>
              <w:rPr>
                <w:bCs/>
                <w:sz w:val="22"/>
                <w:szCs w:val="22"/>
              </w:rPr>
              <w:t>Infek-tionsumfeld</w:t>
            </w:r>
            <w:proofErr w:type="spellEnd"/>
            <w:r>
              <w:rPr>
                <w:bCs/>
                <w:sz w:val="22"/>
                <w:szCs w:val="22"/>
              </w:rPr>
              <w:t xml:space="preserve"> (Fälle aus Ausbrüchen mit ≥ 2Fällen): Umfelder Alten- und Pflegeheim und private HH dominieren;</w:t>
            </w:r>
          </w:p>
          <w:p>
            <w:pPr>
              <w:pStyle w:val="Listenabsatz"/>
              <w:numPr>
                <w:ilvl w:val="1"/>
                <w:numId w:val="5"/>
              </w:numPr>
              <w:ind w:left="924" w:hanging="357"/>
              <w:rPr>
                <w:sz w:val="22"/>
                <w:szCs w:val="22"/>
              </w:rPr>
            </w:pPr>
            <w:r>
              <w:rPr>
                <w:sz w:val="22"/>
                <w:szCs w:val="22"/>
              </w:rPr>
              <w:t xml:space="preserve">COVID-19-Fälle nach Zugehörigkeit zu einer Einrichtung und Meldewoche: spiegelt ebenfalls wieder, dass Fälle bei in Einrichtungen betreuten Personen den größten Anteil am Geschehen haben; </w:t>
            </w:r>
          </w:p>
          <w:p>
            <w:pPr>
              <w:pStyle w:val="Listenabsatz"/>
              <w:numPr>
                <w:ilvl w:val="1"/>
                <w:numId w:val="5"/>
              </w:numPr>
              <w:ind w:left="924" w:hanging="357"/>
              <w:rPr>
                <w:sz w:val="22"/>
                <w:szCs w:val="22"/>
              </w:rPr>
            </w:pPr>
            <w:r>
              <w:rPr>
                <w:sz w:val="22"/>
                <w:szCs w:val="22"/>
              </w:rPr>
              <w:t xml:space="preserve">Meldedaten Feiertage (Exceltabelle, nicht Bestandteil der Folien): </w:t>
            </w:r>
          </w:p>
          <w:p>
            <w:pPr>
              <w:pStyle w:val="Listenabsatz"/>
              <w:numPr>
                <w:ilvl w:val="1"/>
                <w:numId w:val="17"/>
              </w:numPr>
              <w:ind w:left="1474" w:hanging="283"/>
              <w:rPr>
                <w:sz w:val="22"/>
                <w:szCs w:val="22"/>
              </w:rPr>
            </w:pPr>
            <w:r>
              <w:rPr>
                <w:sz w:val="22"/>
                <w:szCs w:val="22"/>
              </w:rPr>
              <w:t>Zwischen 24.12. und 30.12. Anteil übermittelnder Gesundheitsämter deutlich von Durchschnitt der Vorwochen(n) gesunken (Abfall von ca. 95 auf ca. 85 %)</w:t>
            </w:r>
          </w:p>
          <w:p>
            <w:pPr>
              <w:pStyle w:val="Listenabsatz"/>
              <w:numPr>
                <w:ilvl w:val="1"/>
                <w:numId w:val="17"/>
              </w:numPr>
              <w:ind w:left="1474" w:hanging="283"/>
              <w:rPr>
                <w:sz w:val="22"/>
                <w:szCs w:val="22"/>
              </w:rPr>
            </w:pPr>
            <w:r>
              <w:rPr>
                <w:sz w:val="22"/>
                <w:szCs w:val="22"/>
              </w:rPr>
              <w:t>Gesundheitsamt Korbach letzte Meldung vom 20.12., Luckenwalde 21.12. (Stand 24.12.), Verspätung außerhalb des gesetzlichen Rahmens von zwei Tagen (Meldung bis jeweils nächsten Arbeitstag zzgl. 1 Tag zur Übermittlung via Landesstellen);</w:t>
            </w:r>
          </w:p>
          <w:p>
            <w:pPr>
              <w:pStyle w:val="Listenabsatz"/>
              <w:numPr>
                <w:ilvl w:val="1"/>
                <w:numId w:val="17"/>
              </w:numPr>
              <w:ind w:left="1474" w:hanging="283"/>
              <w:rPr>
                <w:sz w:val="22"/>
                <w:szCs w:val="22"/>
              </w:rPr>
            </w:pPr>
            <w:r>
              <w:rPr>
                <w:sz w:val="22"/>
                <w:szCs w:val="22"/>
              </w:rPr>
              <w:t xml:space="preserve">Auswirkungen siehe Dashboard am Bsp. LK Teltow-Fläming: einige Tage wenig, in letzten 2 Tagen vergleichsweise hohe Aktivität („Nivellierung des Gaps“) </w:t>
            </w:r>
            <w:r>
              <w:rPr>
                <w:sz w:val="22"/>
                <w:szCs w:val="22"/>
              </w:rPr>
              <w:sym w:font="Wingdings" w:char="F0E0"/>
            </w:r>
            <w:r>
              <w:rPr>
                <w:sz w:val="22"/>
                <w:szCs w:val="22"/>
              </w:rPr>
              <w:t xml:space="preserve"> Rückgang der Fallzahlen somit höchstwahrscheinlich real nicht so ausgeprägt, somit jedoch erschwerte Fallzahlinterpretation und Einschätzung der Beeinflussung der realen Inzidenz, auch in Vorbereitung auf Sprachregelung zum 04.01.2021  </w:t>
            </w:r>
          </w:p>
          <w:p>
            <w:pPr>
              <w:pStyle w:val="Listenabsatz"/>
              <w:ind w:left="924"/>
              <w:rPr>
                <w:sz w:val="22"/>
                <w:szCs w:val="22"/>
              </w:rPr>
            </w:pPr>
          </w:p>
          <w:p>
            <w:pPr>
              <w:pStyle w:val="Listenabsatz"/>
              <w:numPr>
                <w:ilvl w:val="0"/>
                <w:numId w:val="5"/>
              </w:numPr>
              <w:ind w:left="453" w:hanging="340"/>
              <w:rPr>
                <w:sz w:val="22"/>
                <w:szCs w:val="22"/>
              </w:rPr>
            </w:pPr>
            <w:r>
              <w:rPr>
                <w:b/>
                <w:sz w:val="22"/>
                <w:szCs w:val="22"/>
              </w:rPr>
              <w:t xml:space="preserve">Syndromische Surveillance </w:t>
            </w:r>
            <w:r>
              <w:rPr>
                <w:sz w:val="22"/>
                <w:szCs w:val="22"/>
              </w:rPr>
              <w:t xml:space="preserve">(Folien </w:t>
            </w:r>
            <w:hyperlink r:id="rId12" w:history="1">
              <w:r>
                <w:rPr>
                  <w:rStyle w:val="Hyperlink"/>
                  <w:sz w:val="22"/>
                  <w:szCs w:val="22"/>
                </w:rPr>
                <w:t>hier</w:t>
              </w:r>
            </w:hyperlink>
            <w:r>
              <w:rPr>
                <w:sz w:val="22"/>
                <w:szCs w:val="22"/>
              </w:rPr>
              <w:t xml:space="preserve">) </w:t>
            </w:r>
          </w:p>
          <w:p>
            <w:pPr>
              <w:pStyle w:val="Listenabsatz"/>
              <w:numPr>
                <w:ilvl w:val="1"/>
                <w:numId w:val="5"/>
              </w:numPr>
              <w:ind w:left="924" w:hanging="357"/>
              <w:rPr>
                <w:sz w:val="22"/>
                <w:szCs w:val="22"/>
              </w:rPr>
            </w:pPr>
            <w:proofErr w:type="spellStart"/>
            <w:r>
              <w:rPr>
                <w:bCs/>
                <w:sz w:val="22"/>
                <w:szCs w:val="22"/>
              </w:rPr>
              <w:t>GrippeWeb</w:t>
            </w:r>
            <w:proofErr w:type="spellEnd"/>
            <w:r>
              <w:rPr>
                <w:bCs/>
                <w:sz w:val="22"/>
                <w:szCs w:val="22"/>
              </w:rPr>
              <w:t xml:space="preserve"> bis zur KW 52:</w:t>
            </w:r>
            <w:r>
              <w:rPr>
                <w:b/>
                <w:bCs/>
                <w:sz w:val="22"/>
                <w:szCs w:val="22"/>
              </w:rPr>
              <w:t xml:space="preserve"> </w:t>
            </w:r>
            <w:r>
              <w:rPr>
                <w:sz w:val="22"/>
                <w:szCs w:val="22"/>
              </w:rPr>
              <w:t>ARE-Rate deutlich unter der der Vorjahre, derzeit zusätzlicher Abfall, vermutlich bedingt durch Kontaktbeschränkung vor Weihnachten;</w:t>
            </w:r>
          </w:p>
          <w:p>
            <w:pPr>
              <w:pStyle w:val="Listenabsatz"/>
              <w:numPr>
                <w:ilvl w:val="1"/>
                <w:numId w:val="5"/>
              </w:numPr>
              <w:ind w:left="924" w:hanging="357"/>
              <w:rPr>
                <w:sz w:val="22"/>
                <w:szCs w:val="22"/>
              </w:rPr>
            </w:pPr>
            <w:r>
              <w:rPr>
                <w:sz w:val="22"/>
                <w:szCs w:val="22"/>
              </w:rPr>
              <w:t>ARE-Konsultationen bis zur 52. KW: feiertagsbedingter Einbruch der Konsultationsinzidenz wie in den Vorjahren;</w:t>
            </w:r>
          </w:p>
          <w:p>
            <w:pPr>
              <w:pStyle w:val="Listenabsatz"/>
              <w:numPr>
                <w:ilvl w:val="1"/>
                <w:numId w:val="5"/>
              </w:numPr>
              <w:ind w:left="924" w:hanging="357"/>
              <w:rPr>
                <w:sz w:val="22"/>
                <w:szCs w:val="22"/>
              </w:rPr>
            </w:pPr>
            <w:r>
              <w:rPr>
                <w:sz w:val="22"/>
                <w:szCs w:val="22"/>
              </w:rPr>
              <w:t xml:space="preserve">ICOSARI-KH-Surveillance – SARI-Fälle bis zur 51. KW: Anzahl SARI-Fälle in AG der &lt; 15-Jährige (v.a. der &lt; 4-Jährigen deutlich) unter der der Vorjahre; in AG 15-59-Jährigen vergleichbar mit denen der Vorjahre und derzeit </w:t>
            </w:r>
            <w:r>
              <w:rPr>
                <w:sz w:val="22"/>
                <w:szCs w:val="22"/>
              </w:rPr>
              <w:lastRenderedPageBreak/>
              <w:t xml:space="preserve">relativ stabil; in AG der &gt; 60-Jährigen jedoch aktuell weiterhin deutlicher Anstieg;  </w:t>
            </w:r>
          </w:p>
          <w:p>
            <w:pPr>
              <w:pStyle w:val="Listenabsatz"/>
              <w:numPr>
                <w:ilvl w:val="1"/>
                <w:numId w:val="5"/>
              </w:numPr>
              <w:ind w:left="924" w:hanging="357"/>
              <w:rPr>
                <w:sz w:val="22"/>
                <w:szCs w:val="22"/>
              </w:rPr>
            </w:pPr>
            <w:r>
              <w:rPr>
                <w:sz w:val="22"/>
                <w:szCs w:val="22"/>
              </w:rPr>
              <w:t xml:space="preserve">Ausschnitt für AG ab 80 Jahre: in 50. KW deutlicher Sprung in der Anzahl der SARI-Fälle, möglicherweise zusammen-hängend mit Teststrategie (AG-Schnelltests); in 51. KW leichter Rückgang, auch hier ist die Ursächlichkeit nur schwer interpretierbar; </w:t>
            </w:r>
          </w:p>
          <w:p>
            <w:pPr>
              <w:pStyle w:val="Listenabsatz"/>
              <w:numPr>
                <w:ilvl w:val="1"/>
                <w:numId w:val="5"/>
              </w:numPr>
              <w:ind w:left="924" w:hanging="357"/>
              <w:rPr>
                <w:sz w:val="22"/>
                <w:szCs w:val="22"/>
              </w:rPr>
            </w:pPr>
            <w:r>
              <w:rPr>
                <w:sz w:val="22"/>
                <w:szCs w:val="22"/>
              </w:rPr>
              <w:t xml:space="preserve">Anteil SARI-Fälle mit COVID-Diagnose bis 51. KW: „Lock-down light“ KW 45, seit KW 46 relativ stabil bei ca. 60 %, in KW 50 Sprung auf 68 %, in KW 51 (Lockdown) stabil bei 66 %; </w:t>
            </w:r>
          </w:p>
          <w:p>
            <w:pPr>
              <w:pStyle w:val="Listenabsatz"/>
              <w:numPr>
                <w:ilvl w:val="1"/>
                <w:numId w:val="5"/>
              </w:numPr>
              <w:ind w:left="924" w:hanging="357"/>
              <w:rPr>
                <w:sz w:val="22"/>
                <w:szCs w:val="22"/>
              </w:rPr>
            </w:pPr>
            <w:r>
              <w:rPr>
                <w:sz w:val="22"/>
                <w:szCs w:val="22"/>
              </w:rPr>
              <w:t xml:space="preserve">Anteil SARI-Fälle mit COVID-Diagnose bis 51. KW nach AG: </w:t>
            </w:r>
          </w:p>
          <w:p>
            <w:pPr>
              <w:pStyle w:val="Listenabsatz"/>
              <w:ind w:left="924"/>
              <w:rPr>
                <w:sz w:val="22"/>
                <w:szCs w:val="22"/>
              </w:rPr>
            </w:pPr>
            <w:r>
              <w:rPr>
                <w:sz w:val="22"/>
                <w:szCs w:val="22"/>
              </w:rPr>
              <w:t>AG 15-34 Jahre und 35-59 Jahre seit KW 45 relativ stabil, AG 60+ noch nicht deutlich stabilisiert; tendenziell eher weiterer Anstieg; Sprung in KW 50 in den AG ab 35 Jahre (eventuell durch verstärkten Einsatz von Schnelltests);</w:t>
            </w:r>
          </w:p>
          <w:p>
            <w:pPr>
              <w:pStyle w:val="Listenabsatz"/>
              <w:numPr>
                <w:ilvl w:val="1"/>
                <w:numId w:val="5"/>
              </w:numPr>
              <w:ind w:left="924" w:hanging="357"/>
              <w:rPr>
                <w:sz w:val="22"/>
                <w:szCs w:val="22"/>
              </w:rPr>
            </w:pPr>
            <w:r>
              <w:rPr>
                <w:sz w:val="22"/>
                <w:szCs w:val="22"/>
              </w:rPr>
              <w:t xml:space="preserve">COVID-SARI-Fälle bis KW 51 – Absolute Anzahl der COVID-19-Fälle mit SARI, alle Fälle, inkl. Liegende (vorläufige Diagnosen, noch nicht vollständig): </w:t>
            </w:r>
            <w:r>
              <w:rPr>
                <w:bCs/>
                <w:sz w:val="22"/>
                <w:szCs w:val="22"/>
              </w:rPr>
              <w:t>weiterer Anstieg in AG 60-79, leichter Rückgang in AG 80+ (Daten von noch liegenden Fällen, eher unvollständiger); AG 15-34 und 35-59 Jahre relativ stabil seit KW 45 (ggf. Einfluss des Lockdowns ersichtlich); i</w:t>
            </w:r>
            <w:r>
              <w:rPr>
                <w:sz w:val="22"/>
                <w:szCs w:val="22"/>
              </w:rPr>
              <w:t>nsgesamt ist das Bild aber ähnlich wie bei den eingeschränkten Daten, allerdings haben in dieser Darstellung (alle Fälle) die Fälle aus der Altersgruppe 35-59 Jahre weniger Gewicht, in hohen AG weiterhin recht viel Bewegung;</w:t>
            </w:r>
          </w:p>
          <w:p>
            <w:pPr>
              <w:pStyle w:val="Listenabsatz"/>
              <w:numPr>
                <w:ilvl w:val="1"/>
                <w:numId w:val="5"/>
              </w:numPr>
              <w:ind w:left="924" w:hanging="357"/>
              <w:rPr>
                <w:sz w:val="22"/>
                <w:szCs w:val="22"/>
              </w:rPr>
            </w:pPr>
            <w:r>
              <w:rPr>
                <w:sz w:val="22"/>
                <w:szCs w:val="22"/>
              </w:rPr>
              <w:t>Diskussion:</w:t>
            </w:r>
          </w:p>
          <w:p>
            <w:pPr>
              <w:pStyle w:val="Listenabsatz"/>
              <w:numPr>
                <w:ilvl w:val="1"/>
                <w:numId w:val="18"/>
              </w:numPr>
              <w:ind w:left="1474" w:hanging="283"/>
              <w:rPr>
                <w:sz w:val="22"/>
                <w:szCs w:val="22"/>
              </w:rPr>
            </w:pPr>
            <w:r>
              <w:rPr>
                <w:sz w:val="22"/>
                <w:szCs w:val="22"/>
              </w:rPr>
              <w:t>Vorsicht bei einer Interpretation bezgl. Maßnahmen;</w:t>
            </w:r>
          </w:p>
          <w:p>
            <w:pPr>
              <w:pStyle w:val="Listenabsatz"/>
              <w:numPr>
                <w:ilvl w:val="1"/>
                <w:numId w:val="18"/>
              </w:numPr>
              <w:ind w:left="1474" w:hanging="283"/>
              <w:rPr>
                <w:sz w:val="22"/>
                <w:szCs w:val="22"/>
              </w:rPr>
            </w:pPr>
            <w:r>
              <w:rPr>
                <w:sz w:val="22"/>
                <w:szCs w:val="22"/>
              </w:rPr>
              <w:t xml:space="preserve">Bitte an alle um Bewertung und Einschätzung ihrer Daten hinsichtlich der Notwendigkeit einer Sprach-fähigkeit ab dem 04.01. </w:t>
            </w:r>
          </w:p>
          <w:p>
            <w:pPr>
              <w:pStyle w:val="Listenabsatz"/>
              <w:ind w:left="924"/>
              <w:rPr>
                <w:sz w:val="22"/>
                <w:szCs w:val="22"/>
              </w:rPr>
            </w:pPr>
          </w:p>
          <w:p>
            <w:pPr>
              <w:pStyle w:val="Listenabsatz"/>
              <w:numPr>
                <w:ilvl w:val="0"/>
                <w:numId w:val="5"/>
              </w:numPr>
              <w:ind w:left="453" w:hanging="340"/>
              <w:rPr>
                <w:sz w:val="22"/>
                <w:szCs w:val="22"/>
              </w:rPr>
            </w:pPr>
            <w:r>
              <w:rPr>
                <w:b/>
                <w:sz w:val="22"/>
                <w:szCs w:val="22"/>
              </w:rPr>
              <w:t xml:space="preserve">Testkapazität und Testungen </w:t>
            </w:r>
          </w:p>
          <w:p>
            <w:pPr>
              <w:pStyle w:val="Listenabsatz"/>
              <w:ind w:left="453"/>
              <w:rPr>
                <w:sz w:val="22"/>
                <w:szCs w:val="22"/>
              </w:rPr>
            </w:pPr>
          </w:p>
          <w:p>
            <w:pPr>
              <w:ind w:left="453"/>
              <w:rPr>
                <w:sz w:val="22"/>
                <w:szCs w:val="22"/>
              </w:rPr>
            </w:pPr>
            <w:r>
              <w:rPr>
                <w:b/>
                <w:sz w:val="22"/>
                <w:szCs w:val="22"/>
              </w:rPr>
              <w:t xml:space="preserve">Testzahlerfassung am RKI </w:t>
            </w:r>
            <w:r>
              <w:rPr>
                <w:sz w:val="22"/>
                <w:szCs w:val="22"/>
              </w:rPr>
              <w:t xml:space="preserve">(Folien </w:t>
            </w:r>
            <w:hyperlink r:id="rId13"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Testzahlen und Positivquote: KW 51 ca. 1.5 Mio. Tests, KW 52 ca. 1 Mio. Tests: starker Rückgang;</w:t>
            </w:r>
          </w:p>
          <w:p>
            <w:pPr>
              <w:pStyle w:val="Listenabsatz"/>
              <w:numPr>
                <w:ilvl w:val="1"/>
                <w:numId w:val="5"/>
              </w:numPr>
              <w:ind w:left="924" w:hanging="357"/>
              <w:rPr>
                <w:sz w:val="22"/>
                <w:szCs w:val="22"/>
              </w:rPr>
            </w:pPr>
            <w:proofErr w:type="spellStart"/>
            <w:r>
              <w:rPr>
                <w:sz w:val="22"/>
                <w:szCs w:val="22"/>
              </w:rPr>
              <w:t>Positivenanteil</w:t>
            </w:r>
            <w:proofErr w:type="spellEnd"/>
            <w:r>
              <w:rPr>
                <w:sz w:val="22"/>
                <w:szCs w:val="22"/>
              </w:rPr>
              <w:t xml:space="preserve"> knapp 13 %, somit um 1.5 % höher als Vorwoche; </w:t>
            </w:r>
          </w:p>
          <w:p>
            <w:pPr>
              <w:pStyle w:val="Listenabsatz"/>
              <w:numPr>
                <w:ilvl w:val="1"/>
                <w:numId w:val="5"/>
              </w:numPr>
              <w:ind w:left="924" w:hanging="357"/>
              <w:rPr>
                <w:sz w:val="22"/>
                <w:szCs w:val="22"/>
              </w:rPr>
            </w:pPr>
            <w:r>
              <w:rPr>
                <w:sz w:val="22"/>
                <w:szCs w:val="22"/>
              </w:rPr>
              <w:t xml:space="preserve">Auslastung der Kapazitäten: deutlich niedriger als in Vorwoche, vermutlich da viele Praxen geschlossen und Arztbesuch nur bei ernsthafter Erkrankung </w:t>
            </w:r>
            <w:r>
              <w:rPr>
                <w:sz w:val="22"/>
                <w:szCs w:val="22"/>
              </w:rPr>
              <w:sym w:font="Wingdings" w:char="F0E0"/>
            </w:r>
            <w:r>
              <w:rPr>
                <w:sz w:val="22"/>
                <w:szCs w:val="22"/>
              </w:rPr>
              <w:t xml:space="preserve"> Testung vermutlich vermehrt schwererer Fälle, somit vermutlich ursächlich der höheren </w:t>
            </w:r>
            <w:proofErr w:type="spellStart"/>
            <w:r>
              <w:rPr>
                <w:sz w:val="22"/>
                <w:szCs w:val="22"/>
              </w:rPr>
              <w:t>Positivenanteile</w:t>
            </w:r>
            <w:proofErr w:type="spellEnd"/>
            <w:r>
              <w:rPr>
                <w:sz w:val="22"/>
                <w:szCs w:val="22"/>
              </w:rPr>
              <w:t>;</w:t>
            </w:r>
          </w:p>
          <w:p>
            <w:pPr>
              <w:pStyle w:val="Listenabsatz"/>
              <w:numPr>
                <w:ilvl w:val="1"/>
                <w:numId w:val="5"/>
              </w:numPr>
              <w:ind w:left="924" w:hanging="357"/>
              <w:rPr>
                <w:sz w:val="22"/>
                <w:szCs w:val="22"/>
              </w:rPr>
            </w:pPr>
            <w:r>
              <w:rPr>
                <w:sz w:val="22"/>
                <w:szCs w:val="22"/>
              </w:rPr>
              <w:t>Probenrückstau geringer als in Vorwoche, jedoch insgesamt weiterhin recht niedrig;</w:t>
            </w:r>
          </w:p>
          <w:p>
            <w:pPr>
              <w:pStyle w:val="Listenabsatz"/>
              <w:numPr>
                <w:ilvl w:val="1"/>
                <w:numId w:val="5"/>
              </w:numPr>
              <w:ind w:left="924" w:hanging="357"/>
              <w:rPr>
                <w:sz w:val="22"/>
                <w:szCs w:val="22"/>
              </w:rPr>
            </w:pPr>
            <w:r>
              <w:rPr>
                <w:sz w:val="22"/>
                <w:szCs w:val="22"/>
              </w:rPr>
              <w:t xml:space="preserve">Formulierung im Lagebericht wurde angepasst mit der Bitte um </w:t>
            </w:r>
            <w:proofErr w:type="spellStart"/>
            <w:r>
              <w:rPr>
                <w:sz w:val="22"/>
                <w:szCs w:val="22"/>
              </w:rPr>
              <w:t>Konsentierung</w:t>
            </w:r>
            <w:proofErr w:type="spellEnd"/>
            <w:r>
              <w:rPr>
                <w:sz w:val="22"/>
                <w:szCs w:val="22"/>
              </w:rPr>
              <w:t xml:space="preserve">; gute Formulierung in den Disclaimern, die verwendet werden soll: „In KW52 wurden im Vergleich zu den Vorwochen deutlich weniger PCR-Tests erfasst. Es ist zu vermuten, dass dies mit Schließungen vieler Arzt-praxen in den Feiertagswochen zu begründen ist. Daher ist </w:t>
            </w:r>
            <w:r>
              <w:rPr>
                <w:sz w:val="22"/>
                <w:szCs w:val="22"/>
              </w:rPr>
              <w:lastRenderedPageBreak/>
              <w:t xml:space="preserve">auch anzunehmen, dass weniger erkrankte Personen mit leichter </w:t>
            </w:r>
            <w:proofErr w:type="gramStart"/>
            <w:r>
              <w:rPr>
                <w:sz w:val="22"/>
                <w:szCs w:val="22"/>
              </w:rPr>
              <w:t>bis mittelschwerer Symptomatik</w:t>
            </w:r>
            <w:proofErr w:type="gramEnd"/>
            <w:r>
              <w:rPr>
                <w:sz w:val="22"/>
                <w:szCs w:val="22"/>
              </w:rPr>
              <w:t xml:space="preserve"> während der Feiertage einen Arzt aufgesucht haben als in den Vor-wochen. Dies könnte sich entsprechend auf die Meldedaten auswirken.“</w:t>
            </w:r>
          </w:p>
          <w:p>
            <w:pPr>
              <w:pStyle w:val="Listenabsatz"/>
              <w:numPr>
                <w:ilvl w:val="1"/>
                <w:numId w:val="5"/>
              </w:numPr>
              <w:ind w:left="924" w:hanging="357"/>
              <w:rPr>
                <w:sz w:val="22"/>
                <w:szCs w:val="22"/>
              </w:rPr>
            </w:pPr>
            <w:r>
              <w:rPr>
                <w:sz w:val="22"/>
                <w:szCs w:val="22"/>
              </w:rPr>
              <w:t>Diskussion:</w:t>
            </w:r>
          </w:p>
          <w:p>
            <w:pPr>
              <w:pStyle w:val="Listenabsatz"/>
              <w:numPr>
                <w:ilvl w:val="1"/>
                <w:numId w:val="5"/>
              </w:numPr>
              <w:ind w:left="924" w:hanging="357"/>
              <w:rPr>
                <w:sz w:val="22"/>
                <w:szCs w:val="22"/>
              </w:rPr>
            </w:pPr>
            <w:r>
              <w:rPr>
                <w:sz w:val="22"/>
                <w:szCs w:val="22"/>
              </w:rPr>
              <w:t>Verzerrungsfaktoren und Interpretationserschwernis aufgrund der Feiertage u.a. durch:</w:t>
            </w:r>
          </w:p>
          <w:p>
            <w:pPr>
              <w:pStyle w:val="Listenabsatz"/>
              <w:numPr>
                <w:ilvl w:val="1"/>
                <w:numId w:val="15"/>
              </w:numPr>
              <w:ind w:left="1474" w:hanging="283"/>
              <w:rPr>
                <w:sz w:val="22"/>
                <w:szCs w:val="22"/>
              </w:rPr>
            </w:pPr>
            <w:r>
              <w:rPr>
                <w:sz w:val="22"/>
                <w:szCs w:val="22"/>
              </w:rPr>
              <w:t xml:space="preserve">Zusätzliche Tests in Vorbereitung auf Weihnachtstage, </w:t>
            </w:r>
          </w:p>
          <w:p>
            <w:pPr>
              <w:pStyle w:val="Listenabsatz"/>
              <w:numPr>
                <w:ilvl w:val="1"/>
                <w:numId w:val="15"/>
              </w:numPr>
              <w:ind w:left="1474" w:hanging="283"/>
              <w:rPr>
                <w:sz w:val="22"/>
                <w:szCs w:val="22"/>
              </w:rPr>
            </w:pPr>
            <w:r>
              <w:rPr>
                <w:sz w:val="22"/>
                <w:szCs w:val="22"/>
              </w:rPr>
              <w:t xml:space="preserve">Viele Tests in Pflegeeinrichtungen, </w:t>
            </w:r>
          </w:p>
          <w:p>
            <w:pPr>
              <w:pStyle w:val="Listenabsatz"/>
              <w:numPr>
                <w:ilvl w:val="1"/>
                <w:numId w:val="15"/>
              </w:numPr>
              <w:ind w:left="1474" w:hanging="283"/>
              <w:rPr>
                <w:sz w:val="22"/>
                <w:szCs w:val="22"/>
              </w:rPr>
            </w:pPr>
            <w:r>
              <w:rPr>
                <w:sz w:val="22"/>
                <w:szCs w:val="22"/>
              </w:rPr>
              <w:t>Praxis-/Laborschließung,</w:t>
            </w:r>
          </w:p>
          <w:p>
            <w:pPr>
              <w:pStyle w:val="Listenabsatz"/>
              <w:numPr>
                <w:ilvl w:val="1"/>
                <w:numId w:val="15"/>
              </w:numPr>
              <w:ind w:left="1474" w:hanging="283"/>
              <w:rPr>
                <w:sz w:val="22"/>
                <w:szCs w:val="22"/>
              </w:rPr>
            </w:pPr>
            <w:r>
              <w:rPr>
                <w:sz w:val="22"/>
                <w:szCs w:val="22"/>
              </w:rPr>
              <w:t>Übermittlungsaussetzer,</w:t>
            </w:r>
          </w:p>
          <w:p>
            <w:pPr>
              <w:pStyle w:val="Listenabsatz"/>
              <w:numPr>
                <w:ilvl w:val="1"/>
                <w:numId w:val="15"/>
              </w:numPr>
              <w:ind w:left="1474" w:hanging="283"/>
              <w:rPr>
                <w:sz w:val="22"/>
                <w:szCs w:val="22"/>
              </w:rPr>
            </w:pPr>
            <w:r>
              <w:rPr>
                <w:sz w:val="22"/>
                <w:szCs w:val="22"/>
              </w:rPr>
              <w:t xml:space="preserve">Interpretation laufender Daten durch erneute Feiertage zusätzlich eingeschränkt; </w:t>
            </w:r>
          </w:p>
          <w:p>
            <w:pPr>
              <w:pStyle w:val="Listenabsatz"/>
              <w:numPr>
                <w:ilvl w:val="1"/>
                <w:numId w:val="5"/>
              </w:numPr>
              <w:ind w:left="924" w:hanging="357"/>
              <w:rPr>
                <w:sz w:val="22"/>
                <w:szCs w:val="22"/>
              </w:rPr>
            </w:pPr>
            <w:r>
              <w:rPr>
                <w:sz w:val="22"/>
                <w:szCs w:val="22"/>
              </w:rPr>
              <w:t>Dies sollte ebenfalls frühzeitig eingeordnet und kommuniziert werden;</w:t>
            </w:r>
          </w:p>
          <w:p>
            <w:pPr>
              <w:pStyle w:val="Listenabsatz"/>
              <w:numPr>
                <w:ilvl w:val="1"/>
                <w:numId w:val="5"/>
              </w:numPr>
              <w:ind w:left="924" w:hanging="357"/>
              <w:rPr>
                <w:sz w:val="22"/>
                <w:szCs w:val="22"/>
              </w:rPr>
            </w:pPr>
            <w:r>
              <w:rPr>
                <w:sz w:val="22"/>
                <w:szCs w:val="22"/>
              </w:rPr>
              <w:t>Anfang kommender Woche erschwerte Einschätzung zu Effekt des Lockdowns und der Feiertage, vermutlich eher zu Wochenmitte bzw. Folgewoche mit reelleren Zahlen;</w:t>
            </w:r>
          </w:p>
          <w:p>
            <w:pPr>
              <w:pStyle w:val="Listenabsatz"/>
              <w:numPr>
                <w:ilvl w:val="1"/>
                <w:numId w:val="5"/>
              </w:numPr>
              <w:ind w:left="924" w:hanging="357"/>
              <w:rPr>
                <w:sz w:val="22"/>
                <w:szCs w:val="22"/>
              </w:rPr>
            </w:pPr>
            <w:r>
              <w:rPr>
                <w:sz w:val="22"/>
                <w:szCs w:val="22"/>
              </w:rPr>
              <w:t>Ungeachtet dieser Erschwernis muss zum 04.01. eine Einschätzung der Meldedaten gegeben werden können, die durch Daten aus Hotspots, zu Todesfällen und ITS-Belegung untermauert werden können und eine Sprachregelung vorhanden sein für den Beschluss zum 05.01. für die weitere Vorgehensweise ab dem 10.01.</w:t>
            </w:r>
          </w:p>
          <w:p>
            <w:pPr>
              <w:pStyle w:val="Listenabsatz"/>
              <w:ind w:left="924"/>
              <w:rPr>
                <w:sz w:val="22"/>
                <w:szCs w:val="22"/>
              </w:rPr>
            </w:pPr>
          </w:p>
          <w:p>
            <w:pPr>
              <w:rPr>
                <w:sz w:val="22"/>
                <w:szCs w:val="22"/>
              </w:rPr>
            </w:pPr>
            <w:r>
              <w:rPr>
                <w:b/>
                <w:sz w:val="22"/>
                <w:szCs w:val="22"/>
              </w:rPr>
              <w:t xml:space="preserve">        Testungen und </w:t>
            </w:r>
            <w:proofErr w:type="spellStart"/>
            <w:r>
              <w:rPr>
                <w:b/>
                <w:sz w:val="22"/>
                <w:szCs w:val="22"/>
              </w:rPr>
              <w:t>Positivenanteile</w:t>
            </w:r>
            <w:proofErr w:type="spellEnd"/>
            <w:r>
              <w:rPr>
                <w:sz w:val="22"/>
                <w:szCs w:val="22"/>
              </w:rPr>
              <w:t xml:space="preserve"> (Folien </w:t>
            </w:r>
            <w:hyperlink r:id="rId14"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Testzahlrückgang: KW 51 ca. 600.000 Tests, derzeit ca.  460.000 Tests (Abnahme um ca. 1/3);</w:t>
            </w:r>
          </w:p>
          <w:p>
            <w:pPr>
              <w:pStyle w:val="Listenabsatz"/>
              <w:numPr>
                <w:ilvl w:val="1"/>
                <w:numId w:val="5"/>
              </w:numPr>
              <w:ind w:left="924" w:hanging="357"/>
              <w:rPr>
                <w:sz w:val="22"/>
                <w:szCs w:val="22"/>
              </w:rPr>
            </w:pPr>
            <w:r>
              <w:rPr>
                <w:sz w:val="22"/>
                <w:szCs w:val="22"/>
              </w:rPr>
              <w:t>Folie 1: leichte Zunahme des Anteils positiver Testungen im Vergleich zur Vorwoche;</w:t>
            </w:r>
          </w:p>
          <w:p>
            <w:pPr>
              <w:pStyle w:val="Listenabsatz"/>
              <w:numPr>
                <w:ilvl w:val="1"/>
                <w:numId w:val="5"/>
              </w:numPr>
              <w:ind w:left="924" w:hanging="357"/>
              <w:rPr>
                <w:sz w:val="22"/>
                <w:szCs w:val="22"/>
              </w:rPr>
            </w:pPr>
            <w:r>
              <w:rPr>
                <w:sz w:val="22"/>
                <w:szCs w:val="22"/>
              </w:rPr>
              <w:t xml:space="preserve">Folie 2: Stratifiziert nach Bundesland: weitere Anstiege in BB, Sachsen, Sachsen-Anhalt und vor allem in Thüringen (hier insgesamt jedoch weniger Tests, starker Anstieg muss kommende Woche überprüft werden, da Meldedaten aus Thüringen derzeit nicht einen so hohen </w:t>
            </w:r>
            <w:proofErr w:type="spellStart"/>
            <w:r>
              <w:rPr>
                <w:sz w:val="22"/>
                <w:szCs w:val="22"/>
              </w:rPr>
              <w:t>Positivenanteil</w:t>
            </w:r>
            <w:proofErr w:type="spellEnd"/>
            <w:r>
              <w:rPr>
                <w:sz w:val="22"/>
                <w:szCs w:val="22"/>
              </w:rPr>
              <w:t xml:space="preserve"> aus Thüringen widerspiegeln);</w:t>
            </w:r>
          </w:p>
          <w:p>
            <w:pPr>
              <w:pStyle w:val="Listenabsatz"/>
              <w:numPr>
                <w:ilvl w:val="1"/>
                <w:numId w:val="5"/>
              </w:numPr>
              <w:ind w:left="924" w:hanging="357"/>
              <w:rPr>
                <w:sz w:val="22"/>
                <w:szCs w:val="22"/>
              </w:rPr>
            </w:pPr>
            <w:r>
              <w:rPr>
                <w:sz w:val="22"/>
                <w:szCs w:val="22"/>
              </w:rPr>
              <w:t xml:space="preserve">Folie 3:  Anzahl der Testungen pro 100.000 </w:t>
            </w:r>
            <w:proofErr w:type="spellStart"/>
            <w:r>
              <w:rPr>
                <w:sz w:val="22"/>
                <w:szCs w:val="22"/>
              </w:rPr>
              <w:t>Einw</w:t>
            </w:r>
            <w:proofErr w:type="spellEnd"/>
            <w:r>
              <w:rPr>
                <w:sz w:val="22"/>
                <w:szCs w:val="22"/>
              </w:rPr>
              <w:t>. nach AG zeigt in allen AG deutlichen Rückgang, Anzahl der Tests bei den 0-15-Jähringen hat sich nahezu halbiert, in höheren AG Rückgang etwas geringer, erschwert insgesamt die Inter-</w:t>
            </w:r>
            <w:proofErr w:type="spellStart"/>
            <w:r>
              <w:rPr>
                <w:sz w:val="22"/>
                <w:szCs w:val="22"/>
              </w:rPr>
              <w:t>pretation</w:t>
            </w:r>
            <w:proofErr w:type="spellEnd"/>
            <w:r>
              <w:rPr>
                <w:sz w:val="22"/>
                <w:szCs w:val="22"/>
              </w:rPr>
              <w:t xml:space="preserve"> der </w:t>
            </w:r>
            <w:proofErr w:type="spellStart"/>
            <w:r>
              <w:rPr>
                <w:sz w:val="22"/>
                <w:szCs w:val="22"/>
              </w:rPr>
              <w:t>Positivenanteile</w:t>
            </w:r>
            <w:proofErr w:type="spellEnd"/>
            <w:r>
              <w:rPr>
                <w:sz w:val="22"/>
                <w:szCs w:val="22"/>
              </w:rPr>
              <w:t xml:space="preserve"> nach AG, diese zeigen bis auf AG 80+ eine relativ parallele Entwicklung, leicht steigender Trend ggf. bedingt durch „spezifischere“ Testkriterien; </w:t>
            </w:r>
          </w:p>
          <w:p>
            <w:pPr>
              <w:pStyle w:val="Listenabsatz"/>
              <w:numPr>
                <w:ilvl w:val="1"/>
                <w:numId w:val="5"/>
              </w:numPr>
              <w:ind w:left="924" w:hanging="357"/>
              <w:rPr>
                <w:sz w:val="22"/>
                <w:szCs w:val="22"/>
              </w:rPr>
            </w:pPr>
            <w:r>
              <w:rPr>
                <w:sz w:val="22"/>
                <w:szCs w:val="22"/>
              </w:rPr>
              <w:t xml:space="preserve">Folie 4: Anteil der positiven Testungen von allen Testungen pro KW nach Organisationstyp: starker Rückgang der Anzahl der Testungen bei Arztpraxen (nahezu halbiert, siehe Kreisflächen), weiterhin jedoch steigender Positiven-anteil (gestrichelte Kurve), der den allgemein steigenden Trend der </w:t>
            </w:r>
            <w:proofErr w:type="spellStart"/>
            <w:r>
              <w:rPr>
                <w:sz w:val="22"/>
                <w:szCs w:val="22"/>
              </w:rPr>
              <w:t>Positivenanteile</w:t>
            </w:r>
            <w:proofErr w:type="spellEnd"/>
            <w:r>
              <w:rPr>
                <w:sz w:val="22"/>
                <w:szCs w:val="22"/>
              </w:rPr>
              <w:t xml:space="preserve"> bedingen können; </w:t>
            </w:r>
          </w:p>
          <w:p>
            <w:pPr>
              <w:pStyle w:val="Listenabsatz"/>
              <w:numPr>
                <w:ilvl w:val="1"/>
                <w:numId w:val="5"/>
              </w:numPr>
              <w:ind w:left="924" w:hanging="357"/>
              <w:rPr>
                <w:sz w:val="22"/>
                <w:szCs w:val="22"/>
              </w:rPr>
            </w:pPr>
            <w:r>
              <w:rPr>
                <w:sz w:val="22"/>
                <w:szCs w:val="22"/>
              </w:rPr>
              <w:t>Folie 5: Testverzug: kein deutlicher Zuwachs der Anzahl der Verzugstage, deutlicher Rückgang der Testungen hier somit ebenfalls sichtbar;</w:t>
            </w:r>
          </w:p>
          <w:p>
            <w:pPr>
              <w:rPr>
                <w:i/>
                <w:sz w:val="22"/>
                <w:szCs w:val="22"/>
              </w:rPr>
            </w:pPr>
            <w:proofErr w:type="spellStart"/>
            <w:r>
              <w:rPr>
                <w:i/>
                <w:sz w:val="22"/>
                <w:szCs w:val="22"/>
              </w:rPr>
              <w:lastRenderedPageBreak/>
              <w:t>To</w:t>
            </w:r>
            <w:proofErr w:type="spellEnd"/>
            <w:r>
              <w:rPr>
                <w:i/>
                <w:sz w:val="22"/>
                <w:szCs w:val="22"/>
              </w:rPr>
              <w:t xml:space="preserve"> Do: Bitte um Ergänzung der Grafik Folie 5 um eine Linie zum durchschnittlichen Meldeverzug in Tagen</w:t>
            </w:r>
          </w:p>
          <w:p>
            <w:pPr>
              <w:pStyle w:val="Listenabsatz"/>
              <w:ind w:left="924"/>
              <w:rPr>
                <w:sz w:val="22"/>
                <w:szCs w:val="22"/>
              </w:rPr>
            </w:pPr>
          </w:p>
        </w:tc>
        <w:tc>
          <w:tcPr>
            <w:tcW w:w="1492" w:type="dxa"/>
          </w:tcPr>
          <w:p>
            <w:pPr>
              <w:rPr>
                <w:sz w:val="22"/>
                <w:szCs w:val="22"/>
              </w:rPr>
            </w:pPr>
          </w:p>
          <w:p>
            <w:pPr>
              <w:rPr>
                <w:sz w:val="22"/>
                <w:szCs w:val="22"/>
              </w:rPr>
            </w:pPr>
          </w:p>
          <w:p>
            <w:pPr>
              <w:rPr>
                <w:sz w:val="22"/>
                <w:szCs w:val="22"/>
              </w:rPr>
            </w:pPr>
            <w:r>
              <w:rPr>
                <w:sz w:val="22"/>
                <w:szCs w:val="22"/>
              </w:rPr>
              <w:t xml:space="preserve">ZIG1 </w:t>
            </w:r>
          </w:p>
          <w:p>
            <w:pPr>
              <w:rPr>
                <w:sz w:val="22"/>
                <w:szCs w:val="22"/>
              </w:rPr>
            </w:pPr>
            <w:r>
              <w:rPr>
                <w:sz w:val="22"/>
                <w:szCs w:val="22"/>
              </w:rPr>
              <w:t>(Singer)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 3 (Hamouda)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FG36 </w:t>
            </w: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Abt. 3 </w:t>
            </w: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FG34</w:t>
            </w:r>
          </w:p>
          <w:p>
            <w:pPr>
              <w:rPr>
                <w:sz w:val="22"/>
                <w:szCs w:val="22"/>
              </w:rPr>
            </w:pPr>
            <w:r>
              <w:rPr>
                <w:sz w:val="22"/>
                <w:szCs w:val="22"/>
              </w:rPr>
              <w:t>(Bremer)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lang w:val="en-US"/>
              </w:rPr>
            </w:pPr>
            <w:r>
              <w:rPr>
                <w:sz w:val="22"/>
                <w:szCs w:val="22"/>
                <w:lang w:val="en-US"/>
              </w:rPr>
              <w:t>(Haller)</w:t>
            </w:r>
          </w:p>
          <w:p>
            <w:pPr>
              <w:rPr>
                <w:sz w:val="22"/>
                <w:szCs w:val="22"/>
                <w:lang w:val="en-US"/>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p>
          <w:p>
            <w:pPr>
              <w:pStyle w:val="Listenabsatz"/>
              <w:numPr>
                <w:ilvl w:val="0"/>
                <w:numId w:val="5"/>
              </w:numPr>
              <w:ind w:left="482"/>
              <w:rPr>
                <w:sz w:val="22"/>
                <w:szCs w:val="22"/>
              </w:rPr>
            </w:pPr>
            <w:r>
              <w:rPr>
                <w:sz w:val="22"/>
                <w:szCs w:val="22"/>
              </w:rPr>
              <w:t>Nicht besprochen</w:t>
            </w:r>
          </w:p>
          <w:p>
            <w:pPr>
              <w:rPr>
                <w:b/>
                <w:sz w:val="22"/>
                <w:szCs w:val="22"/>
              </w:rPr>
            </w:pPr>
          </w:p>
        </w:tc>
        <w:tc>
          <w:tcPr>
            <w:tcW w:w="1492" w:type="dxa"/>
          </w:tcPr>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rPr>
              <w:t>(nur montags)</w:t>
            </w:r>
          </w:p>
          <w:p>
            <w:pPr>
              <w:pStyle w:val="Listenabsatz"/>
              <w:numPr>
                <w:ilvl w:val="0"/>
                <w:numId w:val="5"/>
              </w:numPr>
              <w:ind w:left="453" w:hanging="340"/>
              <w:rPr>
                <w:sz w:val="22"/>
                <w:szCs w:val="22"/>
              </w:rPr>
            </w:pPr>
            <w:r>
              <w:rPr>
                <w:sz w:val="22"/>
                <w:szCs w:val="22"/>
              </w:rPr>
              <w:t xml:space="preserve">Nicht besprochen </w:t>
            </w:r>
          </w:p>
          <w:p>
            <w:pPr>
              <w:pStyle w:val="Listenabsatz"/>
              <w:ind w:left="453"/>
              <w:rPr>
                <w:sz w:val="22"/>
                <w:szCs w:val="22"/>
              </w:rPr>
            </w:pPr>
          </w:p>
        </w:tc>
        <w:tc>
          <w:tcPr>
            <w:tcW w:w="1492" w:type="dxa"/>
          </w:tcPr>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Keine Beiträge</w:t>
            </w:r>
          </w:p>
          <w:p>
            <w:pPr>
              <w:ind w:left="25"/>
              <w:rPr>
                <w:sz w:val="22"/>
                <w:szCs w:val="22"/>
              </w:rPr>
            </w:pPr>
          </w:p>
        </w:tc>
        <w:tc>
          <w:tcPr>
            <w:tcW w:w="1492" w:type="dxa"/>
          </w:tcPr>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rPr>
                <w:b/>
                <w:sz w:val="28"/>
                <w:szCs w:val="28"/>
              </w:rPr>
            </w:pPr>
            <w:r>
              <w:rPr>
                <w:b/>
                <w:sz w:val="28"/>
                <w:szCs w:val="28"/>
              </w:rPr>
              <w:t>Kommunikation</w:t>
            </w:r>
          </w:p>
          <w:p>
            <w:pPr>
              <w:rPr>
                <w:b/>
                <w:sz w:val="22"/>
              </w:rPr>
            </w:pPr>
            <w:r>
              <w:rPr>
                <w:b/>
                <w:sz w:val="22"/>
              </w:rPr>
              <w:t>BZgA</w:t>
            </w:r>
          </w:p>
          <w:p>
            <w:pPr>
              <w:pStyle w:val="Listenabsatz"/>
              <w:numPr>
                <w:ilvl w:val="0"/>
                <w:numId w:val="8"/>
              </w:numPr>
              <w:ind w:left="453" w:hanging="340"/>
              <w:rPr>
                <w:sz w:val="22"/>
                <w:szCs w:val="22"/>
              </w:rPr>
            </w:pPr>
            <w:r>
              <w:rPr>
                <w:sz w:val="22"/>
                <w:szCs w:val="22"/>
              </w:rPr>
              <w:t xml:space="preserve">Vorbereitung von Informationsmaterial zu Impfungen bzw. Risikokommunikation zusammen mit dem Steuerungskreis </w:t>
            </w:r>
          </w:p>
          <w:p>
            <w:pPr>
              <w:pStyle w:val="Listenabsatz"/>
              <w:numPr>
                <w:ilvl w:val="0"/>
                <w:numId w:val="8"/>
              </w:numPr>
              <w:ind w:left="453" w:hanging="340"/>
              <w:rPr>
                <w:sz w:val="22"/>
                <w:szCs w:val="22"/>
              </w:rPr>
            </w:pPr>
            <w:r>
              <w:rPr>
                <w:sz w:val="22"/>
                <w:szCs w:val="22"/>
              </w:rPr>
              <w:t xml:space="preserve">Rückmeldungen aus der Bevölkerung bei Telefonberatung – Kernthemen: </w:t>
            </w:r>
          </w:p>
          <w:p>
            <w:pPr>
              <w:ind w:left="766" w:hanging="284"/>
              <w:rPr>
                <w:sz w:val="22"/>
                <w:szCs w:val="22"/>
              </w:rPr>
            </w:pPr>
            <w:r>
              <w:rPr>
                <w:sz w:val="22"/>
                <w:szCs w:val="22"/>
              </w:rPr>
              <w:t xml:space="preserve">1) Technische Fragen zur Impfung (bspw. bei </w:t>
            </w:r>
            <w:proofErr w:type="spellStart"/>
            <w:r>
              <w:rPr>
                <w:sz w:val="22"/>
                <w:szCs w:val="22"/>
              </w:rPr>
              <w:t>antikoagulativ</w:t>
            </w:r>
            <w:proofErr w:type="spellEnd"/>
            <w:r>
              <w:rPr>
                <w:sz w:val="22"/>
                <w:szCs w:val="22"/>
              </w:rPr>
              <w:t xml:space="preserve"> behandelten Personen) </w:t>
            </w:r>
          </w:p>
          <w:p>
            <w:pPr>
              <w:ind w:left="766" w:hanging="284"/>
              <w:rPr>
                <w:sz w:val="22"/>
                <w:szCs w:val="22"/>
              </w:rPr>
            </w:pPr>
            <w:r>
              <w:rPr>
                <w:sz w:val="22"/>
                <w:szCs w:val="22"/>
              </w:rPr>
              <w:t xml:space="preserve">2) Fragen zur Impfmöglichkeit/-notwendigkeit von positiv getesteten oder symptomatischen Personen </w:t>
            </w:r>
          </w:p>
          <w:p>
            <w:pPr>
              <w:pStyle w:val="Listenabsatz"/>
              <w:ind w:left="766"/>
              <w:rPr>
                <w:sz w:val="22"/>
                <w:szCs w:val="22"/>
              </w:rPr>
            </w:pPr>
            <w:r>
              <w:rPr>
                <w:sz w:val="22"/>
                <w:szCs w:val="22"/>
              </w:rPr>
              <w:sym w:font="Wingdings" w:char="F0E0"/>
            </w:r>
            <w:r>
              <w:rPr>
                <w:sz w:val="22"/>
                <w:szCs w:val="22"/>
              </w:rPr>
              <w:t xml:space="preserve"> hierzu siehe </w:t>
            </w:r>
            <w:proofErr w:type="spellStart"/>
            <w:r>
              <w:rPr>
                <w:sz w:val="22"/>
                <w:szCs w:val="22"/>
              </w:rPr>
              <w:t>StIKo</w:t>
            </w:r>
            <w:proofErr w:type="spellEnd"/>
            <w:r>
              <w:rPr>
                <w:sz w:val="22"/>
                <w:szCs w:val="22"/>
              </w:rPr>
              <w:t xml:space="preserve">-Empfehlungen sowie FAQs unter </w:t>
            </w:r>
            <w:hyperlink r:id="rId15" w:history="1">
              <w:r>
                <w:rPr>
                  <w:rStyle w:val="Hyperlink"/>
                  <w:sz w:val="22"/>
                  <w:szCs w:val="22"/>
                </w:rPr>
                <w:t>https://www.rki.de/SharedDocs/FAQ/COVID-Impfen/gesamt.html;jsessionid=515754248AABBD3567D1A5C3BFB9FE5B.internet051</w:t>
              </w:r>
            </w:hyperlink>
          </w:p>
          <w:p>
            <w:pPr>
              <w:pStyle w:val="Listenabsatz"/>
              <w:ind w:left="766"/>
              <w:rPr>
                <w:sz w:val="22"/>
                <w:szCs w:val="22"/>
              </w:rPr>
            </w:pPr>
            <w:r>
              <w:rPr>
                <w:sz w:val="22"/>
                <w:szCs w:val="22"/>
              </w:rPr>
              <w:sym w:font="Wingdings" w:char="F0E0"/>
            </w:r>
            <w:r>
              <w:rPr>
                <w:sz w:val="22"/>
                <w:szCs w:val="22"/>
              </w:rPr>
              <w:t xml:space="preserve"> allgemeinverständliche Aufbereitung dieser Empfehlungen ist empfehlenswert;</w:t>
            </w:r>
          </w:p>
          <w:p>
            <w:pPr>
              <w:ind w:left="482"/>
              <w:rPr>
                <w:sz w:val="22"/>
                <w:szCs w:val="22"/>
              </w:rPr>
            </w:pPr>
            <w:r>
              <w:rPr>
                <w:sz w:val="22"/>
                <w:szCs w:val="22"/>
              </w:rPr>
              <w:t xml:space="preserve">3) Fragen zu Maßnahmen bei Rückkehr aus Heimatländern: </w:t>
            </w:r>
          </w:p>
          <w:p>
            <w:pPr>
              <w:pStyle w:val="Listenabsatz"/>
              <w:numPr>
                <w:ilvl w:val="0"/>
                <w:numId w:val="13"/>
              </w:numPr>
              <w:rPr>
                <w:sz w:val="22"/>
                <w:szCs w:val="22"/>
              </w:rPr>
            </w:pPr>
            <w:r>
              <w:rPr>
                <w:sz w:val="22"/>
                <w:szCs w:val="22"/>
              </w:rPr>
              <w:t xml:space="preserve">Sollte kommunikativ aufgegriffen werden; </w:t>
            </w:r>
          </w:p>
          <w:p>
            <w:pPr>
              <w:pStyle w:val="Listenabsatz"/>
              <w:numPr>
                <w:ilvl w:val="0"/>
                <w:numId w:val="13"/>
              </w:numPr>
              <w:rPr>
                <w:sz w:val="22"/>
                <w:szCs w:val="22"/>
              </w:rPr>
            </w:pPr>
            <w:r>
              <w:rPr>
                <w:sz w:val="22"/>
                <w:szCs w:val="22"/>
              </w:rPr>
              <w:t>Bitte auch um Informationsverbreitung über Auswärtiges Amt bzw. die Botschaften;</w:t>
            </w:r>
          </w:p>
          <w:p>
            <w:pPr>
              <w:pStyle w:val="Listenabsatz"/>
              <w:numPr>
                <w:ilvl w:val="0"/>
                <w:numId w:val="13"/>
              </w:numPr>
              <w:rPr>
                <w:sz w:val="22"/>
                <w:szCs w:val="22"/>
              </w:rPr>
            </w:pPr>
            <w:r>
              <w:rPr>
                <w:sz w:val="22"/>
                <w:szCs w:val="22"/>
              </w:rPr>
              <w:t xml:space="preserve">Es soll allgemeinen Hinweis auf die generell geltenden Vorschriften sowie ein Verweis auf die lokalen Behörden geben (hierzu: Bundesregierungs-Seite mit Verweisen auf die Länderseiten, Link leitet Frau </w:t>
            </w:r>
            <w:proofErr w:type="gramStart"/>
            <w:r>
              <w:rPr>
                <w:sz w:val="22"/>
                <w:szCs w:val="22"/>
              </w:rPr>
              <w:t>an der Heiden</w:t>
            </w:r>
            <w:proofErr w:type="gramEnd"/>
            <w:r>
              <w:rPr>
                <w:sz w:val="22"/>
                <w:szCs w:val="22"/>
              </w:rPr>
              <w:t xml:space="preserve"> an Frau </w:t>
            </w:r>
            <w:proofErr w:type="spellStart"/>
            <w:r>
              <w:rPr>
                <w:sz w:val="22"/>
                <w:szCs w:val="22"/>
              </w:rPr>
              <w:t>Thaiss</w:t>
            </w:r>
            <w:proofErr w:type="spellEnd"/>
            <w:r>
              <w:rPr>
                <w:sz w:val="22"/>
                <w:szCs w:val="22"/>
              </w:rPr>
              <w:t xml:space="preserve"> weiter);</w:t>
            </w:r>
          </w:p>
          <w:p>
            <w:pPr>
              <w:pStyle w:val="Listenabsatz"/>
              <w:numPr>
                <w:ilvl w:val="0"/>
                <w:numId w:val="13"/>
              </w:numPr>
              <w:rPr>
                <w:sz w:val="22"/>
                <w:szCs w:val="22"/>
              </w:rPr>
            </w:pPr>
            <w:r>
              <w:rPr>
                <w:sz w:val="22"/>
                <w:szCs w:val="22"/>
              </w:rPr>
              <w:t xml:space="preserve">Generell: Quarantäne 10 Tage, bei negativem Test 5 Tage; </w:t>
            </w:r>
          </w:p>
          <w:p>
            <w:pPr>
              <w:pStyle w:val="Listenabsatz"/>
              <w:numPr>
                <w:ilvl w:val="0"/>
                <w:numId w:val="13"/>
              </w:numPr>
              <w:rPr>
                <w:sz w:val="22"/>
                <w:szCs w:val="22"/>
              </w:rPr>
            </w:pPr>
            <w:r>
              <w:rPr>
                <w:sz w:val="22"/>
                <w:szCs w:val="22"/>
              </w:rPr>
              <w:t>Hinweis auf den Entwurf einer neuen Verordnung zu Informationsweitergabe per SMS an Einreisende aus Risikogebieten (noch nicht aktiv);</w:t>
            </w:r>
          </w:p>
          <w:p>
            <w:pPr>
              <w:pStyle w:val="Listenabsatz"/>
              <w:numPr>
                <w:ilvl w:val="0"/>
                <w:numId w:val="13"/>
              </w:numPr>
              <w:rPr>
                <w:sz w:val="22"/>
                <w:szCs w:val="22"/>
              </w:rPr>
            </w:pPr>
            <w:r>
              <w:rPr>
                <w:sz w:val="22"/>
                <w:szCs w:val="22"/>
              </w:rPr>
              <w:t>Merkblätter von Beförderern (Bahn, Flugzeug);</w:t>
            </w:r>
          </w:p>
          <w:p>
            <w:pPr>
              <w:pStyle w:val="Listenabsatz"/>
              <w:numPr>
                <w:ilvl w:val="0"/>
                <w:numId w:val="13"/>
              </w:numPr>
              <w:rPr>
                <w:sz w:val="22"/>
                <w:szCs w:val="22"/>
              </w:rPr>
            </w:pPr>
            <w:r>
              <w:rPr>
                <w:sz w:val="22"/>
                <w:szCs w:val="22"/>
              </w:rPr>
              <w:t>Größte Hürde sind mit dem Auto Einreisende, BMI rechnet mit einer Anzahl im niedrigen sechsstelligen Bereich, Grenzkontrollstellen Österreich eine Möglichkeit der Informationsverteilung;</w:t>
            </w:r>
          </w:p>
          <w:p>
            <w:pPr>
              <w:pStyle w:val="Listenabsatz"/>
              <w:numPr>
                <w:ilvl w:val="0"/>
                <w:numId w:val="13"/>
              </w:numPr>
              <w:rPr>
                <w:sz w:val="22"/>
                <w:szCs w:val="22"/>
              </w:rPr>
            </w:pPr>
            <w:r>
              <w:rPr>
                <w:sz w:val="22"/>
                <w:szCs w:val="22"/>
              </w:rPr>
              <w:t>Kommunikative Berücksichtigung auch anderer Gruppen, die mit Rückkehrern assoziiert (bspw. Arbeitgeber).</w:t>
            </w:r>
          </w:p>
          <w:p>
            <w:pPr>
              <w:rPr>
                <w:b/>
                <w:sz w:val="22"/>
                <w:szCs w:val="22"/>
              </w:rPr>
            </w:pPr>
            <w:r>
              <w:rPr>
                <w:b/>
                <w:sz w:val="22"/>
                <w:szCs w:val="22"/>
              </w:rPr>
              <w:t>Presse</w:t>
            </w:r>
          </w:p>
          <w:p>
            <w:pPr>
              <w:pStyle w:val="Listenabsatz"/>
              <w:numPr>
                <w:ilvl w:val="0"/>
                <w:numId w:val="5"/>
              </w:numPr>
              <w:ind w:left="453" w:hanging="340"/>
              <w:rPr>
                <w:sz w:val="22"/>
                <w:szCs w:val="22"/>
              </w:rPr>
            </w:pPr>
            <w:r>
              <w:rPr>
                <w:sz w:val="22"/>
                <w:szCs w:val="22"/>
              </w:rPr>
              <w:t xml:space="preserve">Kein Beitrag aufgrund der zeitgleichen Bundespressekonferenz unter Mitwirkung des RKI und des PEI </w:t>
            </w:r>
          </w:p>
          <w:p>
            <w:pPr>
              <w:pStyle w:val="Listenabsatz"/>
              <w:ind w:left="453"/>
              <w:rPr>
                <w:sz w:val="22"/>
                <w:szCs w:val="22"/>
              </w:rPr>
            </w:pPr>
          </w:p>
        </w:tc>
        <w:tc>
          <w:tcPr>
            <w:tcW w:w="1492" w:type="dxa"/>
          </w:tcPr>
          <w:p>
            <w:pPr>
              <w:rPr>
                <w:sz w:val="22"/>
                <w:szCs w:val="22"/>
              </w:rPr>
            </w:pPr>
          </w:p>
          <w:p>
            <w:pPr>
              <w:rPr>
                <w:sz w:val="22"/>
                <w:szCs w:val="22"/>
              </w:rPr>
            </w:pPr>
          </w:p>
          <w:p>
            <w:pPr>
              <w:rPr>
                <w:sz w:val="22"/>
                <w:szCs w:val="22"/>
                <w:lang w:val="en-US"/>
              </w:rPr>
            </w:pPr>
            <w:proofErr w:type="spellStart"/>
            <w:r>
              <w:rPr>
                <w:sz w:val="22"/>
                <w:szCs w:val="22"/>
                <w:lang w:val="en-US"/>
              </w:rPr>
              <w:t>BZgA</w:t>
            </w:r>
            <w:proofErr w:type="spellEnd"/>
            <w:r>
              <w:rPr>
                <w:sz w:val="22"/>
                <w:szCs w:val="22"/>
                <w:lang w:val="en-US"/>
              </w:rPr>
              <w:t xml:space="preserve"> </w:t>
            </w:r>
          </w:p>
          <w:p>
            <w:pPr>
              <w:rPr>
                <w:sz w:val="22"/>
                <w:szCs w:val="22"/>
                <w:lang w:val="en-US"/>
              </w:rPr>
            </w:pPr>
            <w:r>
              <w:rPr>
                <w:sz w:val="22"/>
                <w:szCs w:val="22"/>
                <w:lang w:val="en-US"/>
              </w:rPr>
              <w:t>(</w:t>
            </w:r>
            <w:proofErr w:type="spellStart"/>
            <w:r>
              <w:rPr>
                <w:sz w:val="22"/>
                <w:szCs w:val="22"/>
                <w:lang w:val="en-US"/>
              </w:rPr>
              <w:t>Thaiss</w:t>
            </w:r>
            <w:proofErr w:type="spellEnd"/>
            <w:r>
              <w:rPr>
                <w:sz w:val="22"/>
                <w:szCs w:val="22"/>
                <w:lang w:val="en-US"/>
              </w:rPr>
              <w:t>)</w:t>
            </w:r>
          </w:p>
          <w:p>
            <w:pPr>
              <w:rPr>
                <w:sz w:val="22"/>
                <w:szCs w:val="22"/>
                <w:lang w:val="en-US"/>
              </w:rPr>
            </w:pPr>
          </w:p>
          <w:p>
            <w:pPr>
              <w:rPr>
                <w:sz w:val="22"/>
                <w:szCs w:val="22"/>
                <w:lang w:val="en-US"/>
              </w:rPr>
            </w:pPr>
          </w:p>
          <w:p>
            <w:pPr>
              <w:rPr>
                <w:sz w:val="22"/>
                <w:szCs w:val="22"/>
                <w:lang w:val="en-US"/>
              </w:rPr>
            </w:pPr>
          </w:p>
          <w:p>
            <w:pPr>
              <w:rPr>
                <w:sz w:val="22"/>
                <w:szCs w:val="22"/>
              </w:rPr>
            </w:pPr>
          </w:p>
        </w:tc>
      </w:tr>
      <w:tr>
        <w:tc>
          <w:tcPr>
            <w:tcW w:w="684" w:type="dxa"/>
          </w:tcPr>
          <w:p>
            <w:pPr>
              <w:rPr>
                <w:b/>
              </w:rPr>
            </w:pPr>
            <w:r>
              <w:rPr>
                <w:b/>
              </w:rPr>
              <w:t>6</w:t>
            </w:r>
          </w:p>
        </w:tc>
        <w:tc>
          <w:tcPr>
            <w:tcW w:w="6795" w:type="dxa"/>
          </w:tcPr>
          <w:p>
            <w:pPr>
              <w:rPr>
                <w:b/>
                <w:sz w:val="28"/>
              </w:rPr>
            </w:pPr>
            <w:r>
              <w:rPr>
                <w:b/>
                <w:sz w:val="28"/>
              </w:rPr>
              <w:t>RKI-Strategie Fragen</w:t>
            </w:r>
          </w:p>
          <w:p>
            <w:pPr>
              <w:pStyle w:val="Listenabsatz"/>
              <w:numPr>
                <w:ilvl w:val="0"/>
                <w:numId w:val="6"/>
              </w:numPr>
              <w:ind w:left="340" w:hanging="340"/>
              <w:rPr>
                <w:b/>
                <w:sz w:val="22"/>
              </w:rPr>
            </w:pPr>
            <w:r>
              <w:rPr>
                <w:b/>
                <w:sz w:val="22"/>
              </w:rPr>
              <w:t>Allgemein</w:t>
            </w:r>
          </w:p>
          <w:p>
            <w:pPr>
              <w:pStyle w:val="Listenabsatz"/>
              <w:numPr>
                <w:ilvl w:val="0"/>
                <w:numId w:val="10"/>
              </w:numPr>
              <w:ind w:left="482"/>
              <w:rPr>
                <w:rStyle w:val="Hyperlink"/>
                <w:color w:val="auto"/>
                <w:sz w:val="22"/>
                <w:szCs w:val="22"/>
                <w:u w:val="none"/>
              </w:rPr>
            </w:pPr>
            <w:r>
              <w:t>Nicht besprochen</w:t>
            </w:r>
          </w:p>
          <w:p>
            <w:pPr>
              <w:pStyle w:val="Listenabsatz"/>
              <w:ind w:left="1616"/>
              <w:rPr>
                <w:sz w:val="22"/>
                <w:szCs w:val="22"/>
              </w:rPr>
            </w:pPr>
          </w:p>
          <w:p>
            <w:pPr>
              <w:numPr>
                <w:ilvl w:val="0"/>
                <w:numId w:val="6"/>
              </w:numPr>
              <w:rPr>
                <w:i/>
                <w:sz w:val="22"/>
                <w:szCs w:val="22"/>
              </w:rPr>
            </w:pPr>
            <w:r>
              <w:rPr>
                <w:b/>
                <w:sz w:val="22"/>
                <w:szCs w:val="22"/>
              </w:rPr>
              <w:t>RKI-intern</w:t>
            </w:r>
          </w:p>
          <w:p>
            <w:pPr>
              <w:pStyle w:val="Listenabsatz"/>
              <w:numPr>
                <w:ilvl w:val="0"/>
                <w:numId w:val="10"/>
              </w:numPr>
              <w:ind w:left="482" w:hanging="283"/>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Dokumente/weitere Studien</w:t>
            </w:r>
          </w:p>
          <w:p>
            <w:pPr>
              <w:rPr>
                <w:sz w:val="22"/>
                <w:szCs w:val="22"/>
              </w:rPr>
            </w:pPr>
            <w:r>
              <w:rPr>
                <w:sz w:val="22"/>
                <w:szCs w:val="22"/>
              </w:rPr>
              <w:t xml:space="preserve">Empfehlung zu geimpften </w:t>
            </w:r>
            <w:r>
              <w:rPr>
                <w:i/>
                <w:sz w:val="22"/>
                <w:szCs w:val="22"/>
              </w:rPr>
              <w:t>versus</w:t>
            </w:r>
            <w:r>
              <w:rPr>
                <w:sz w:val="22"/>
                <w:szCs w:val="22"/>
              </w:rPr>
              <w:t xml:space="preserve"> genesenen KP1 (v.a. med. Personal)</w:t>
            </w:r>
          </w:p>
          <w:p>
            <w:pPr>
              <w:pStyle w:val="Listenabsatz"/>
              <w:numPr>
                <w:ilvl w:val="0"/>
                <w:numId w:val="5"/>
              </w:numPr>
              <w:ind w:left="453" w:hanging="340"/>
              <w:rPr>
                <w:sz w:val="22"/>
                <w:szCs w:val="22"/>
              </w:rPr>
            </w:pPr>
            <w:r>
              <w:rPr>
                <w:sz w:val="22"/>
                <w:szCs w:val="22"/>
              </w:rPr>
              <w:t>Gesonderte Empfehlung zu dem Umgang mit geimpften KP1 bei medizinischem Personal ggf. sinnvoll aufgrund dessen Kontakt zu vulnerablen Gruppen – davon ausgehend, dass die Impfung nicht vor Erregerübertragung schützt;</w:t>
            </w:r>
          </w:p>
          <w:p>
            <w:pPr>
              <w:pStyle w:val="Listenabsatz"/>
              <w:numPr>
                <w:ilvl w:val="0"/>
                <w:numId w:val="5"/>
              </w:numPr>
              <w:ind w:left="453" w:hanging="340"/>
              <w:rPr>
                <w:sz w:val="22"/>
                <w:szCs w:val="22"/>
              </w:rPr>
            </w:pPr>
            <w:r>
              <w:rPr>
                <w:sz w:val="22"/>
                <w:szCs w:val="22"/>
              </w:rPr>
              <w:t xml:space="preserve">Papier zum KP-Management war hinsichtlich med. Personals bewusst nicht spezifiziert worden, jegliche Anpassungen des KP-Management-Papiers gelten somit auch für med. Personal; </w:t>
            </w:r>
          </w:p>
          <w:p>
            <w:pPr>
              <w:pStyle w:val="Listenabsatz"/>
              <w:numPr>
                <w:ilvl w:val="0"/>
                <w:numId w:val="5"/>
              </w:numPr>
              <w:ind w:left="453" w:hanging="340"/>
              <w:rPr>
                <w:sz w:val="22"/>
                <w:szCs w:val="22"/>
              </w:rPr>
            </w:pPr>
            <w:r>
              <w:rPr>
                <w:sz w:val="22"/>
                <w:szCs w:val="22"/>
              </w:rPr>
              <w:t xml:space="preserve">Im Dokument „Ergänzende Grundsätze der medizinischen Versorgung in Zeiten der SARS-CoV-2-Epidemie“ (Federführung FG37) findet sich ein Passus zum Umgang mit </w:t>
            </w:r>
            <w:proofErr w:type="spellStart"/>
            <w:r>
              <w:rPr>
                <w:sz w:val="22"/>
                <w:szCs w:val="22"/>
              </w:rPr>
              <w:t>molekularbiol</w:t>
            </w:r>
            <w:proofErr w:type="spellEnd"/>
            <w:r>
              <w:rPr>
                <w:sz w:val="22"/>
                <w:szCs w:val="22"/>
              </w:rPr>
              <w:t xml:space="preserve">. diagnostiziertem med. Personal nach durchgemachter Infektion (Teilimmunität vorhanden, keine Quarantäne nötig, </w:t>
            </w:r>
            <w:proofErr w:type="spellStart"/>
            <w:r>
              <w:rPr>
                <w:sz w:val="22"/>
                <w:szCs w:val="22"/>
              </w:rPr>
              <w:t>Selbstmoni-toring</w:t>
            </w:r>
            <w:proofErr w:type="spellEnd"/>
            <w:r>
              <w:rPr>
                <w:sz w:val="22"/>
                <w:szCs w:val="22"/>
              </w:rPr>
              <w:t>, bei Auftreten erster Symptome Selbstisolation &amp; Test);</w:t>
            </w:r>
          </w:p>
          <w:p>
            <w:pPr>
              <w:pStyle w:val="Listenabsatz"/>
              <w:numPr>
                <w:ilvl w:val="0"/>
                <w:numId w:val="5"/>
              </w:numPr>
              <w:ind w:left="453" w:hanging="340"/>
              <w:rPr>
                <w:sz w:val="22"/>
                <w:szCs w:val="22"/>
              </w:rPr>
            </w:pPr>
            <w:r>
              <w:rPr>
                <w:sz w:val="22"/>
                <w:szCs w:val="22"/>
              </w:rPr>
              <w:t>Überarbeitung dieses und des KP-Management-Dokuments hin-sichtlich Impfung nötig, zumal dazu bereits Nachfragen, sollte BMG zu Jahresbeginn vorgelegt werden mit Hinweis auf Ver-</w:t>
            </w:r>
            <w:proofErr w:type="spellStart"/>
            <w:r>
              <w:rPr>
                <w:sz w:val="22"/>
                <w:szCs w:val="22"/>
              </w:rPr>
              <w:t>öffentlichungsabsicht</w:t>
            </w:r>
            <w:proofErr w:type="spellEnd"/>
            <w:r>
              <w:rPr>
                <w:sz w:val="22"/>
                <w:szCs w:val="22"/>
              </w:rPr>
              <w:t xml:space="preserve"> am Folgetag;</w:t>
            </w:r>
          </w:p>
          <w:p>
            <w:pPr>
              <w:pStyle w:val="Listenabsatz"/>
              <w:numPr>
                <w:ilvl w:val="0"/>
                <w:numId w:val="5"/>
              </w:numPr>
              <w:ind w:left="453" w:hanging="340"/>
              <w:rPr>
                <w:sz w:val="22"/>
                <w:szCs w:val="22"/>
              </w:rPr>
            </w:pPr>
            <w:r>
              <w:rPr>
                <w:sz w:val="22"/>
                <w:szCs w:val="22"/>
              </w:rPr>
              <w:t>Mögliche Optionen bei geimpftem med. Personal: Quarantäne-verzicht wie bei Genesenen mit Diagnostik bei Auftreten von Symptomen (hier jedoch aufgrund der Impfung höchst unwahr-</w:t>
            </w:r>
            <w:proofErr w:type="spellStart"/>
            <w:r>
              <w:rPr>
                <w:sz w:val="22"/>
                <w:szCs w:val="22"/>
              </w:rPr>
              <w:t>scheinlich</w:t>
            </w:r>
            <w:proofErr w:type="spellEnd"/>
            <w:r>
              <w:rPr>
                <w:sz w:val="22"/>
                <w:szCs w:val="22"/>
              </w:rPr>
              <w:t xml:space="preserve">), Hinweis auf Personenschutz, </w:t>
            </w:r>
            <w:proofErr w:type="spellStart"/>
            <w:r>
              <w:rPr>
                <w:sz w:val="22"/>
                <w:szCs w:val="22"/>
              </w:rPr>
              <w:t>Selbstmonitoring</w:t>
            </w:r>
            <w:proofErr w:type="spellEnd"/>
            <w:r>
              <w:rPr>
                <w:sz w:val="22"/>
                <w:szCs w:val="22"/>
              </w:rPr>
              <w:t xml:space="preserve"> (auch hinsichtlich allgemeinem </w:t>
            </w:r>
            <w:proofErr w:type="spellStart"/>
            <w:r>
              <w:rPr>
                <w:sz w:val="22"/>
                <w:szCs w:val="22"/>
              </w:rPr>
              <w:t>Übertragungsmonitoring</w:t>
            </w:r>
            <w:proofErr w:type="spellEnd"/>
            <w:r>
              <w:rPr>
                <w:sz w:val="22"/>
                <w:szCs w:val="22"/>
              </w:rPr>
              <w:t xml:space="preserve"> nach Impfung sinnvoll), regelmäßige Tests;</w:t>
            </w:r>
          </w:p>
          <w:p>
            <w:pPr>
              <w:pStyle w:val="Listenabsatz"/>
              <w:numPr>
                <w:ilvl w:val="0"/>
                <w:numId w:val="5"/>
              </w:numPr>
              <w:ind w:left="453" w:hanging="340"/>
              <w:rPr>
                <w:sz w:val="22"/>
                <w:szCs w:val="22"/>
              </w:rPr>
            </w:pPr>
            <w:r>
              <w:rPr>
                <w:sz w:val="22"/>
                <w:szCs w:val="22"/>
              </w:rPr>
              <w:t xml:space="preserve">Geimpfte Personen sollten wie Genesene behandelt werden, da in beiden Fällen Erregerübertragung derzeit unklar (mit dem Unterschied, dass die Wahrscheinlichkeit des Ausbleibens von Symptomen bei Infektion von Geimpften höher als bei </w:t>
            </w:r>
            <w:proofErr w:type="spellStart"/>
            <w:r>
              <w:rPr>
                <w:sz w:val="22"/>
                <w:szCs w:val="22"/>
              </w:rPr>
              <w:t>Reinfek-tion</w:t>
            </w:r>
            <w:proofErr w:type="spellEnd"/>
            <w:r>
              <w:rPr>
                <w:sz w:val="22"/>
                <w:szCs w:val="22"/>
              </w:rPr>
              <w:t xml:space="preserve"> von Genesenen);</w:t>
            </w:r>
          </w:p>
          <w:p>
            <w:pPr>
              <w:pStyle w:val="Listenabsatz"/>
              <w:numPr>
                <w:ilvl w:val="0"/>
                <w:numId w:val="5"/>
              </w:numPr>
              <w:ind w:left="453" w:hanging="340"/>
              <w:rPr>
                <w:sz w:val="22"/>
                <w:szCs w:val="22"/>
              </w:rPr>
            </w:pPr>
            <w:r>
              <w:rPr>
                <w:sz w:val="22"/>
                <w:szCs w:val="22"/>
              </w:rPr>
              <w:t>Eine Empfehlung von Selbsttests bei geimpften Personen bzw. geimpftem med. Personal daher derzeit nicht anzuraten, zumal dies Impfbereitschaft senken könnte (Anschein des Infrage-stellens der Zuverlässigkeit der Impfung, wenngleich anderer Hintergrund &gt; die Übertragung, nicht Infektion);</w:t>
            </w:r>
          </w:p>
          <w:p>
            <w:pPr>
              <w:pStyle w:val="Listenabsatz"/>
              <w:numPr>
                <w:ilvl w:val="0"/>
                <w:numId w:val="5"/>
              </w:numPr>
              <w:ind w:left="453" w:hanging="340"/>
              <w:rPr>
                <w:sz w:val="22"/>
                <w:szCs w:val="22"/>
              </w:rPr>
            </w:pPr>
            <w:r>
              <w:rPr>
                <w:sz w:val="22"/>
                <w:szCs w:val="22"/>
              </w:rPr>
              <w:t xml:space="preserve">Übertragungsverhinderung durch Impfungen generell ab 14 Tage nach zweiter Impfung sukzessiv abnehmend, jedoch dauer-haft reduzierte Ausscheidung </w:t>
            </w:r>
            <w:r>
              <w:rPr>
                <w:sz w:val="22"/>
                <w:szCs w:val="22"/>
              </w:rPr>
              <w:sym w:font="Wingdings" w:char="F0E0"/>
            </w:r>
            <w:r>
              <w:rPr>
                <w:sz w:val="22"/>
                <w:szCs w:val="22"/>
              </w:rPr>
              <w:t xml:space="preserve"> Maskenpflicht ist nach Impfung definitiv beizubehalten, da weiterhin Übertragungsrisiko. </w:t>
            </w:r>
          </w:p>
          <w:p>
            <w:pPr>
              <w:pStyle w:val="Listenabsatz"/>
              <w:ind w:left="453"/>
              <w:rPr>
                <w:sz w:val="22"/>
                <w:szCs w:val="22"/>
                <w:highlight w:val="yellow"/>
              </w:rPr>
            </w:pPr>
          </w:p>
          <w:p>
            <w:pPr>
              <w:rPr>
                <w:i/>
                <w:sz w:val="22"/>
                <w:szCs w:val="22"/>
              </w:rPr>
            </w:pPr>
            <w:proofErr w:type="spellStart"/>
            <w:r>
              <w:rPr>
                <w:i/>
                <w:sz w:val="22"/>
                <w:szCs w:val="22"/>
              </w:rPr>
              <w:t>To</w:t>
            </w:r>
            <w:proofErr w:type="spellEnd"/>
            <w:r>
              <w:rPr>
                <w:i/>
                <w:sz w:val="22"/>
                <w:szCs w:val="22"/>
              </w:rPr>
              <w:t xml:space="preserve"> Do1: Bitte um Rücksprache mit Kolleg*innen im europäischen Ausland bezüglich Regelung Umgang mit geimpften KP1 bei med. Personal.</w:t>
            </w:r>
          </w:p>
          <w:p>
            <w:pPr>
              <w:rPr>
                <w:i/>
                <w:sz w:val="22"/>
                <w:szCs w:val="22"/>
              </w:rPr>
            </w:pPr>
            <w:proofErr w:type="spellStart"/>
            <w:r>
              <w:rPr>
                <w:i/>
                <w:sz w:val="22"/>
                <w:szCs w:val="22"/>
              </w:rPr>
              <w:lastRenderedPageBreak/>
              <w:t>To</w:t>
            </w:r>
            <w:proofErr w:type="spellEnd"/>
            <w:r>
              <w:rPr>
                <w:i/>
                <w:sz w:val="22"/>
                <w:szCs w:val="22"/>
              </w:rPr>
              <w:t xml:space="preserve"> Do2: Bitte um Konsultation der Daten aus Zulassungsstudien der Impfstoffhersteller alsbald verfügbar, hierbei Bitte an Herrn Haller um Rücksprache mit Herrn Wichmann. </w:t>
            </w:r>
          </w:p>
          <w:p>
            <w:pPr>
              <w:rPr>
                <w:i/>
                <w:sz w:val="22"/>
                <w:szCs w:val="22"/>
              </w:rPr>
            </w:pPr>
            <w:proofErr w:type="spellStart"/>
            <w:r>
              <w:rPr>
                <w:i/>
                <w:sz w:val="22"/>
                <w:szCs w:val="22"/>
              </w:rPr>
              <w:t>To</w:t>
            </w:r>
            <w:proofErr w:type="spellEnd"/>
            <w:r>
              <w:rPr>
                <w:i/>
                <w:sz w:val="22"/>
                <w:szCs w:val="22"/>
              </w:rPr>
              <w:t xml:space="preserve"> Do3: Anschließend Bitte um Erstellung eines Änderungsentwurfs beider Dokumente („KP-Management“ und „Ergänzende Grundsätze der med. Versorgung“ – hierbei Bitte um Rücksprache mit FG14 im Vorfeld).</w:t>
            </w:r>
          </w:p>
          <w:p>
            <w:pPr>
              <w:pStyle w:val="Listenabsatz"/>
              <w:ind w:left="453"/>
              <w:rPr>
                <w:sz w:val="22"/>
                <w:szCs w:val="22"/>
              </w:rPr>
            </w:pPr>
          </w:p>
        </w:tc>
        <w:tc>
          <w:tcPr>
            <w:tcW w:w="1492" w:type="dxa"/>
          </w:tcPr>
          <w:p>
            <w:pPr>
              <w:rPr>
                <w:sz w:val="22"/>
                <w:szCs w:val="22"/>
              </w:rPr>
            </w:pPr>
          </w:p>
          <w:p>
            <w:pPr>
              <w:rPr>
                <w:sz w:val="22"/>
                <w:szCs w:val="22"/>
              </w:rPr>
            </w:pPr>
            <w:r>
              <w:rPr>
                <w:sz w:val="22"/>
                <w:szCs w:val="22"/>
              </w:rPr>
              <w:t xml:space="preserve">FG37 </w:t>
            </w:r>
          </w:p>
          <w:p>
            <w:pPr>
              <w:rPr>
                <w:sz w:val="22"/>
                <w:szCs w:val="22"/>
              </w:rPr>
            </w:pPr>
            <w:r>
              <w:rPr>
                <w:sz w:val="22"/>
                <w:szCs w:val="22"/>
              </w:rPr>
              <w:t>(Haller)</w:t>
            </w:r>
          </w:p>
          <w:p>
            <w:pPr>
              <w:rPr>
                <w:sz w:val="22"/>
                <w:szCs w:val="22"/>
              </w:rPr>
            </w:pPr>
          </w:p>
          <w:p>
            <w:pPr>
              <w:rPr>
                <w:sz w:val="22"/>
                <w:szCs w:val="22"/>
                <w:highlight w:val="yellow"/>
              </w:rPr>
            </w:pPr>
          </w:p>
          <w:p>
            <w:pPr>
              <w:rPr>
                <w:sz w:val="22"/>
                <w:szCs w:val="22"/>
              </w:rPr>
            </w:pPr>
            <w:proofErr w:type="spellStart"/>
            <w:r>
              <w:rPr>
                <w:sz w:val="22"/>
                <w:szCs w:val="22"/>
              </w:rPr>
              <w:t>VPraes</w:t>
            </w:r>
            <w:proofErr w:type="spellEnd"/>
            <w:r>
              <w:rPr>
                <w:sz w:val="22"/>
                <w:szCs w:val="22"/>
              </w:rPr>
              <w:t xml:space="preserve"> (Schaade)</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FG14</w:t>
            </w:r>
          </w:p>
          <w:p>
            <w:pPr>
              <w:rPr>
                <w:sz w:val="22"/>
                <w:szCs w:val="22"/>
              </w:rPr>
            </w:pPr>
            <w:r>
              <w:rPr>
                <w:sz w:val="22"/>
                <w:szCs w:val="22"/>
              </w:rPr>
              <w:t>(Arvand)</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 xml:space="preserve">(Haas)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 (Dürrwald)</w:t>
            </w: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53" w:hanging="340"/>
              <w:rPr>
                <w:sz w:val="22"/>
                <w:szCs w:val="22"/>
              </w:rPr>
            </w:pPr>
            <w:r>
              <w:t>Nicht besprochen</w:t>
            </w:r>
          </w:p>
          <w:p>
            <w:pPr>
              <w:rPr>
                <w:sz w:val="22"/>
                <w:szCs w:val="22"/>
              </w:rPr>
            </w:pPr>
          </w:p>
        </w:tc>
        <w:tc>
          <w:tcPr>
            <w:tcW w:w="1492" w:type="dxa"/>
          </w:tcPr>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rPr>
                <w:sz w:val="22"/>
              </w:rPr>
            </w:pPr>
            <w:r>
              <w:rPr>
                <w:b/>
                <w:sz w:val="22"/>
              </w:rPr>
              <w:t>NRZ Influenzaviren</w:t>
            </w:r>
            <w:r>
              <w:rPr>
                <w:sz w:val="22"/>
              </w:rPr>
              <w:t xml:space="preserve"> (Folien </w:t>
            </w:r>
            <w:hyperlink r:id="rId16" w:history="1">
              <w:r>
                <w:rPr>
                  <w:rStyle w:val="Hyperlink"/>
                  <w:sz w:val="22"/>
                </w:rPr>
                <w:t>hier</w:t>
              </w:r>
            </w:hyperlink>
            <w:r>
              <w:rPr>
                <w:sz w:val="22"/>
              </w:rPr>
              <w:t xml:space="preserve">): </w:t>
            </w:r>
          </w:p>
          <w:p>
            <w:pPr>
              <w:pStyle w:val="Listenabsatz"/>
              <w:numPr>
                <w:ilvl w:val="0"/>
                <w:numId w:val="5"/>
              </w:numPr>
              <w:ind w:left="453" w:hanging="340"/>
              <w:rPr>
                <w:sz w:val="22"/>
              </w:rPr>
            </w:pPr>
            <w:r>
              <w:rPr>
                <w:sz w:val="22"/>
              </w:rPr>
              <w:t xml:space="preserve">Derzeit deutlicher Rückgang der Einsendungen:  KW 52 – 71 Proben, KW 53 – 19 Proben; </w:t>
            </w:r>
          </w:p>
          <w:p>
            <w:pPr>
              <w:pStyle w:val="Listenabsatz"/>
              <w:numPr>
                <w:ilvl w:val="0"/>
                <w:numId w:val="5"/>
              </w:numPr>
              <w:ind w:left="453" w:hanging="340"/>
              <w:rPr>
                <w:sz w:val="22"/>
              </w:rPr>
            </w:pPr>
            <w:r>
              <w:rPr>
                <w:sz w:val="22"/>
              </w:rPr>
              <w:t xml:space="preserve">Weiterhin relativ hohe SARS-CoV-2-Nachweisraten von ca. 15 % in KW 52, bislang diese Woche ca. 5 %;  </w:t>
            </w:r>
          </w:p>
          <w:p>
            <w:pPr>
              <w:pStyle w:val="Listenabsatz"/>
              <w:numPr>
                <w:ilvl w:val="0"/>
                <w:numId w:val="5"/>
              </w:numPr>
              <w:ind w:left="453" w:hanging="340"/>
              <w:rPr>
                <w:sz w:val="22"/>
              </w:rPr>
            </w:pPr>
            <w:r>
              <w:rPr>
                <w:sz w:val="22"/>
              </w:rPr>
              <w:t xml:space="preserve">Kinetik: Lockdown scheint leichten Effekt auf </w:t>
            </w:r>
            <w:proofErr w:type="spellStart"/>
            <w:r>
              <w:rPr>
                <w:sz w:val="22"/>
              </w:rPr>
              <w:t>Rhinoviren</w:t>
            </w:r>
            <w:proofErr w:type="spellEnd"/>
            <w:r>
              <w:rPr>
                <w:sz w:val="22"/>
              </w:rPr>
              <w:t xml:space="preserve"> zu haben, Nachweisrate derzeit etwas rückläufig, jedoch nicht in dem Umfang des frühjährlichen Lockdowns;</w:t>
            </w:r>
          </w:p>
          <w:p>
            <w:pPr>
              <w:pStyle w:val="Listenabsatz"/>
              <w:numPr>
                <w:ilvl w:val="0"/>
                <w:numId w:val="5"/>
              </w:numPr>
              <w:ind w:left="453" w:hanging="340"/>
              <w:rPr>
                <w:sz w:val="22"/>
              </w:rPr>
            </w:pPr>
            <w:r>
              <w:rPr>
                <w:sz w:val="22"/>
              </w:rPr>
              <w:t>Angesichts der derzeitigen Nachweisraten und Effekte sind – auch hinsichtlich der Sprachfähigkeit zum 04.01. – die Schutz-</w:t>
            </w:r>
            <w:proofErr w:type="spellStart"/>
            <w:r>
              <w:rPr>
                <w:sz w:val="22"/>
              </w:rPr>
              <w:t>maßnahmen</w:t>
            </w:r>
            <w:proofErr w:type="spellEnd"/>
            <w:r>
              <w:rPr>
                <w:sz w:val="22"/>
              </w:rPr>
              <w:t xml:space="preserve"> weiterhin zu befürworten, ggf. sogar eine Lock-down-Verlängerung bis zur erfolgten Impfung vulnerabler Gruppen und dem Rückgang der Todesfallzahlen;</w:t>
            </w:r>
          </w:p>
          <w:p>
            <w:pPr>
              <w:pStyle w:val="Listenabsatz"/>
              <w:numPr>
                <w:ilvl w:val="0"/>
                <w:numId w:val="5"/>
              </w:numPr>
              <w:ind w:left="453" w:hanging="340"/>
              <w:rPr>
                <w:sz w:val="22"/>
              </w:rPr>
            </w:pPr>
            <w:r>
              <w:rPr>
                <w:sz w:val="22"/>
              </w:rPr>
              <w:t>Sequenzierung: diese Woche 30 Proben, befinden sich noch in Aufbereitung; Vorwoche: 1 Probe aus Viersen mit UK-Variante nachgewiesen.</w:t>
            </w:r>
          </w:p>
          <w:p>
            <w:pPr>
              <w:pStyle w:val="Listenabsatz"/>
              <w:ind w:left="453"/>
              <w:rPr>
                <w:sz w:val="22"/>
              </w:rPr>
            </w:pPr>
          </w:p>
          <w:p>
            <w:pPr>
              <w:ind w:left="113"/>
              <w:rPr>
                <w:b/>
                <w:sz w:val="22"/>
              </w:rPr>
            </w:pPr>
            <w:r>
              <w:rPr>
                <w:b/>
                <w:sz w:val="22"/>
              </w:rPr>
              <w:t>PCR-Ergebnisse – Hotspot-Proben</w:t>
            </w:r>
          </w:p>
          <w:p>
            <w:pPr>
              <w:pStyle w:val="Listenabsatz"/>
              <w:numPr>
                <w:ilvl w:val="0"/>
                <w:numId w:val="5"/>
              </w:numPr>
              <w:ind w:left="453" w:hanging="340"/>
              <w:rPr>
                <w:sz w:val="22"/>
              </w:rPr>
            </w:pPr>
            <w:r>
              <w:rPr>
                <w:sz w:val="22"/>
              </w:rPr>
              <w:t xml:space="preserve">Analyse von 54 Proben aus Gießen und Dresden hinsichtlich neuer Variante unter Verwendung von 4 </w:t>
            </w:r>
            <w:proofErr w:type="spellStart"/>
            <w:r>
              <w:rPr>
                <w:sz w:val="22"/>
              </w:rPr>
              <w:t>Referenzstrains</w:t>
            </w:r>
            <w:proofErr w:type="spellEnd"/>
            <w:r>
              <w:rPr>
                <w:sz w:val="22"/>
              </w:rPr>
              <w:t>;</w:t>
            </w:r>
          </w:p>
          <w:p>
            <w:pPr>
              <w:pStyle w:val="Listenabsatz"/>
              <w:numPr>
                <w:ilvl w:val="0"/>
                <w:numId w:val="5"/>
              </w:numPr>
              <w:ind w:left="453" w:hanging="340"/>
              <w:rPr>
                <w:sz w:val="22"/>
              </w:rPr>
            </w:pPr>
            <w:r>
              <w:rPr>
                <w:sz w:val="22"/>
              </w:rPr>
              <w:t xml:space="preserve">Davon 7 Proben negativ in S-Gen-PCR = typisch für UK-Variante;  </w:t>
            </w:r>
          </w:p>
          <w:p>
            <w:pPr>
              <w:pStyle w:val="Listenabsatz"/>
              <w:numPr>
                <w:ilvl w:val="0"/>
                <w:numId w:val="5"/>
              </w:numPr>
              <w:ind w:left="453" w:hanging="340"/>
              <w:rPr>
                <w:sz w:val="22"/>
              </w:rPr>
            </w:pPr>
            <w:r>
              <w:rPr>
                <w:sz w:val="22"/>
              </w:rPr>
              <w:t xml:space="preserve">Für die Übertragbarkeit der UK-Variante entscheidende Mutation 501Y hier jedoch nicht nachgewiesen; </w:t>
            </w:r>
          </w:p>
          <w:p>
            <w:pPr>
              <w:pStyle w:val="Listenabsatz"/>
              <w:numPr>
                <w:ilvl w:val="0"/>
                <w:numId w:val="5"/>
              </w:numPr>
              <w:ind w:left="453" w:hanging="340"/>
              <w:rPr>
                <w:sz w:val="22"/>
              </w:rPr>
            </w:pPr>
            <w:r>
              <w:rPr>
                <w:sz w:val="22"/>
              </w:rPr>
              <w:t>Mögliche Erklärungsansätze der S-Gen-PCR-Negativität:</w:t>
            </w:r>
          </w:p>
          <w:p>
            <w:pPr>
              <w:pStyle w:val="Listenabsatz"/>
              <w:numPr>
                <w:ilvl w:val="1"/>
                <w:numId w:val="5"/>
              </w:numPr>
              <w:ind w:left="1049" w:hanging="283"/>
              <w:rPr>
                <w:sz w:val="22"/>
              </w:rPr>
            </w:pPr>
            <w:r>
              <w:rPr>
                <w:sz w:val="22"/>
              </w:rPr>
              <w:t xml:space="preserve">Spezifität der S-Gen-Negativität könnte variieren, diese als Proxy nur in bestimmtem Zeitfenster zu verwenden, </w:t>
            </w:r>
            <w:proofErr w:type="spellStart"/>
            <w:r>
              <w:rPr>
                <w:sz w:val="22"/>
              </w:rPr>
              <w:t>mög-licherweise</w:t>
            </w:r>
            <w:proofErr w:type="spellEnd"/>
            <w:r>
              <w:rPr>
                <w:sz w:val="22"/>
              </w:rPr>
              <w:t xml:space="preserve"> andere Mutation;</w:t>
            </w:r>
          </w:p>
          <w:p>
            <w:pPr>
              <w:pStyle w:val="Listenabsatz"/>
              <w:numPr>
                <w:ilvl w:val="1"/>
                <w:numId w:val="5"/>
              </w:numPr>
              <w:ind w:left="1049" w:hanging="283"/>
              <w:rPr>
                <w:sz w:val="22"/>
              </w:rPr>
            </w:pPr>
            <w:r>
              <w:rPr>
                <w:sz w:val="22"/>
              </w:rPr>
              <w:t xml:space="preserve">Abhängigkeit vom </w:t>
            </w:r>
            <w:proofErr w:type="spellStart"/>
            <w:r>
              <w:rPr>
                <w:sz w:val="22"/>
              </w:rPr>
              <w:t>Primeransatz</w:t>
            </w:r>
            <w:proofErr w:type="spellEnd"/>
            <w:r>
              <w:rPr>
                <w:sz w:val="22"/>
              </w:rPr>
              <w:t xml:space="preserve">: in UK </w:t>
            </w:r>
            <w:proofErr w:type="spellStart"/>
            <w:r>
              <w:rPr>
                <w:sz w:val="22"/>
              </w:rPr>
              <w:t>Taqman</w:t>
            </w:r>
            <w:proofErr w:type="spellEnd"/>
            <w:r>
              <w:rPr>
                <w:sz w:val="22"/>
              </w:rPr>
              <w:t xml:space="preserve">-Primer von </w:t>
            </w:r>
            <w:proofErr w:type="spellStart"/>
            <w:r>
              <w:rPr>
                <w:sz w:val="22"/>
              </w:rPr>
              <w:t>ThermoFischer</w:t>
            </w:r>
            <w:proofErr w:type="spellEnd"/>
            <w:r>
              <w:rPr>
                <w:sz w:val="22"/>
              </w:rPr>
              <w:t xml:space="preserve"> verwendet, die an der </w:t>
            </w:r>
            <w:proofErr w:type="spellStart"/>
            <w:r>
              <w:rPr>
                <w:sz w:val="22"/>
              </w:rPr>
              <w:t>Deletionsstelle</w:t>
            </w:r>
            <w:proofErr w:type="spellEnd"/>
            <w:r>
              <w:rPr>
                <w:sz w:val="22"/>
              </w:rPr>
              <w:t xml:space="preserve"> binden </w:t>
            </w:r>
            <w:r>
              <w:sym w:font="Wingdings" w:char="F0E0"/>
            </w:r>
            <w:r>
              <w:rPr>
                <w:sz w:val="22"/>
              </w:rPr>
              <w:t xml:space="preserve"> Ausfall der PCR, wenn Deletion vorhanden (würden andere Primer verwendet, wäre dies nicht der Fall); </w:t>
            </w:r>
          </w:p>
          <w:p>
            <w:pPr>
              <w:pStyle w:val="Listenabsatz"/>
              <w:numPr>
                <w:ilvl w:val="1"/>
                <w:numId w:val="5"/>
              </w:numPr>
              <w:ind w:left="1049" w:hanging="283"/>
              <w:rPr>
                <w:sz w:val="22"/>
              </w:rPr>
            </w:pPr>
            <w:r>
              <w:rPr>
                <w:sz w:val="22"/>
              </w:rPr>
              <w:t xml:space="preserve">Für Proben aus Dresden </w:t>
            </w:r>
            <w:proofErr w:type="spellStart"/>
            <w:r>
              <w:rPr>
                <w:sz w:val="22"/>
              </w:rPr>
              <w:t>Primerkit</w:t>
            </w:r>
            <w:proofErr w:type="spellEnd"/>
            <w:r>
              <w:rPr>
                <w:sz w:val="22"/>
              </w:rPr>
              <w:t xml:space="preserve"> von Thermo-Fischer verwendet </w:t>
            </w:r>
            <w:r>
              <w:rPr>
                <w:sz w:val="22"/>
              </w:rPr>
              <w:sym w:font="Wingdings" w:char="F0E0"/>
            </w:r>
            <w:r>
              <w:rPr>
                <w:sz w:val="22"/>
              </w:rPr>
              <w:t xml:space="preserve"> kann S-Gen-PCR-Negativität dieser Proben erklären;</w:t>
            </w:r>
          </w:p>
          <w:p>
            <w:pPr>
              <w:pStyle w:val="Listenabsatz"/>
              <w:numPr>
                <w:ilvl w:val="0"/>
                <w:numId w:val="5"/>
              </w:numPr>
              <w:ind w:left="453" w:hanging="340"/>
              <w:rPr>
                <w:sz w:val="22"/>
              </w:rPr>
            </w:pPr>
            <w:r>
              <w:rPr>
                <w:sz w:val="22"/>
              </w:rPr>
              <w:t xml:space="preserve">In dieser Stichprobe aus den betroffenen Hotspots somit vorerst kein Nachweis der UK-Variante;  </w:t>
            </w:r>
          </w:p>
          <w:p>
            <w:pPr>
              <w:pStyle w:val="Listenabsatz"/>
              <w:numPr>
                <w:ilvl w:val="0"/>
                <w:numId w:val="5"/>
              </w:numPr>
              <w:ind w:left="453" w:hanging="340"/>
              <w:rPr>
                <w:sz w:val="22"/>
              </w:rPr>
            </w:pPr>
            <w:r>
              <w:rPr>
                <w:sz w:val="22"/>
              </w:rPr>
              <w:t>Veränderter Wirkmechanismus der in diesem Stichproben-umfang nachgewiesenen Mutation ist bislang nicht bekannt.</w:t>
            </w:r>
          </w:p>
          <w:p>
            <w:pPr>
              <w:ind w:left="113"/>
              <w:rPr>
                <w:sz w:val="22"/>
              </w:rPr>
            </w:pPr>
          </w:p>
          <w:p>
            <w:pPr>
              <w:rPr>
                <w:sz w:val="22"/>
              </w:rPr>
            </w:pPr>
            <w:r>
              <w:rPr>
                <w:b/>
                <w:sz w:val="22"/>
              </w:rPr>
              <w:lastRenderedPageBreak/>
              <w:t>Testzahlenerfassung für Lagebericht</w:t>
            </w:r>
            <w:r>
              <w:rPr>
                <w:sz w:val="22"/>
              </w:rPr>
              <w:t xml:space="preserve"> (Dokument </w:t>
            </w:r>
            <w:hyperlink r:id="rId17" w:history="1">
              <w:r>
                <w:rPr>
                  <w:rStyle w:val="Hyperlink"/>
                  <w:sz w:val="22"/>
                </w:rPr>
                <w:t>hier</w:t>
              </w:r>
            </w:hyperlink>
            <w:r>
              <w:rPr>
                <w:sz w:val="22"/>
              </w:rPr>
              <w:t xml:space="preserve">, Abschnitt gelb markiert und unten eingefügt) </w:t>
            </w:r>
          </w:p>
          <w:p>
            <w:pPr>
              <w:pStyle w:val="Listenabsatz"/>
              <w:numPr>
                <w:ilvl w:val="1"/>
                <w:numId w:val="14"/>
              </w:numPr>
              <w:ind w:left="482" w:hanging="283"/>
              <w:rPr>
                <w:i/>
                <w:sz w:val="22"/>
                <w:szCs w:val="22"/>
              </w:rPr>
            </w:pPr>
            <w:r>
              <w:rPr>
                <w:sz w:val="22"/>
                <w:szCs w:val="22"/>
              </w:rPr>
              <w:t xml:space="preserve">„In KW 52 wurden im Vergleich zu den Vorwochen deutlich weniger PCR-Tests durchgeführt. Es ist zu vermuten, dass dies </w:t>
            </w:r>
            <w:proofErr w:type="gramStart"/>
            <w:r>
              <w:rPr>
                <w:sz w:val="22"/>
                <w:szCs w:val="22"/>
              </w:rPr>
              <w:t>zum Einen</w:t>
            </w:r>
            <w:proofErr w:type="gramEnd"/>
            <w:r>
              <w:rPr>
                <w:sz w:val="22"/>
                <w:szCs w:val="22"/>
              </w:rPr>
              <w:t xml:space="preserve"> mit der Schließung vieler Arztpraxen, zum Anderen auch mit einer geringeren Frequenz von Arztbesuchen in den Feiertagswochen zu begründen ist. Daher ist auch anzunehmen, dass im Vergleich zu den Vorwochen eine geringere Anzahl von Personen mit leichter </w:t>
            </w:r>
            <w:proofErr w:type="gramStart"/>
            <w:r>
              <w:rPr>
                <w:sz w:val="22"/>
                <w:szCs w:val="22"/>
              </w:rPr>
              <w:t>bis mittelschwerer Symptomatik</w:t>
            </w:r>
            <w:proofErr w:type="gramEnd"/>
            <w:r>
              <w:rPr>
                <w:sz w:val="22"/>
                <w:szCs w:val="22"/>
              </w:rPr>
              <w:t xml:space="preserve"> und lediglich Personen mit deutlicher Symptomatik, während der Feiertage einen Arzt aufgesucht haben. </w:t>
            </w:r>
            <w:r>
              <w:rPr>
                <w:sz w:val="22"/>
                <w:szCs w:val="22"/>
                <w:u w:val="single"/>
              </w:rPr>
              <w:t>Es ist anzunehmen, dass sich dies</w:t>
            </w:r>
            <w:r>
              <w:rPr>
                <w:sz w:val="22"/>
                <w:szCs w:val="22"/>
              </w:rPr>
              <w:t xml:space="preserve"> </w:t>
            </w:r>
            <w:proofErr w:type="spellStart"/>
            <w:r>
              <w:rPr>
                <w:strike/>
                <w:sz w:val="22"/>
                <w:szCs w:val="22"/>
              </w:rPr>
              <w:t>Dies</w:t>
            </w:r>
            <w:proofErr w:type="spellEnd"/>
            <w:r>
              <w:rPr>
                <w:strike/>
                <w:sz w:val="22"/>
                <w:szCs w:val="22"/>
              </w:rPr>
              <w:t xml:space="preserve"> zeigt sich</w:t>
            </w:r>
            <w:r>
              <w:rPr>
                <w:sz w:val="22"/>
                <w:szCs w:val="22"/>
              </w:rPr>
              <w:t xml:space="preserve"> in den geringeren Testzahlen und in der erhöhten Positivquote </w:t>
            </w:r>
            <w:r>
              <w:rPr>
                <w:sz w:val="22"/>
                <w:szCs w:val="22"/>
                <w:u w:val="single"/>
              </w:rPr>
              <w:t>widerspiegelt</w:t>
            </w:r>
            <w:r>
              <w:rPr>
                <w:sz w:val="22"/>
                <w:szCs w:val="22"/>
              </w:rPr>
              <w:t>.“</w:t>
            </w:r>
          </w:p>
          <w:p>
            <w:pPr>
              <w:pStyle w:val="Listenabsatz"/>
              <w:numPr>
                <w:ilvl w:val="1"/>
                <w:numId w:val="14"/>
              </w:numPr>
              <w:ind w:left="482" w:hanging="283"/>
              <w:rPr>
                <w:i/>
                <w:sz w:val="22"/>
                <w:szCs w:val="22"/>
              </w:rPr>
            </w:pPr>
            <w:r>
              <w:rPr>
                <w:sz w:val="22"/>
                <w:szCs w:val="22"/>
              </w:rPr>
              <w:t>Interpretation ist notwendig, jedoch vorsichtigere Formulierung in letztem Satz gewählt, da positive AG-Schnelltests, die per PCR bestätigt werden, ebenfalls ursächlich sein könnten – die Auf-</w:t>
            </w:r>
            <w:proofErr w:type="spellStart"/>
            <w:r>
              <w:rPr>
                <w:sz w:val="22"/>
                <w:szCs w:val="22"/>
              </w:rPr>
              <w:t>nahme</w:t>
            </w:r>
            <w:proofErr w:type="spellEnd"/>
            <w:r>
              <w:rPr>
                <w:sz w:val="22"/>
                <w:szCs w:val="22"/>
              </w:rPr>
              <w:t xml:space="preserve"> dieser weiteren Begründung wird jedoch abgelehnt, da dies zu Spekulation verleiten könnte und diese „Bestätigungs-tests“ vermutlich eine untergeordnete Rolle spielen (cave: Unterscheidung zwischen Schnelltest in Testzentren – </w:t>
            </w:r>
            <w:proofErr w:type="spellStart"/>
            <w:r>
              <w:rPr>
                <w:sz w:val="22"/>
                <w:szCs w:val="22"/>
              </w:rPr>
              <w:t>vermut-lich</w:t>
            </w:r>
            <w:proofErr w:type="spellEnd"/>
            <w:r>
              <w:rPr>
                <w:sz w:val="22"/>
                <w:szCs w:val="22"/>
              </w:rPr>
              <w:t xml:space="preserve"> geringe </w:t>
            </w:r>
            <w:proofErr w:type="spellStart"/>
            <w:r>
              <w:rPr>
                <w:sz w:val="22"/>
                <w:szCs w:val="22"/>
              </w:rPr>
              <w:t>Positivenrate</w:t>
            </w:r>
            <w:proofErr w:type="spellEnd"/>
            <w:r>
              <w:rPr>
                <w:sz w:val="22"/>
                <w:szCs w:val="22"/>
              </w:rPr>
              <w:t xml:space="preserve"> – und Schnelltest in betreuten </w:t>
            </w:r>
            <w:proofErr w:type="spellStart"/>
            <w:r>
              <w:rPr>
                <w:sz w:val="22"/>
                <w:szCs w:val="22"/>
              </w:rPr>
              <w:t>Einrich-tungen</w:t>
            </w:r>
            <w:proofErr w:type="spellEnd"/>
            <w:r>
              <w:rPr>
                <w:sz w:val="22"/>
                <w:szCs w:val="22"/>
              </w:rPr>
              <w:t xml:space="preserve"> – hierzu derzeit Abfrage laufend, vermutlich kein </w:t>
            </w:r>
            <w:proofErr w:type="spellStart"/>
            <w:r>
              <w:rPr>
                <w:sz w:val="22"/>
                <w:szCs w:val="22"/>
              </w:rPr>
              <w:t>Ergeb-nis</w:t>
            </w:r>
            <w:proofErr w:type="spellEnd"/>
            <w:r>
              <w:rPr>
                <w:sz w:val="22"/>
                <w:szCs w:val="22"/>
              </w:rPr>
              <w:t xml:space="preserve"> vor dem 04.01.)</w:t>
            </w:r>
          </w:p>
          <w:p>
            <w:pPr>
              <w:pStyle w:val="Listenabsatz"/>
              <w:ind w:left="907"/>
              <w:rPr>
                <w:i/>
                <w:sz w:val="22"/>
                <w:szCs w:val="22"/>
                <w:highlight w:val="yellow"/>
              </w:rPr>
            </w:pPr>
          </w:p>
        </w:tc>
        <w:tc>
          <w:tcPr>
            <w:tcW w:w="1492" w:type="dxa"/>
          </w:tcPr>
          <w:p>
            <w:pPr>
              <w:rPr>
                <w:sz w:val="22"/>
                <w:szCs w:val="22"/>
              </w:rPr>
            </w:pPr>
          </w:p>
          <w:p>
            <w:pPr>
              <w:rPr>
                <w:sz w:val="22"/>
                <w:szCs w:val="22"/>
              </w:rPr>
            </w:pPr>
            <w:r>
              <w:rPr>
                <w:sz w:val="22"/>
                <w:szCs w:val="22"/>
              </w:rPr>
              <w:t xml:space="preserve">FG17 </w:t>
            </w:r>
          </w:p>
          <w:p>
            <w:pPr>
              <w:rPr>
                <w:sz w:val="22"/>
                <w:szCs w:val="22"/>
              </w:rPr>
            </w:pPr>
            <w:r>
              <w:rPr>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p>
            <w:pPr>
              <w:rPr>
                <w:sz w:val="22"/>
                <w:szCs w:val="22"/>
              </w:rPr>
            </w:pPr>
            <w:r>
              <w:rPr>
                <w:sz w:val="22"/>
                <w:szCs w:val="22"/>
              </w:rPr>
              <w:t>(Krause)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 xml:space="preserve">Abt. 3 </w:t>
            </w:r>
          </w:p>
          <w:p>
            <w:pPr>
              <w:rPr>
                <w:sz w:val="22"/>
                <w:szCs w:val="22"/>
              </w:rPr>
            </w:pPr>
            <w:r>
              <w:rPr>
                <w:sz w:val="22"/>
                <w:szCs w:val="22"/>
              </w:rPr>
              <w:t>(Hamouda)</w:t>
            </w:r>
          </w:p>
        </w:tc>
      </w:tr>
      <w:tr>
        <w:tc>
          <w:tcPr>
            <w:tcW w:w="684" w:type="dxa"/>
          </w:tcPr>
          <w:p>
            <w:pPr>
              <w:rPr>
                <w:b/>
              </w:rPr>
            </w:pPr>
            <w:r>
              <w:rPr>
                <w:b/>
              </w:rPr>
              <w:lastRenderedPageBreak/>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 xml:space="preserve">Dokument zu </w:t>
            </w:r>
            <w:proofErr w:type="spellStart"/>
            <w:r>
              <w:rPr>
                <w:sz w:val="22"/>
                <w:szCs w:val="22"/>
              </w:rPr>
              <w:t>Entlasskriterien</w:t>
            </w:r>
            <w:proofErr w:type="spellEnd"/>
            <w:r>
              <w:rPr>
                <w:sz w:val="22"/>
                <w:szCs w:val="22"/>
              </w:rPr>
              <w:t xml:space="preserve"> seit gestern online;</w:t>
            </w:r>
          </w:p>
          <w:p>
            <w:pPr>
              <w:pStyle w:val="Listenabsatz"/>
              <w:numPr>
                <w:ilvl w:val="0"/>
                <w:numId w:val="5"/>
              </w:numPr>
              <w:ind w:left="453" w:hanging="340"/>
              <w:rPr>
                <w:sz w:val="22"/>
                <w:szCs w:val="22"/>
              </w:rPr>
            </w:pPr>
            <w:r>
              <w:rPr>
                <w:sz w:val="22"/>
                <w:szCs w:val="22"/>
              </w:rPr>
              <w:t>Voranfrage Thüringen zur überregionalen Verlegung von COVID-19-Normalpatienten (nicht-ITS), da Kapazitäten derzeit nahezu ausgeschöpft – Sitzung Steuerungsgremien dazu (Strategie Patientenverlegung).</w:t>
            </w:r>
          </w:p>
          <w:p>
            <w:pPr>
              <w:rPr>
                <w:sz w:val="22"/>
                <w:szCs w:val="22"/>
              </w:rPr>
            </w:pPr>
          </w:p>
        </w:tc>
        <w:tc>
          <w:tcPr>
            <w:tcW w:w="1492" w:type="dxa"/>
          </w:tcPr>
          <w:p>
            <w:pPr>
              <w:rPr>
                <w:sz w:val="22"/>
                <w:szCs w:val="22"/>
              </w:rPr>
            </w:pPr>
          </w:p>
          <w:p>
            <w:pPr>
              <w:rPr>
                <w:sz w:val="22"/>
                <w:szCs w:val="22"/>
              </w:rPr>
            </w:pPr>
            <w:r>
              <w:rPr>
                <w:sz w:val="22"/>
                <w:szCs w:val="22"/>
              </w:rPr>
              <w:t>IBBS</w:t>
            </w:r>
          </w:p>
          <w:p>
            <w:pPr>
              <w:rPr>
                <w:sz w:val="22"/>
                <w:szCs w:val="22"/>
              </w:rPr>
            </w:pPr>
            <w:r>
              <w:rPr>
                <w:sz w:val="22"/>
                <w:szCs w:val="22"/>
              </w:rPr>
              <w:t>(Schulz-Weidhaas)</w:t>
            </w: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rPr>
                <w:sz w:val="22"/>
                <w:szCs w:val="22"/>
              </w:rPr>
            </w:pPr>
            <w:r>
              <w:rPr>
                <w:sz w:val="22"/>
                <w:szCs w:val="22"/>
              </w:rPr>
              <w:t xml:space="preserve">Anfrage zum Umgang mit KP1 nach möglicher </w:t>
            </w:r>
            <w:r>
              <w:rPr>
                <w:sz w:val="22"/>
                <w:szCs w:val="22"/>
                <w:u w:val="single"/>
              </w:rPr>
              <w:t>Re</w:t>
            </w:r>
            <w:r>
              <w:rPr>
                <w:sz w:val="22"/>
                <w:szCs w:val="22"/>
              </w:rPr>
              <w:t>infektion mit neuer UK-Variante</w:t>
            </w:r>
          </w:p>
          <w:p>
            <w:pPr>
              <w:pStyle w:val="Listenabsatz"/>
              <w:numPr>
                <w:ilvl w:val="0"/>
                <w:numId w:val="5"/>
              </w:numPr>
              <w:ind w:left="453" w:hanging="340"/>
              <w:rPr>
                <w:sz w:val="22"/>
                <w:szCs w:val="22"/>
              </w:rPr>
            </w:pPr>
            <w:r>
              <w:rPr>
                <w:sz w:val="22"/>
                <w:szCs w:val="22"/>
              </w:rPr>
              <w:t>Derzeit allgemeingültige Umgangshinweise zu KP1</w:t>
            </w:r>
          </w:p>
          <w:p>
            <w:pPr>
              <w:pStyle w:val="Listenabsatz"/>
              <w:numPr>
                <w:ilvl w:val="0"/>
                <w:numId w:val="5"/>
              </w:numPr>
              <w:ind w:left="453" w:hanging="340"/>
              <w:rPr>
                <w:sz w:val="22"/>
                <w:szCs w:val="22"/>
              </w:rPr>
            </w:pPr>
            <w:r>
              <w:rPr>
                <w:sz w:val="22"/>
                <w:szCs w:val="22"/>
              </w:rPr>
              <w:t>Grundsätzlich keine Empfehlungsänderung zunächst unter der Annahme, dass sich diese neue Variante nicht anders verhält, bspw. hinsichtlich Infektionsbegünstigung;</w:t>
            </w:r>
          </w:p>
          <w:p>
            <w:pPr>
              <w:pStyle w:val="Listenabsatz"/>
              <w:numPr>
                <w:ilvl w:val="0"/>
                <w:numId w:val="5"/>
              </w:numPr>
              <w:ind w:left="453" w:hanging="340"/>
              <w:rPr>
                <w:sz w:val="22"/>
                <w:szCs w:val="22"/>
              </w:rPr>
            </w:pPr>
            <w:r>
              <w:rPr>
                <w:sz w:val="22"/>
                <w:szCs w:val="22"/>
              </w:rPr>
              <w:t xml:space="preserve">Überprüfung nötig, bspw. als intensivierte Umgebungsunter-suchung, um Datengrundlage für umfassende Studie zu stellen;  </w:t>
            </w:r>
          </w:p>
          <w:p>
            <w:pPr>
              <w:pStyle w:val="Listenabsatz"/>
              <w:numPr>
                <w:ilvl w:val="0"/>
                <w:numId w:val="5"/>
              </w:numPr>
              <w:ind w:left="453" w:hanging="340"/>
              <w:rPr>
                <w:sz w:val="22"/>
                <w:szCs w:val="22"/>
              </w:rPr>
            </w:pPr>
            <w:r>
              <w:rPr>
                <w:sz w:val="22"/>
                <w:szCs w:val="22"/>
              </w:rPr>
              <w:t xml:space="preserve">Proben sollen als Diagnostikproben an ZBS1 geschickt werden. </w:t>
            </w:r>
          </w:p>
          <w:p>
            <w:pPr>
              <w:pStyle w:val="Listenabsatz"/>
              <w:ind w:left="453"/>
            </w:pPr>
          </w:p>
        </w:tc>
        <w:tc>
          <w:tcPr>
            <w:tcW w:w="1492" w:type="dxa"/>
          </w:tcPr>
          <w:p>
            <w:pPr>
              <w:rPr>
                <w:sz w:val="22"/>
                <w:szCs w:val="22"/>
              </w:rPr>
            </w:pPr>
          </w:p>
          <w:p>
            <w:pPr>
              <w:rPr>
                <w:sz w:val="22"/>
                <w:szCs w:val="22"/>
              </w:rPr>
            </w:pPr>
            <w:r>
              <w:rPr>
                <w:sz w:val="22"/>
                <w:szCs w:val="22"/>
              </w:rPr>
              <w:t>FG36</w:t>
            </w:r>
          </w:p>
          <w:p>
            <w:pPr>
              <w:rPr>
                <w:sz w:val="22"/>
                <w:szCs w:val="22"/>
              </w:rPr>
            </w:pPr>
            <w:r>
              <w:rPr>
                <w:sz w:val="22"/>
                <w:szCs w:val="22"/>
              </w:rPr>
              <w:t>(Haas)</w:t>
            </w:r>
          </w:p>
          <w:p>
            <w:pPr>
              <w:rPr>
                <w:sz w:val="22"/>
                <w:szCs w:val="22"/>
              </w:rPr>
            </w:pPr>
            <w:r>
              <w:rPr>
                <w:sz w:val="22"/>
                <w:szCs w:val="22"/>
              </w:rPr>
              <w:t xml:space="preserve">ZBS1 </w:t>
            </w:r>
          </w:p>
          <w:p>
            <w:pPr>
              <w:rPr>
                <w:sz w:val="22"/>
                <w:szCs w:val="22"/>
              </w:rPr>
            </w:pPr>
            <w:r>
              <w:rPr>
                <w:sz w:val="22"/>
                <w:szCs w:val="22"/>
              </w:rPr>
              <w:t>(Krause)</w:t>
            </w: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szCs w:val="22"/>
              </w:rPr>
            </w:pPr>
            <w:r>
              <w:t xml:space="preserve"> </w:t>
            </w:r>
            <w:r>
              <w:rPr>
                <w:sz w:val="22"/>
                <w:szCs w:val="22"/>
              </w:rPr>
              <w:t xml:space="preserve">Nicht besprochen </w:t>
            </w:r>
          </w:p>
          <w:p>
            <w:pPr>
              <w:ind w:left="113"/>
              <w:rPr>
                <w:sz w:val="22"/>
              </w:rPr>
            </w:pP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p>
          <w:p>
            <w:pPr>
              <w:pStyle w:val="Listenabsatz"/>
              <w:numPr>
                <w:ilvl w:val="0"/>
                <w:numId w:val="5"/>
              </w:numPr>
              <w:ind w:left="453" w:hanging="340"/>
              <w:rPr>
                <w:sz w:val="22"/>
              </w:rPr>
            </w:pPr>
            <w:r>
              <w:rPr>
                <w:sz w:val="22"/>
              </w:rPr>
              <w:t xml:space="preserve">Derzeit Reiseverbote UK und Südafrika, ab 01.01. Rückreise aus diesen Gebieten möglich sofern Meldung beim BMI erfolgt, Rechtsverordnung gilt bis zum 06.01.2021; </w:t>
            </w:r>
          </w:p>
          <w:p>
            <w:pPr>
              <w:pStyle w:val="Listenabsatz"/>
              <w:numPr>
                <w:ilvl w:val="0"/>
                <w:numId w:val="5"/>
              </w:numPr>
              <w:ind w:left="453" w:hanging="340"/>
              <w:rPr>
                <w:sz w:val="22"/>
              </w:rPr>
            </w:pPr>
            <w:r>
              <w:rPr>
                <w:sz w:val="22"/>
              </w:rPr>
              <w:lastRenderedPageBreak/>
              <w:t>DEA (Digitale Einreiseanmeldung): 332 von 376 Gesundheits-ämtern derzeit angeschlossen (88 %), ca. 13.000 Anmeldungen pro Tag, Tageshöchstwert bislang knapp 24.000;</w:t>
            </w:r>
          </w:p>
          <w:p>
            <w:pPr>
              <w:pStyle w:val="Listenabsatz"/>
              <w:numPr>
                <w:ilvl w:val="0"/>
                <w:numId w:val="5"/>
              </w:numPr>
              <w:ind w:left="453" w:hanging="340"/>
              <w:rPr>
                <w:sz w:val="22"/>
              </w:rPr>
            </w:pPr>
            <w:r>
              <w:rPr>
                <w:sz w:val="22"/>
              </w:rPr>
              <w:t xml:space="preserve">Clearingstellen: derzeit ca. 600 Einträge pro Tag, die nicht </w:t>
            </w:r>
            <w:r>
              <w:rPr>
                <w:i/>
                <w:sz w:val="22"/>
              </w:rPr>
              <w:t>ad hoc</w:t>
            </w:r>
            <w:r>
              <w:rPr>
                <w:sz w:val="22"/>
              </w:rPr>
              <w:t xml:space="preserve"> den Gesundheitsämtern zugeordnet werden können, Abarbeitung prospektiv über Unterauftragsvergabe seitens Bundesdruckerei möglich.</w:t>
            </w:r>
          </w:p>
          <w:p>
            <w:pPr>
              <w:ind w:left="113"/>
              <w:rPr>
                <w:sz w:val="22"/>
              </w:rPr>
            </w:pPr>
          </w:p>
        </w:tc>
        <w:tc>
          <w:tcPr>
            <w:tcW w:w="1492" w:type="dxa"/>
          </w:tcPr>
          <w:p>
            <w:pPr>
              <w:rPr>
                <w:sz w:val="22"/>
                <w:szCs w:val="22"/>
              </w:rPr>
            </w:pPr>
          </w:p>
          <w:p>
            <w:pPr>
              <w:rPr>
                <w:sz w:val="22"/>
                <w:szCs w:val="22"/>
              </w:rPr>
            </w:pPr>
            <w:r>
              <w:rPr>
                <w:sz w:val="22"/>
                <w:szCs w:val="22"/>
              </w:rPr>
              <w:t>FG38</w:t>
            </w:r>
          </w:p>
          <w:p>
            <w:pPr>
              <w:rPr>
                <w:sz w:val="22"/>
                <w:szCs w:val="22"/>
              </w:rPr>
            </w:pPr>
            <w:r>
              <w:rPr>
                <w:sz w:val="22"/>
                <w:szCs w:val="22"/>
              </w:rPr>
              <w:t>(</w:t>
            </w:r>
            <w:proofErr w:type="gramStart"/>
            <w:r>
              <w:rPr>
                <w:sz w:val="22"/>
                <w:szCs w:val="22"/>
              </w:rPr>
              <w:t>an der Heiden</w:t>
            </w:r>
            <w:proofErr w:type="gramEnd"/>
            <w:r>
              <w:rPr>
                <w:sz w:val="22"/>
                <w:szCs w:val="22"/>
              </w:rPr>
              <w:t>)</w:t>
            </w: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p>
          <w:p>
            <w:pPr>
              <w:pStyle w:val="Listenabsatz"/>
              <w:numPr>
                <w:ilvl w:val="0"/>
                <w:numId w:val="5"/>
              </w:numPr>
              <w:ind w:left="453" w:hanging="340"/>
              <w:rPr>
                <w:sz w:val="22"/>
                <w:szCs w:val="22"/>
              </w:rPr>
            </w:pPr>
            <w:r>
              <w:rPr>
                <w:sz w:val="22"/>
                <w:szCs w:val="22"/>
              </w:rPr>
              <w:t>Derzeit relativ gut tragbare Arbeitslast</w:t>
            </w:r>
          </w:p>
          <w:p>
            <w:pPr>
              <w:rPr>
                <w:sz w:val="22"/>
                <w:szCs w:val="22"/>
              </w:rPr>
            </w:pPr>
          </w:p>
        </w:tc>
        <w:tc>
          <w:tcPr>
            <w:tcW w:w="1492" w:type="dxa"/>
          </w:tcPr>
          <w:p>
            <w:pPr>
              <w:rPr>
                <w:sz w:val="22"/>
                <w:szCs w:val="22"/>
              </w:rPr>
            </w:pPr>
          </w:p>
          <w:p>
            <w:pPr>
              <w:rPr>
                <w:sz w:val="22"/>
                <w:szCs w:val="22"/>
              </w:rPr>
            </w:pPr>
            <w:r>
              <w:rPr>
                <w:sz w:val="22"/>
                <w:szCs w:val="22"/>
              </w:rPr>
              <w:t>FG38</w:t>
            </w:r>
          </w:p>
          <w:p>
            <w:pPr>
              <w:rPr>
                <w:sz w:val="22"/>
                <w:szCs w:val="22"/>
              </w:rPr>
            </w:pPr>
            <w:r>
              <w:rPr>
                <w:sz w:val="22"/>
                <w:szCs w:val="22"/>
              </w:rPr>
              <w:t>(</w:t>
            </w:r>
            <w:proofErr w:type="gramStart"/>
            <w:r>
              <w:rPr>
                <w:sz w:val="22"/>
                <w:szCs w:val="22"/>
              </w:rPr>
              <w:t>an der Heiden</w:t>
            </w:r>
            <w:proofErr w:type="gramEnd"/>
            <w:r>
              <w:rPr>
                <w:sz w:val="22"/>
                <w:szCs w:val="22"/>
              </w:rPr>
              <w:t>)</w:t>
            </w: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rPr>
            </w:pPr>
            <w:r>
              <w:rPr>
                <w:sz w:val="22"/>
                <w:szCs w:val="22"/>
              </w:rPr>
              <w:t>05.01.2020: Schalte Bundeskanzlerin und Regierungschefs</w:t>
            </w:r>
          </w:p>
          <w:p>
            <w:pPr>
              <w:ind w:left="113"/>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w:t>
            </w:r>
            <w:r>
              <w:t>Montag 04.01.2021, 13:00</w:t>
            </w:r>
            <w:r>
              <w:rPr>
                <w:sz w:val="22"/>
                <w:szCs w:val="22"/>
              </w:rPr>
              <w:t xml:space="preserve">,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sectPr>
      <w:headerReference w:type="even" r:id="rId18"/>
      <w:headerReference w:type="default" r:id="rId19"/>
      <w:footerReference w:type="even" r:id="rId20"/>
      <w:footerReference w:type="default" r:id="rId21"/>
      <w:headerReference w:type="first" r:id="rId22"/>
      <w:footerReference w:type="first" r:id="rId23"/>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                                                                                                                          </w:t>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9A4EDE"/>
    <w:multiLevelType w:val="hybridMultilevel"/>
    <w:tmpl w:val="D19833DA"/>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B397807"/>
    <w:multiLevelType w:val="hybridMultilevel"/>
    <w:tmpl w:val="BD028C3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E66A8C"/>
    <w:multiLevelType w:val="hybridMultilevel"/>
    <w:tmpl w:val="82022E3C"/>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437F24FC"/>
    <w:multiLevelType w:val="hybridMultilevel"/>
    <w:tmpl w:val="20BA03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403638E"/>
    <w:multiLevelType w:val="hybridMultilevel"/>
    <w:tmpl w:val="B6C2A5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BCA56AF"/>
    <w:multiLevelType w:val="hybridMultilevel"/>
    <w:tmpl w:val="53BCC4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843285"/>
    <w:multiLevelType w:val="hybridMultilevel"/>
    <w:tmpl w:val="885227DC"/>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5CA560D8"/>
    <w:multiLevelType w:val="hybridMultilevel"/>
    <w:tmpl w:val="0FE2A49E"/>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63835EE9"/>
    <w:multiLevelType w:val="hybridMultilevel"/>
    <w:tmpl w:val="9732EB8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2823A83"/>
    <w:multiLevelType w:val="hybridMultilevel"/>
    <w:tmpl w:val="C0921500"/>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740072BE"/>
    <w:multiLevelType w:val="hybridMultilevel"/>
    <w:tmpl w:val="F85CA2B8"/>
    <w:lvl w:ilvl="0" w:tplc="04070005">
      <w:start w:val="1"/>
      <w:numFmt w:val="bullet"/>
      <w:lvlText w:val=""/>
      <w:lvlJc w:val="left"/>
      <w:pPr>
        <w:ind w:left="1080" w:hanging="360"/>
      </w:pPr>
      <w:rPr>
        <w:rFonts w:ascii="Wingdings" w:hAnsi="Wingdings"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7EAF5C38"/>
    <w:multiLevelType w:val="hybridMultilevel"/>
    <w:tmpl w:val="1108BAC4"/>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num w:numId="1">
    <w:abstractNumId w:val="4"/>
  </w:num>
  <w:num w:numId="2">
    <w:abstractNumId w:val="1"/>
  </w:num>
  <w:num w:numId="3">
    <w:abstractNumId w:val="0"/>
  </w:num>
  <w:num w:numId="4">
    <w:abstractNumId w:val="9"/>
  </w:num>
  <w:num w:numId="5">
    <w:abstractNumId w:val="3"/>
  </w:num>
  <w:num w:numId="6">
    <w:abstractNumId w:val="12"/>
  </w:num>
  <w:num w:numId="7">
    <w:abstractNumId w:val="6"/>
  </w:num>
  <w:num w:numId="8">
    <w:abstractNumId w:val="8"/>
  </w:num>
  <w:num w:numId="9">
    <w:abstractNumId w:val="7"/>
  </w:num>
  <w:num w:numId="10">
    <w:abstractNumId w:val="10"/>
  </w:num>
  <w:num w:numId="11">
    <w:abstractNumId w:val="16"/>
  </w:num>
  <w:num w:numId="12">
    <w:abstractNumId w:val="14"/>
  </w:num>
  <w:num w:numId="13">
    <w:abstractNumId w:val="17"/>
  </w:num>
  <w:num w:numId="14">
    <w:abstractNumId w:val="15"/>
  </w:num>
  <w:num w:numId="15">
    <w:abstractNumId w:val="13"/>
  </w:num>
  <w:num w:numId="16">
    <w:abstractNumId w:val="11"/>
  </w:num>
  <w:num w:numId="17">
    <w:abstractNumId w:val="5"/>
  </w:num>
  <w:num w:numId="1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 w:type="character" w:customStyle="1" w:styleId="highlight">
    <w:name w:val="highlight"/>
    <w:basedOn w:val="Absatz-Standardschriftart"/>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4770">
      <w:bodyDiv w:val="1"/>
      <w:marLeft w:val="0"/>
      <w:marRight w:val="0"/>
      <w:marTop w:val="0"/>
      <w:marBottom w:val="0"/>
      <w:divBdr>
        <w:top w:val="none" w:sz="0" w:space="0" w:color="auto"/>
        <w:left w:val="none" w:sz="0" w:space="0" w:color="auto"/>
        <w:bottom w:val="none" w:sz="0" w:space="0" w:color="auto"/>
        <w:right w:val="none" w:sz="0" w:space="0" w:color="auto"/>
      </w:divBdr>
      <w:divsChild>
        <w:div w:id="203296117">
          <w:marLeft w:val="547"/>
          <w:marRight w:val="0"/>
          <w:marTop w:val="86"/>
          <w:marBottom w:val="0"/>
          <w:divBdr>
            <w:top w:val="none" w:sz="0" w:space="0" w:color="auto"/>
            <w:left w:val="none" w:sz="0" w:space="0" w:color="auto"/>
            <w:bottom w:val="none" w:sz="0" w:space="0" w:color="auto"/>
            <w:right w:val="none" w:sz="0" w:space="0" w:color="auto"/>
          </w:divBdr>
        </w:div>
        <w:div w:id="1239055541">
          <w:marLeft w:val="547"/>
          <w:marRight w:val="0"/>
          <w:marTop w:val="86"/>
          <w:marBottom w:val="0"/>
          <w:divBdr>
            <w:top w:val="none" w:sz="0" w:space="0" w:color="auto"/>
            <w:left w:val="none" w:sz="0" w:space="0" w:color="auto"/>
            <w:bottom w:val="none" w:sz="0" w:space="0" w:color="auto"/>
            <w:right w:val="none" w:sz="0" w:space="0" w:color="auto"/>
          </w:divBdr>
        </w:div>
        <w:div w:id="1479491782">
          <w:marLeft w:val="547"/>
          <w:marRight w:val="0"/>
          <w:marTop w:val="86"/>
          <w:marBottom w:val="0"/>
          <w:divBdr>
            <w:top w:val="none" w:sz="0" w:space="0" w:color="auto"/>
            <w:left w:val="none" w:sz="0" w:space="0" w:color="auto"/>
            <w:bottom w:val="none" w:sz="0" w:space="0" w:color="auto"/>
            <w:right w:val="none" w:sz="0" w:space="0" w:color="auto"/>
          </w:divBdr>
        </w:div>
      </w:divsChild>
    </w:div>
    <w:div w:id="49227818">
      <w:bodyDiv w:val="1"/>
      <w:marLeft w:val="0"/>
      <w:marRight w:val="0"/>
      <w:marTop w:val="0"/>
      <w:marBottom w:val="0"/>
      <w:divBdr>
        <w:top w:val="none" w:sz="0" w:space="0" w:color="auto"/>
        <w:left w:val="none" w:sz="0" w:space="0" w:color="auto"/>
        <w:bottom w:val="none" w:sz="0" w:space="0" w:color="auto"/>
        <w:right w:val="none" w:sz="0" w:space="0" w:color="auto"/>
      </w:divBdr>
    </w:div>
    <w:div w:id="148134045">
      <w:bodyDiv w:val="1"/>
      <w:marLeft w:val="0"/>
      <w:marRight w:val="0"/>
      <w:marTop w:val="0"/>
      <w:marBottom w:val="0"/>
      <w:divBdr>
        <w:top w:val="none" w:sz="0" w:space="0" w:color="auto"/>
        <w:left w:val="none" w:sz="0" w:space="0" w:color="auto"/>
        <w:bottom w:val="none" w:sz="0" w:space="0" w:color="auto"/>
        <w:right w:val="none" w:sz="0" w:space="0" w:color="auto"/>
      </w:divBdr>
      <w:divsChild>
        <w:div w:id="1924872680">
          <w:marLeft w:val="547"/>
          <w:marRight w:val="0"/>
          <w:marTop w:val="86"/>
          <w:marBottom w:val="0"/>
          <w:divBdr>
            <w:top w:val="none" w:sz="0" w:space="0" w:color="auto"/>
            <w:left w:val="none" w:sz="0" w:space="0" w:color="auto"/>
            <w:bottom w:val="none" w:sz="0" w:space="0" w:color="auto"/>
            <w:right w:val="none" w:sz="0" w:space="0" w:color="auto"/>
          </w:divBdr>
        </w:div>
        <w:div w:id="282927326">
          <w:marLeft w:val="547"/>
          <w:marRight w:val="0"/>
          <w:marTop w:val="86"/>
          <w:marBottom w:val="0"/>
          <w:divBdr>
            <w:top w:val="none" w:sz="0" w:space="0" w:color="auto"/>
            <w:left w:val="none" w:sz="0" w:space="0" w:color="auto"/>
            <w:bottom w:val="none" w:sz="0" w:space="0" w:color="auto"/>
            <w:right w:val="none" w:sz="0" w:space="0" w:color="auto"/>
          </w:divBdr>
        </w:div>
      </w:divsChild>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87665385">
      <w:bodyDiv w:val="1"/>
      <w:marLeft w:val="0"/>
      <w:marRight w:val="0"/>
      <w:marTop w:val="0"/>
      <w:marBottom w:val="0"/>
      <w:divBdr>
        <w:top w:val="none" w:sz="0" w:space="0" w:color="auto"/>
        <w:left w:val="none" w:sz="0" w:space="0" w:color="auto"/>
        <w:bottom w:val="none" w:sz="0" w:space="0" w:color="auto"/>
        <w:right w:val="none" w:sz="0" w:space="0" w:color="auto"/>
      </w:divBdr>
      <w:divsChild>
        <w:div w:id="1087582215">
          <w:marLeft w:val="547"/>
          <w:marRight w:val="0"/>
          <w:marTop w:val="96"/>
          <w:marBottom w:val="0"/>
          <w:divBdr>
            <w:top w:val="none" w:sz="0" w:space="0" w:color="auto"/>
            <w:left w:val="none" w:sz="0" w:space="0" w:color="auto"/>
            <w:bottom w:val="none" w:sz="0" w:space="0" w:color="auto"/>
            <w:right w:val="none" w:sz="0" w:space="0" w:color="auto"/>
          </w:divBdr>
        </w:div>
        <w:div w:id="236717235">
          <w:marLeft w:val="547"/>
          <w:marRight w:val="0"/>
          <w:marTop w:val="96"/>
          <w:marBottom w:val="0"/>
          <w:divBdr>
            <w:top w:val="none" w:sz="0" w:space="0" w:color="auto"/>
            <w:left w:val="none" w:sz="0" w:space="0" w:color="auto"/>
            <w:bottom w:val="none" w:sz="0" w:space="0" w:color="auto"/>
            <w:right w:val="none" w:sz="0" w:space="0" w:color="auto"/>
          </w:divBdr>
        </w:div>
        <w:div w:id="1451319767">
          <w:marLeft w:val="547"/>
          <w:marRight w:val="0"/>
          <w:marTop w:val="96"/>
          <w:marBottom w:val="0"/>
          <w:divBdr>
            <w:top w:val="none" w:sz="0" w:space="0" w:color="auto"/>
            <w:left w:val="none" w:sz="0" w:space="0" w:color="auto"/>
            <w:bottom w:val="none" w:sz="0" w:space="0" w:color="auto"/>
            <w:right w:val="none" w:sz="0" w:space="0" w:color="auto"/>
          </w:divBdr>
        </w:div>
      </w:divsChild>
    </w:div>
    <w:div w:id="339623451">
      <w:bodyDiv w:val="1"/>
      <w:marLeft w:val="0"/>
      <w:marRight w:val="0"/>
      <w:marTop w:val="0"/>
      <w:marBottom w:val="0"/>
      <w:divBdr>
        <w:top w:val="none" w:sz="0" w:space="0" w:color="auto"/>
        <w:left w:val="none" w:sz="0" w:space="0" w:color="auto"/>
        <w:bottom w:val="none" w:sz="0" w:space="0" w:color="auto"/>
        <w:right w:val="none" w:sz="0" w:space="0" w:color="auto"/>
      </w:divBdr>
      <w:divsChild>
        <w:div w:id="555121706">
          <w:marLeft w:val="547"/>
          <w:marRight w:val="0"/>
          <w:marTop w:val="96"/>
          <w:marBottom w:val="0"/>
          <w:divBdr>
            <w:top w:val="none" w:sz="0" w:space="0" w:color="auto"/>
            <w:left w:val="none" w:sz="0" w:space="0" w:color="auto"/>
            <w:bottom w:val="none" w:sz="0" w:space="0" w:color="auto"/>
            <w:right w:val="none" w:sz="0" w:space="0" w:color="auto"/>
          </w:divBdr>
        </w:div>
        <w:div w:id="278419412">
          <w:marLeft w:val="547"/>
          <w:marRight w:val="0"/>
          <w:marTop w:val="96"/>
          <w:marBottom w:val="0"/>
          <w:divBdr>
            <w:top w:val="none" w:sz="0" w:space="0" w:color="auto"/>
            <w:left w:val="none" w:sz="0" w:space="0" w:color="auto"/>
            <w:bottom w:val="none" w:sz="0" w:space="0" w:color="auto"/>
            <w:right w:val="none" w:sz="0" w:space="0" w:color="auto"/>
          </w:divBdr>
        </w:div>
      </w:divsChild>
    </w:div>
    <w:div w:id="438066592">
      <w:bodyDiv w:val="1"/>
      <w:marLeft w:val="0"/>
      <w:marRight w:val="0"/>
      <w:marTop w:val="0"/>
      <w:marBottom w:val="0"/>
      <w:divBdr>
        <w:top w:val="none" w:sz="0" w:space="0" w:color="auto"/>
        <w:left w:val="none" w:sz="0" w:space="0" w:color="auto"/>
        <w:bottom w:val="none" w:sz="0" w:space="0" w:color="auto"/>
        <w:right w:val="none" w:sz="0" w:space="0" w:color="auto"/>
      </w:divBdr>
      <w:divsChild>
        <w:div w:id="710617366">
          <w:marLeft w:val="547"/>
          <w:marRight w:val="0"/>
          <w:marTop w:val="86"/>
          <w:marBottom w:val="0"/>
          <w:divBdr>
            <w:top w:val="none" w:sz="0" w:space="0" w:color="auto"/>
            <w:left w:val="none" w:sz="0" w:space="0" w:color="auto"/>
            <w:bottom w:val="none" w:sz="0" w:space="0" w:color="auto"/>
            <w:right w:val="none" w:sz="0" w:space="0" w:color="auto"/>
          </w:divBdr>
        </w:div>
        <w:div w:id="1103378733">
          <w:marLeft w:val="547"/>
          <w:marRight w:val="0"/>
          <w:marTop w:val="86"/>
          <w:marBottom w:val="0"/>
          <w:divBdr>
            <w:top w:val="none" w:sz="0" w:space="0" w:color="auto"/>
            <w:left w:val="none" w:sz="0" w:space="0" w:color="auto"/>
            <w:bottom w:val="none" w:sz="0" w:space="0" w:color="auto"/>
            <w:right w:val="none" w:sz="0" w:space="0" w:color="auto"/>
          </w:divBdr>
        </w:div>
      </w:divsChild>
    </w:div>
    <w:div w:id="460349360">
      <w:bodyDiv w:val="1"/>
      <w:marLeft w:val="0"/>
      <w:marRight w:val="0"/>
      <w:marTop w:val="0"/>
      <w:marBottom w:val="0"/>
      <w:divBdr>
        <w:top w:val="none" w:sz="0" w:space="0" w:color="auto"/>
        <w:left w:val="none" w:sz="0" w:space="0" w:color="auto"/>
        <w:bottom w:val="none" w:sz="0" w:space="0" w:color="auto"/>
        <w:right w:val="none" w:sz="0" w:space="0" w:color="auto"/>
      </w:divBdr>
    </w:div>
    <w:div w:id="576592128">
      <w:bodyDiv w:val="1"/>
      <w:marLeft w:val="0"/>
      <w:marRight w:val="0"/>
      <w:marTop w:val="0"/>
      <w:marBottom w:val="0"/>
      <w:divBdr>
        <w:top w:val="none" w:sz="0" w:space="0" w:color="auto"/>
        <w:left w:val="none" w:sz="0" w:space="0" w:color="auto"/>
        <w:bottom w:val="none" w:sz="0" w:space="0" w:color="auto"/>
        <w:right w:val="none" w:sz="0" w:space="0" w:color="auto"/>
      </w:divBdr>
    </w:div>
    <w:div w:id="578636794">
      <w:bodyDiv w:val="1"/>
      <w:marLeft w:val="0"/>
      <w:marRight w:val="0"/>
      <w:marTop w:val="0"/>
      <w:marBottom w:val="0"/>
      <w:divBdr>
        <w:top w:val="none" w:sz="0" w:space="0" w:color="auto"/>
        <w:left w:val="none" w:sz="0" w:space="0" w:color="auto"/>
        <w:bottom w:val="none" w:sz="0" w:space="0" w:color="auto"/>
        <w:right w:val="none" w:sz="0" w:space="0" w:color="auto"/>
      </w:divBdr>
    </w:div>
    <w:div w:id="672103863">
      <w:bodyDiv w:val="1"/>
      <w:marLeft w:val="0"/>
      <w:marRight w:val="0"/>
      <w:marTop w:val="0"/>
      <w:marBottom w:val="0"/>
      <w:divBdr>
        <w:top w:val="none" w:sz="0" w:space="0" w:color="auto"/>
        <w:left w:val="none" w:sz="0" w:space="0" w:color="auto"/>
        <w:bottom w:val="none" w:sz="0" w:space="0" w:color="auto"/>
        <w:right w:val="none" w:sz="0" w:space="0" w:color="auto"/>
      </w:divBdr>
    </w:div>
    <w:div w:id="674764445">
      <w:bodyDiv w:val="1"/>
      <w:marLeft w:val="0"/>
      <w:marRight w:val="0"/>
      <w:marTop w:val="0"/>
      <w:marBottom w:val="0"/>
      <w:divBdr>
        <w:top w:val="none" w:sz="0" w:space="0" w:color="auto"/>
        <w:left w:val="none" w:sz="0" w:space="0" w:color="auto"/>
        <w:bottom w:val="none" w:sz="0" w:space="0" w:color="auto"/>
        <w:right w:val="none" w:sz="0" w:space="0" w:color="auto"/>
      </w:divBdr>
      <w:divsChild>
        <w:div w:id="813640544">
          <w:marLeft w:val="547"/>
          <w:marRight w:val="0"/>
          <w:marTop w:val="96"/>
          <w:marBottom w:val="0"/>
          <w:divBdr>
            <w:top w:val="none" w:sz="0" w:space="0" w:color="auto"/>
            <w:left w:val="none" w:sz="0" w:space="0" w:color="auto"/>
            <w:bottom w:val="none" w:sz="0" w:space="0" w:color="auto"/>
            <w:right w:val="none" w:sz="0" w:space="0" w:color="auto"/>
          </w:divBdr>
        </w:div>
        <w:div w:id="507527466">
          <w:marLeft w:val="547"/>
          <w:marRight w:val="0"/>
          <w:marTop w:val="96"/>
          <w:marBottom w:val="0"/>
          <w:divBdr>
            <w:top w:val="none" w:sz="0" w:space="0" w:color="auto"/>
            <w:left w:val="none" w:sz="0" w:space="0" w:color="auto"/>
            <w:bottom w:val="none" w:sz="0" w:space="0" w:color="auto"/>
            <w:right w:val="none" w:sz="0" w:space="0" w:color="auto"/>
          </w:divBdr>
        </w:div>
        <w:div w:id="1985425430">
          <w:marLeft w:val="547"/>
          <w:marRight w:val="0"/>
          <w:marTop w:val="96"/>
          <w:marBottom w:val="0"/>
          <w:divBdr>
            <w:top w:val="none" w:sz="0" w:space="0" w:color="auto"/>
            <w:left w:val="none" w:sz="0" w:space="0" w:color="auto"/>
            <w:bottom w:val="none" w:sz="0" w:space="0" w:color="auto"/>
            <w:right w:val="none" w:sz="0" w:space="0" w:color="auto"/>
          </w:divBdr>
        </w:div>
        <w:div w:id="1217936540">
          <w:marLeft w:val="547"/>
          <w:marRight w:val="0"/>
          <w:marTop w:val="96"/>
          <w:marBottom w:val="0"/>
          <w:divBdr>
            <w:top w:val="none" w:sz="0" w:space="0" w:color="auto"/>
            <w:left w:val="none" w:sz="0" w:space="0" w:color="auto"/>
            <w:bottom w:val="none" w:sz="0" w:space="0" w:color="auto"/>
            <w:right w:val="none" w:sz="0" w:space="0" w:color="auto"/>
          </w:divBdr>
        </w:div>
        <w:div w:id="1399327259">
          <w:marLeft w:val="547"/>
          <w:marRight w:val="0"/>
          <w:marTop w:val="96"/>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20179253">
      <w:bodyDiv w:val="1"/>
      <w:marLeft w:val="0"/>
      <w:marRight w:val="0"/>
      <w:marTop w:val="0"/>
      <w:marBottom w:val="0"/>
      <w:divBdr>
        <w:top w:val="none" w:sz="0" w:space="0" w:color="auto"/>
        <w:left w:val="none" w:sz="0" w:space="0" w:color="auto"/>
        <w:bottom w:val="none" w:sz="0" w:space="0" w:color="auto"/>
        <w:right w:val="none" w:sz="0" w:space="0" w:color="auto"/>
      </w:divBdr>
      <w:divsChild>
        <w:div w:id="1545094815">
          <w:marLeft w:val="547"/>
          <w:marRight w:val="0"/>
          <w:marTop w:val="86"/>
          <w:marBottom w:val="0"/>
          <w:divBdr>
            <w:top w:val="none" w:sz="0" w:space="0" w:color="auto"/>
            <w:left w:val="none" w:sz="0" w:space="0" w:color="auto"/>
            <w:bottom w:val="none" w:sz="0" w:space="0" w:color="auto"/>
            <w:right w:val="none" w:sz="0" w:space="0" w:color="auto"/>
          </w:divBdr>
        </w:div>
        <w:div w:id="1592394427">
          <w:marLeft w:val="547"/>
          <w:marRight w:val="0"/>
          <w:marTop w:val="86"/>
          <w:marBottom w:val="0"/>
          <w:divBdr>
            <w:top w:val="none" w:sz="0" w:space="0" w:color="auto"/>
            <w:left w:val="none" w:sz="0" w:space="0" w:color="auto"/>
            <w:bottom w:val="none" w:sz="0" w:space="0" w:color="auto"/>
            <w:right w:val="none" w:sz="0" w:space="0" w:color="auto"/>
          </w:divBdr>
        </w:div>
        <w:div w:id="1502351939">
          <w:marLeft w:val="547"/>
          <w:marRight w:val="0"/>
          <w:marTop w:val="86"/>
          <w:marBottom w:val="0"/>
          <w:divBdr>
            <w:top w:val="none" w:sz="0" w:space="0" w:color="auto"/>
            <w:left w:val="none" w:sz="0" w:space="0" w:color="auto"/>
            <w:bottom w:val="none" w:sz="0" w:space="0" w:color="auto"/>
            <w:right w:val="none" w:sz="0" w:space="0" w:color="auto"/>
          </w:divBdr>
        </w:div>
      </w:divsChild>
    </w:div>
    <w:div w:id="737216910">
      <w:bodyDiv w:val="1"/>
      <w:marLeft w:val="0"/>
      <w:marRight w:val="0"/>
      <w:marTop w:val="0"/>
      <w:marBottom w:val="0"/>
      <w:divBdr>
        <w:top w:val="none" w:sz="0" w:space="0" w:color="auto"/>
        <w:left w:val="none" w:sz="0" w:space="0" w:color="auto"/>
        <w:bottom w:val="none" w:sz="0" w:space="0" w:color="auto"/>
        <w:right w:val="none" w:sz="0" w:space="0" w:color="auto"/>
      </w:divBdr>
    </w:div>
    <w:div w:id="814830919">
      <w:bodyDiv w:val="1"/>
      <w:marLeft w:val="0"/>
      <w:marRight w:val="0"/>
      <w:marTop w:val="0"/>
      <w:marBottom w:val="0"/>
      <w:divBdr>
        <w:top w:val="none" w:sz="0" w:space="0" w:color="auto"/>
        <w:left w:val="none" w:sz="0" w:space="0" w:color="auto"/>
        <w:bottom w:val="none" w:sz="0" w:space="0" w:color="auto"/>
        <w:right w:val="none" w:sz="0" w:space="0" w:color="auto"/>
      </w:divBdr>
      <w:divsChild>
        <w:div w:id="1118987053">
          <w:marLeft w:val="547"/>
          <w:marRight w:val="0"/>
          <w:marTop w:val="144"/>
          <w:marBottom w:val="0"/>
          <w:divBdr>
            <w:top w:val="none" w:sz="0" w:space="0" w:color="auto"/>
            <w:left w:val="none" w:sz="0" w:space="0" w:color="auto"/>
            <w:bottom w:val="none" w:sz="0" w:space="0" w:color="auto"/>
            <w:right w:val="none" w:sz="0" w:space="0" w:color="auto"/>
          </w:divBdr>
        </w:div>
        <w:div w:id="1298561473">
          <w:marLeft w:val="547"/>
          <w:marRight w:val="0"/>
          <w:marTop w:val="144"/>
          <w:marBottom w:val="0"/>
          <w:divBdr>
            <w:top w:val="none" w:sz="0" w:space="0" w:color="auto"/>
            <w:left w:val="none" w:sz="0" w:space="0" w:color="auto"/>
            <w:bottom w:val="none" w:sz="0" w:space="0" w:color="auto"/>
            <w:right w:val="none" w:sz="0" w:space="0" w:color="auto"/>
          </w:divBdr>
        </w:div>
        <w:div w:id="507326208">
          <w:marLeft w:val="547"/>
          <w:marRight w:val="0"/>
          <w:marTop w:val="144"/>
          <w:marBottom w:val="0"/>
          <w:divBdr>
            <w:top w:val="none" w:sz="0" w:space="0" w:color="auto"/>
            <w:left w:val="none" w:sz="0" w:space="0" w:color="auto"/>
            <w:bottom w:val="none" w:sz="0" w:space="0" w:color="auto"/>
            <w:right w:val="none" w:sz="0" w:space="0" w:color="auto"/>
          </w:divBdr>
        </w:div>
      </w:divsChild>
    </w:div>
    <w:div w:id="854928144">
      <w:bodyDiv w:val="1"/>
      <w:marLeft w:val="0"/>
      <w:marRight w:val="0"/>
      <w:marTop w:val="0"/>
      <w:marBottom w:val="0"/>
      <w:divBdr>
        <w:top w:val="none" w:sz="0" w:space="0" w:color="auto"/>
        <w:left w:val="none" w:sz="0" w:space="0" w:color="auto"/>
        <w:bottom w:val="none" w:sz="0" w:space="0" w:color="auto"/>
        <w:right w:val="none" w:sz="0" w:space="0" w:color="auto"/>
      </w:divBdr>
      <w:divsChild>
        <w:div w:id="255795316">
          <w:marLeft w:val="547"/>
          <w:marRight w:val="0"/>
          <w:marTop w:val="86"/>
          <w:marBottom w:val="0"/>
          <w:divBdr>
            <w:top w:val="none" w:sz="0" w:space="0" w:color="auto"/>
            <w:left w:val="none" w:sz="0" w:space="0" w:color="auto"/>
            <w:bottom w:val="none" w:sz="0" w:space="0" w:color="auto"/>
            <w:right w:val="none" w:sz="0" w:space="0" w:color="auto"/>
          </w:divBdr>
        </w:div>
        <w:div w:id="236480160">
          <w:marLeft w:val="547"/>
          <w:marRight w:val="0"/>
          <w:marTop w:val="86"/>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209950100">
      <w:bodyDiv w:val="1"/>
      <w:marLeft w:val="0"/>
      <w:marRight w:val="0"/>
      <w:marTop w:val="0"/>
      <w:marBottom w:val="0"/>
      <w:divBdr>
        <w:top w:val="none" w:sz="0" w:space="0" w:color="auto"/>
        <w:left w:val="none" w:sz="0" w:space="0" w:color="auto"/>
        <w:bottom w:val="none" w:sz="0" w:space="0" w:color="auto"/>
        <w:right w:val="none" w:sz="0" w:space="0" w:color="auto"/>
      </w:divBdr>
    </w:div>
    <w:div w:id="1231385248">
      <w:bodyDiv w:val="1"/>
      <w:marLeft w:val="0"/>
      <w:marRight w:val="0"/>
      <w:marTop w:val="0"/>
      <w:marBottom w:val="0"/>
      <w:divBdr>
        <w:top w:val="none" w:sz="0" w:space="0" w:color="auto"/>
        <w:left w:val="none" w:sz="0" w:space="0" w:color="auto"/>
        <w:bottom w:val="none" w:sz="0" w:space="0" w:color="auto"/>
        <w:right w:val="none" w:sz="0" w:space="0" w:color="auto"/>
      </w:divBdr>
    </w:div>
    <w:div w:id="1290817804">
      <w:bodyDiv w:val="1"/>
      <w:marLeft w:val="0"/>
      <w:marRight w:val="0"/>
      <w:marTop w:val="0"/>
      <w:marBottom w:val="0"/>
      <w:divBdr>
        <w:top w:val="none" w:sz="0" w:space="0" w:color="auto"/>
        <w:left w:val="none" w:sz="0" w:space="0" w:color="auto"/>
        <w:bottom w:val="none" w:sz="0" w:space="0" w:color="auto"/>
        <w:right w:val="none" w:sz="0" w:space="0" w:color="auto"/>
      </w:divBdr>
    </w:div>
    <w:div w:id="1489712259">
      <w:bodyDiv w:val="1"/>
      <w:marLeft w:val="0"/>
      <w:marRight w:val="0"/>
      <w:marTop w:val="0"/>
      <w:marBottom w:val="0"/>
      <w:divBdr>
        <w:top w:val="none" w:sz="0" w:space="0" w:color="auto"/>
        <w:left w:val="none" w:sz="0" w:space="0" w:color="auto"/>
        <w:bottom w:val="none" w:sz="0" w:space="0" w:color="auto"/>
        <w:right w:val="none" w:sz="0" w:space="0" w:color="auto"/>
      </w:divBdr>
      <w:divsChild>
        <w:div w:id="1036083116">
          <w:marLeft w:val="547"/>
          <w:marRight w:val="0"/>
          <w:marTop w:val="96"/>
          <w:marBottom w:val="0"/>
          <w:divBdr>
            <w:top w:val="none" w:sz="0" w:space="0" w:color="auto"/>
            <w:left w:val="none" w:sz="0" w:space="0" w:color="auto"/>
            <w:bottom w:val="none" w:sz="0" w:space="0" w:color="auto"/>
            <w:right w:val="none" w:sz="0" w:space="0" w:color="auto"/>
          </w:divBdr>
        </w:div>
        <w:div w:id="1797605637">
          <w:marLeft w:val="547"/>
          <w:marRight w:val="0"/>
          <w:marTop w:val="96"/>
          <w:marBottom w:val="0"/>
          <w:divBdr>
            <w:top w:val="none" w:sz="0" w:space="0" w:color="auto"/>
            <w:left w:val="none" w:sz="0" w:space="0" w:color="auto"/>
            <w:bottom w:val="none" w:sz="0" w:space="0" w:color="auto"/>
            <w:right w:val="none" w:sz="0" w:space="0" w:color="auto"/>
          </w:divBdr>
        </w:div>
      </w:divsChild>
    </w:div>
    <w:div w:id="1491749931">
      <w:bodyDiv w:val="1"/>
      <w:marLeft w:val="0"/>
      <w:marRight w:val="0"/>
      <w:marTop w:val="0"/>
      <w:marBottom w:val="0"/>
      <w:divBdr>
        <w:top w:val="none" w:sz="0" w:space="0" w:color="auto"/>
        <w:left w:val="none" w:sz="0" w:space="0" w:color="auto"/>
        <w:bottom w:val="none" w:sz="0" w:space="0" w:color="auto"/>
        <w:right w:val="none" w:sz="0" w:space="0" w:color="auto"/>
      </w:divBdr>
    </w:div>
    <w:div w:id="1535190352">
      <w:bodyDiv w:val="1"/>
      <w:marLeft w:val="0"/>
      <w:marRight w:val="0"/>
      <w:marTop w:val="0"/>
      <w:marBottom w:val="0"/>
      <w:divBdr>
        <w:top w:val="none" w:sz="0" w:space="0" w:color="auto"/>
        <w:left w:val="none" w:sz="0" w:space="0" w:color="auto"/>
        <w:bottom w:val="none" w:sz="0" w:space="0" w:color="auto"/>
        <w:right w:val="none" w:sz="0" w:space="0" w:color="auto"/>
      </w:divBdr>
      <w:divsChild>
        <w:div w:id="329601769">
          <w:marLeft w:val="547"/>
          <w:marRight w:val="0"/>
          <w:marTop w:val="86"/>
          <w:marBottom w:val="0"/>
          <w:divBdr>
            <w:top w:val="none" w:sz="0" w:space="0" w:color="auto"/>
            <w:left w:val="none" w:sz="0" w:space="0" w:color="auto"/>
            <w:bottom w:val="none" w:sz="0" w:space="0" w:color="auto"/>
            <w:right w:val="none" w:sz="0" w:space="0" w:color="auto"/>
          </w:divBdr>
        </w:div>
        <w:div w:id="1352146608">
          <w:marLeft w:val="547"/>
          <w:marRight w:val="0"/>
          <w:marTop w:val="86"/>
          <w:marBottom w:val="0"/>
          <w:divBdr>
            <w:top w:val="none" w:sz="0" w:space="0" w:color="auto"/>
            <w:left w:val="none" w:sz="0" w:space="0" w:color="auto"/>
            <w:bottom w:val="none" w:sz="0" w:space="0" w:color="auto"/>
            <w:right w:val="none" w:sz="0" w:space="0" w:color="auto"/>
          </w:divBdr>
        </w:div>
        <w:div w:id="1151293045">
          <w:marLeft w:val="547"/>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86735375">
      <w:bodyDiv w:val="1"/>
      <w:marLeft w:val="0"/>
      <w:marRight w:val="0"/>
      <w:marTop w:val="0"/>
      <w:marBottom w:val="0"/>
      <w:divBdr>
        <w:top w:val="none" w:sz="0" w:space="0" w:color="auto"/>
        <w:left w:val="none" w:sz="0" w:space="0" w:color="auto"/>
        <w:bottom w:val="none" w:sz="0" w:space="0" w:color="auto"/>
        <w:right w:val="none" w:sz="0" w:space="0" w:color="auto"/>
      </w:divBdr>
    </w:div>
    <w:div w:id="1848136538">
      <w:bodyDiv w:val="1"/>
      <w:marLeft w:val="0"/>
      <w:marRight w:val="0"/>
      <w:marTop w:val="0"/>
      <w:marBottom w:val="0"/>
      <w:divBdr>
        <w:top w:val="none" w:sz="0" w:space="0" w:color="auto"/>
        <w:left w:val="none" w:sz="0" w:space="0" w:color="auto"/>
        <w:bottom w:val="none" w:sz="0" w:space="0" w:color="auto"/>
        <w:right w:val="none" w:sz="0" w:space="0" w:color="auto"/>
      </w:divBdr>
      <w:divsChild>
        <w:div w:id="1427847880">
          <w:marLeft w:val="274"/>
          <w:marRight w:val="0"/>
          <w:marTop w:val="0"/>
          <w:marBottom w:val="0"/>
          <w:divBdr>
            <w:top w:val="none" w:sz="0" w:space="0" w:color="auto"/>
            <w:left w:val="none" w:sz="0" w:space="0" w:color="auto"/>
            <w:bottom w:val="none" w:sz="0" w:space="0" w:color="auto"/>
            <w:right w:val="none" w:sz="0" w:space="0" w:color="auto"/>
          </w:divBdr>
        </w:div>
        <w:div w:id="649796052">
          <w:marLeft w:val="274"/>
          <w:marRight w:val="0"/>
          <w:marTop w:val="0"/>
          <w:marBottom w:val="0"/>
          <w:divBdr>
            <w:top w:val="none" w:sz="0" w:space="0" w:color="auto"/>
            <w:left w:val="none" w:sz="0" w:space="0" w:color="auto"/>
            <w:bottom w:val="none" w:sz="0" w:space="0" w:color="auto"/>
            <w:right w:val="none" w:sz="0" w:space="0" w:color="auto"/>
          </w:divBdr>
        </w:div>
        <w:div w:id="1464932153">
          <w:marLeft w:val="274"/>
          <w:marRight w:val="0"/>
          <w:marTop w:val="0"/>
          <w:marBottom w:val="0"/>
          <w:divBdr>
            <w:top w:val="none" w:sz="0" w:space="0" w:color="auto"/>
            <w:left w:val="none" w:sz="0" w:space="0" w:color="auto"/>
            <w:bottom w:val="none" w:sz="0" w:space="0" w:color="auto"/>
            <w:right w:val="none" w:sz="0" w:space="0" w:color="auto"/>
          </w:divBdr>
        </w:div>
      </w:divsChild>
    </w:div>
    <w:div w:id="1900752166">
      <w:bodyDiv w:val="1"/>
      <w:marLeft w:val="0"/>
      <w:marRight w:val="0"/>
      <w:marTop w:val="0"/>
      <w:marBottom w:val="0"/>
      <w:divBdr>
        <w:top w:val="none" w:sz="0" w:space="0" w:color="auto"/>
        <w:left w:val="none" w:sz="0" w:space="0" w:color="auto"/>
        <w:bottom w:val="none" w:sz="0" w:space="0" w:color="auto"/>
        <w:right w:val="none" w:sz="0" w:space="0" w:color="auto"/>
      </w:divBdr>
    </w:div>
    <w:div w:id="2021156495">
      <w:bodyDiv w:val="1"/>
      <w:marLeft w:val="0"/>
      <w:marRight w:val="0"/>
      <w:marTop w:val="0"/>
      <w:marBottom w:val="0"/>
      <w:divBdr>
        <w:top w:val="none" w:sz="0" w:space="0" w:color="auto"/>
        <w:left w:val="none" w:sz="0" w:space="0" w:color="auto"/>
        <w:bottom w:val="none" w:sz="0" w:space="0" w:color="auto"/>
        <w:right w:val="none" w:sz="0" w:space="0" w:color="auto"/>
      </w:divBdr>
    </w:div>
    <w:div w:id="2024210501">
      <w:bodyDiv w:val="1"/>
      <w:marLeft w:val="0"/>
      <w:marRight w:val="0"/>
      <w:marTop w:val="0"/>
      <w:marBottom w:val="0"/>
      <w:divBdr>
        <w:top w:val="none" w:sz="0" w:space="0" w:color="auto"/>
        <w:left w:val="none" w:sz="0" w:space="0" w:color="auto"/>
        <w:bottom w:val="none" w:sz="0" w:space="0" w:color="auto"/>
        <w:right w:val="none" w:sz="0" w:space="0" w:color="auto"/>
      </w:divBdr>
    </w:div>
    <w:div w:id="2053144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Internationale_Lage_2020-12-30.pptx" TargetMode="External"/><Relationship Id="rId13" Type="http://schemas.openxmlformats.org/officeDocument/2006/relationships/hyperlink" Target="Testzahlerfassung%20am%20RKI_2020-12-30.pptx"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syndrom-ARE-SARI-COVID_bis_KW52_2020_f&#252;r-Krisenstab.pptx" TargetMode="External"/><Relationship Id="rId17" Type="http://schemas.openxmlformats.org/officeDocument/2006/relationships/hyperlink" Target="F&#252;r%20Lagebericht%2030.12.2020_final_Krisenstab.docx"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NRZ%20Influenzaviren%20Krisenstab30122020.ppt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Lage-National_2020_12_30.ppt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ki.de/SharedDocs/FAQ/COVID-Impfen/gesamt.html;jsessionid=515754248AABBD3567D1A5C3BFB9FE5B.internet051" TargetMode="External"/><Relationship Id="rId23" Type="http://schemas.openxmlformats.org/officeDocument/2006/relationships/footer" Target="footer3.xml"/><Relationship Id="rId10" Type="http://schemas.openxmlformats.org/officeDocument/2006/relationships/hyperlink" Target="https://assets.publishing.service.gov.uk/government/uploads/system/uploads/attachment_data/file/948152/Technical_Briefing_VOC202012-2_Briefing_2_FINAL.pdf"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who.int/publications/m/item/weekly-epidemiological-update---29-december-2020" TargetMode="External"/><Relationship Id="rId14" Type="http://schemas.openxmlformats.org/officeDocument/2006/relationships/hyperlink" Target="20201230_SARS-CoV-2%20in%20ARS_Krisenstabssitzung.pptx"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1B8F-5909-47AA-9C32-E585D9951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3228</Words>
  <Characters>20338</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78</cp:revision>
  <cp:lastPrinted>2020-05-06T16:43:00Z</cp:lastPrinted>
  <dcterms:created xsi:type="dcterms:W3CDTF">2020-12-18T18:47:00Z</dcterms:created>
  <dcterms:modified xsi:type="dcterms:W3CDTF">2021-05-10T14:40:00Z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437929987</vt:i4>
  </property>
</Properties>
</file>