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AG-Lage-Sitzung „Neuartiges Coronavirus (2019nCoV)-Lage“</w:t>
      </w:r>
    </w:p>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sdt>
            <w:sdtPr>
              <w:rPr>
                <w:i/>
                <w:sz w:val="22"/>
              </w:rPr>
              <w:id w:val="2096439265"/>
              <w:placeholder>
                <w:docPart w:val="9FAD9635099E468F873E69029FBCE6AB"/>
              </w:placeholder>
            </w:sdtPr>
            <w:sdtContent>
              <w:r>
                <w:rPr>
                  <w:i/>
                  <w:sz w:val="22"/>
                </w:rPr>
                <w:t>30.01.2020, 11-12:30 Uhr</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sdt>
            <w:sdtPr>
              <w:rPr>
                <w:b/>
                <w:i/>
                <w:sz w:val="22"/>
              </w:rPr>
              <w:id w:val="1811592494"/>
              <w:placeholder>
                <w:docPart w:val="A4BD05692A9C4EF3BF9F20A0DA9C42F0"/>
              </w:placeholder>
            </w:sdtPr>
            <w:sdtContent>
              <w:r>
                <w:rPr>
                  <w:b/>
                  <w:i/>
                  <w:sz w:val="22"/>
                </w:rPr>
                <w:t xml:space="preserve">RKI, </w:t>
              </w:r>
              <w:r>
                <w:rPr>
                  <w:i/>
                  <w:sz w:val="22"/>
                  <w:szCs w:val="22"/>
                </w:rPr>
                <w:t>Seestraße, Lagezentrum Besprechungsraum</w:t>
              </w:r>
            </w:sdtContent>
          </w:sdt>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17"/>
        </w:numPr>
        <w:spacing w:after="0"/>
        <w:contextualSpacing w:val="0"/>
        <w:rPr>
          <w:sz w:val="18"/>
          <w:szCs w:val="18"/>
        </w:rPr>
      </w:pPr>
      <w:r>
        <w:rPr>
          <w:sz w:val="18"/>
          <w:szCs w:val="18"/>
        </w:rPr>
        <w:t>Institutsleitung</w:t>
      </w:r>
    </w:p>
    <w:p>
      <w:pPr>
        <w:pStyle w:val="Listenabsatz"/>
        <w:numPr>
          <w:ilvl w:val="1"/>
          <w:numId w:val="7"/>
        </w:numPr>
        <w:spacing w:after="0"/>
        <w:contextualSpacing w:val="0"/>
        <w:rPr>
          <w:sz w:val="18"/>
          <w:szCs w:val="18"/>
        </w:rPr>
      </w:pPr>
      <w:r>
        <w:rPr>
          <w:sz w:val="18"/>
          <w:szCs w:val="18"/>
        </w:rPr>
        <w:t>Lothar Wieler</w:t>
      </w:r>
    </w:p>
    <w:p>
      <w:pPr>
        <w:pStyle w:val="Listenabsatz"/>
        <w:numPr>
          <w:ilvl w:val="1"/>
          <w:numId w:val="7"/>
        </w:numPr>
        <w:spacing w:after="0"/>
        <w:contextualSpacing w:val="0"/>
        <w:rPr>
          <w:sz w:val="18"/>
          <w:szCs w:val="18"/>
        </w:rPr>
      </w:pPr>
      <w:r>
        <w:rPr>
          <w:sz w:val="18"/>
          <w:szCs w:val="18"/>
        </w:rPr>
        <w:t>Lars Schaade</w:t>
      </w:r>
    </w:p>
    <w:p>
      <w:pPr>
        <w:pStyle w:val="Listenabsatz"/>
        <w:numPr>
          <w:ilvl w:val="1"/>
          <w:numId w:val="7"/>
        </w:numPr>
        <w:spacing w:after="0"/>
        <w:contextualSpacing w:val="0"/>
        <w:rPr>
          <w:sz w:val="18"/>
          <w:szCs w:val="18"/>
        </w:rPr>
      </w:pPr>
      <w:r>
        <w:rPr>
          <w:sz w:val="18"/>
          <w:szCs w:val="18"/>
        </w:rPr>
        <w:t>Barbara Buchberger</w:t>
      </w:r>
    </w:p>
    <w:p>
      <w:pPr>
        <w:pStyle w:val="Listenabsatz"/>
        <w:numPr>
          <w:ilvl w:val="0"/>
          <w:numId w:val="17"/>
        </w:numPr>
        <w:spacing w:after="0"/>
        <w:contextualSpacing w:val="0"/>
        <w:rPr>
          <w:sz w:val="18"/>
          <w:szCs w:val="18"/>
        </w:rPr>
      </w:pPr>
      <w:r>
        <w:rPr>
          <w:sz w:val="18"/>
          <w:szCs w:val="18"/>
        </w:rPr>
        <w:t>Abteilung 1-Leitung</w:t>
      </w:r>
    </w:p>
    <w:p>
      <w:pPr>
        <w:pStyle w:val="Listenabsatz"/>
        <w:numPr>
          <w:ilvl w:val="1"/>
          <w:numId w:val="17"/>
        </w:numPr>
        <w:spacing w:after="0"/>
        <w:contextualSpacing w:val="0"/>
        <w:rPr>
          <w:sz w:val="18"/>
          <w:szCs w:val="18"/>
        </w:rPr>
      </w:pPr>
      <w:r>
        <w:rPr>
          <w:sz w:val="18"/>
          <w:szCs w:val="18"/>
        </w:rPr>
        <w:t>Martin Mielke</w:t>
      </w:r>
    </w:p>
    <w:p>
      <w:pPr>
        <w:pStyle w:val="Listenabsatz"/>
        <w:numPr>
          <w:ilvl w:val="0"/>
          <w:numId w:val="17"/>
        </w:numPr>
        <w:spacing w:after="0"/>
        <w:contextualSpacing w:val="0"/>
        <w:rPr>
          <w:sz w:val="18"/>
          <w:szCs w:val="18"/>
        </w:rPr>
      </w:pPr>
      <w:r>
        <w:rPr>
          <w:sz w:val="18"/>
          <w:szCs w:val="18"/>
        </w:rPr>
        <w:t>Abteilung 3-Leitung</w:t>
      </w:r>
    </w:p>
    <w:p>
      <w:pPr>
        <w:pStyle w:val="Listenabsatz"/>
        <w:numPr>
          <w:ilvl w:val="1"/>
          <w:numId w:val="17"/>
        </w:numPr>
        <w:spacing w:after="0"/>
        <w:contextualSpacing w:val="0"/>
        <w:rPr>
          <w:sz w:val="18"/>
          <w:szCs w:val="18"/>
        </w:rPr>
      </w:pPr>
      <w:r>
        <w:rPr>
          <w:sz w:val="18"/>
          <w:szCs w:val="18"/>
        </w:rPr>
        <w:t>Osamah Hamouda</w:t>
      </w:r>
    </w:p>
    <w:p>
      <w:pPr>
        <w:pStyle w:val="Listenabsatz"/>
        <w:numPr>
          <w:ilvl w:val="0"/>
          <w:numId w:val="7"/>
        </w:numPr>
        <w:spacing w:after="0"/>
        <w:contextualSpacing w:val="0"/>
        <w:rPr>
          <w:sz w:val="18"/>
          <w:szCs w:val="18"/>
        </w:rPr>
      </w:pPr>
      <w:r>
        <w:rPr>
          <w:sz w:val="18"/>
          <w:szCs w:val="18"/>
        </w:rPr>
        <w:t>ZBS 1</w:t>
      </w:r>
    </w:p>
    <w:p>
      <w:pPr>
        <w:pStyle w:val="Listenabsatz"/>
        <w:numPr>
          <w:ilvl w:val="1"/>
          <w:numId w:val="7"/>
        </w:numPr>
        <w:spacing w:after="0"/>
        <w:contextualSpacing w:val="0"/>
        <w:rPr>
          <w:sz w:val="18"/>
          <w:szCs w:val="18"/>
        </w:rPr>
      </w:pPr>
      <w:r>
        <w:rPr>
          <w:sz w:val="18"/>
          <w:szCs w:val="18"/>
        </w:rPr>
        <w:t>Janine Michels</w:t>
      </w:r>
    </w:p>
    <w:p>
      <w:pPr>
        <w:pStyle w:val="Listenabsatz"/>
        <w:numPr>
          <w:ilvl w:val="0"/>
          <w:numId w:val="17"/>
        </w:numPr>
        <w:spacing w:after="0"/>
        <w:contextualSpacing w:val="0"/>
        <w:rPr>
          <w:sz w:val="18"/>
          <w:szCs w:val="18"/>
        </w:rPr>
      </w:pPr>
      <w:r>
        <w:rPr>
          <w:sz w:val="18"/>
          <w:szCs w:val="18"/>
        </w:rPr>
        <w:t>FG14</w:t>
      </w:r>
    </w:p>
    <w:p>
      <w:pPr>
        <w:pStyle w:val="Listenabsatz"/>
        <w:numPr>
          <w:ilvl w:val="1"/>
          <w:numId w:val="7"/>
        </w:numPr>
        <w:spacing w:after="0"/>
        <w:contextualSpacing w:val="0"/>
        <w:rPr>
          <w:sz w:val="18"/>
          <w:szCs w:val="18"/>
        </w:rPr>
      </w:pPr>
      <w:r>
        <w:rPr>
          <w:sz w:val="18"/>
          <w:szCs w:val="18"/>
        </w:rPr>
        <w:t>Melanie Brunke</w:t>
      </w:r>
    </w:p>
    <w:p>
      <w:pPr>
        <w:pStyle w:val="Listenabsatz"/>
        <w:numPr>
          <w:ilvl w:val="0"/>
          <w:numId w:val="17"/>
        </w:numPr>
        <w:spacing w:after="0"/>
        <w:contextualSpacing w:val="0"/>
        <w:rPr>
          <w:sz w:val="18"/>
          <w:szCs w:val="18"/>
        </w:rPr>
      </w:pPr>
      <w:r>
        <w:rPr>
          <w:sz w:val="18"/>
          <w:szCs w:val="18"/>
        </w:rPr>
        <w:t>FG17</w:t>
      </w:r>
    </w:p>
    <w:p>
      <w:pPr>
        <w:pStyle w:val="Listenabsatz"/>
        <w:numPr>
          <w:ilvl w:val="1"/>
          <w:numId w:val="17"/>
        </w:numPr>
        <w:spacing w:after="0"/>
        <w:contextualSpacing w:val="0"/>
        <w:rPr>
          <w:sz w:val="18"/>
          <w:szCs w:val="18"/>
        </w:rPr>
      </w:pPr>
      <w:r>
        <w:rPr>
          <w:sz w:val="18"/>
          <w:szCs w:val="18"/>
        </w:rPr>
        <w:t xml:space="preserve">Thorsten Wolff </w:t>
      </w:r>
    </w:p>
    <w:p>
      <w:pPr>
        <w:pStyle w:val="Listenabsatz"/>
        <w:numPr>
          <w:ilvl w:val="0"/>
          <w:numId w:val="18"/>
        </w:numPr>
        <w:spacing w:after="0"/>
        <w:contextualSpacing w:val="0"/>
        <w:rPr>
          <w:sz w:val="18"/>
          <w:szCs w:val="18"/>
        </w:rPr>
      </w:pPr>
      <w:r>
        <w:rPr>
          <w:sz w:val="18"/>
          <w:szCs w:val="18"/>
        </w:rPr>
        <w:t>FG 32</w:t>
      </w:r>
    </w:p>
    <w:p>
      <w:pPr>
        <w:pStyle w:val="Listenabsatz"/>
        <w:numPr>
          <w:ilvl w:val="1"/>
          <w:numId w:val="7"/>
        </w:numPr>
        <w:spacing w:after="0"/>
        <w:contextualSpacing w:val="0"/>
        <w:rPr>
          <w:sz w:val="18"/>
          <w:szCs w:val="18"/>
        </w:rPr>
      </w:pPr>
      <w:r>
        <w:rPr>
          <w:sz w:val="18"/>
          <w:szCs w:val="18"/>
        </w:rPr>
        <w:t>Ute Rexroth</w:t>
      </w:r>
    </w:p>
    <w:p>
      <w:pPr>
        <w:pStyle w:val="Listenabsatz"/>
        <w:numPr>
          <w:ilvl w:val="1"/>
          <w:numId w:val="7"/>
        </w:numPr>
        <w:spacing w:after="0"/>
        <w:contextualSpacing w:val="0"/>
        <w:rPr>
          <w:sz w:val="18"/>
          <w:szCs w:val="18"/>
        </w:rPr>
      </w:pPr>
      <w:r>
        <w:rPr>
          <w:sz w:val="18"/>
          <w:szCs w:val="18"/>
        </w:rPr>
        <w:t>Ariane Halm (Protokoll)</w:t>
      </w:r>
    </w:p>
    <w:p>
      <w:pPr>
        <w:pStyle w:val="Listenabsatz"/>
        <w:numPr>
          <w:ilvl w:val="0"/>
          <w:numId w:val="7"/>
        </w:numPr>
        <w:spacing w:after="0"/>
        <w:contextualSpacing w:val="0"/>
        <w:rPr>
          <w:sz w:val="18"/>
          <w:szCs w:val="18"/>
        </w:rPr>
      </w:pPr>
      <w:r>
        <w:rPr>
          <w:sz w:val="18"/>
          <w:szCs w:val="18"/>
        </w:rPr>
        <w:t>FG36</w:t>
      </w:r>
    </w:p>
    <w:p>
      <w:pPr>
        <w:pStyle w:val="Listenabsatz"/>
        <w:numPr>
          <w:ilvl w:val="1"/>
          <w:numId w:val="7"/>
        </w:numPr>
        <w:spacing w:after="0"/>
        <w:contextualSpacing w:val="0"/>
        <w:rPr>
          <w:sz w:val="18"/>
          <w:szCs w:val="18"/>
        </w:rPr>
      </w:pPr>
      <w:r>
        <w:rPr>
          <w:sz w:val="18"/>
          <w:szCs w:val="18"/>
        </w:rPr>
        <w:t>Walter Haas</w:t>
      </w:r>
    </w:p>
    <w:p>
      <w:pPr>
        <w:pStyle w:val="Listenabsatz"/>
        <w:numPr>
          <w:ilvl w:val="0"/>
          <w:numId w:val="17"/>
        </w:numPr>
        <w:spacing w:after="0"/>
        <w:contextualSpacing w:val="0"/>
        <w:rPr>
          <w:sz w:val="18"/>
          <w:szCs w:val="18"/>
        </w:rPr>
      </w:pPr>
      <w:r>
        <w:rPr>
          <w:sz w:val="18"/>
          <w:szCs w:val="18"/>
        </w:rPr>
        <w:t>IBBS</w:t>
      </w:r>
    </w:p>
    <w:p>
      <w:pPr>
        <w:pStyle w:val="Listenabsatz"/>
        <w:numPr>
          <w:ilvl w:val="1"/>
          <w:numId w:val="7"/>
        </w:numPr>
        <w:spacing w:after="0"/>
        <w:contextualSpacing w:val="0"/>
        <w:rPr>
          <w:sz w:val="18"/>
          <w:szCs w:val="18"/>
        </w:rPr>
      </w:pPr>
      <w:r>
        <w:rPr>
          <w:sz w:val="18"/>
          <w:szCs w:val="18"/>
        </w:rPr>
        <w:t>Bettina Ruehe</w:t>
      </w:r>
    </w:p>
    <w:p>
      <w:pPr>
        <w:pStyle w:val="Listenabsatz"/>
        <w:numPr>
          <w:ilvl w:val="1"/>
          <w:numId w:val="7"/>
        </w:numPr>
        <w:spacing w:after="0"/>
        <w:contextualSpacing w:val="0"/>
        <w:rPr>
          <w:sz w:val="18"/>
          <w:szCs w:val="18"/>
        </w:rPr>
      </w:pPr>
      <w:r>
        <w:rPr>
          <w:sz w:val="18"/>
          <w:szCs w:val="18"/>
        </w:rPr>
        <w:t>Claudia Schulz-Weidhaas</w:t>
      </w:r>
    </w:p>
    <w:p>
      <w:pPr>
        <w:pStyle w:val="Listenabsatz"/>
        <w:numPr>
          <w:ilvl w:val="1"/>
          <w:numId w:val="7"/>
        </w:numPr>
        <w:spacing w:after="0"/>
        <w:contextualSpacing w:val="0"/>
        <w:rPr>
          <w:sz w:val="18"/>
          <w:szCs w:val="18"/>
        </w:rPr>
      </w:pPr>
      <w:r>
        <w:rPr>
          <w:sz w:val="18"/>
          <w:szCs w:val="18"/>
        </w:rPr>
        <w:t>Nadja Bersug</w:t>
      </w:r>
    </w:p>
    <w:p>
      <w:pPr>
        <w:pStyle w:val="Listenabsatz"/>
        <w:numPr>
          <w:ilvl w:val="0"/>
          <w:numId w:val="17"/>
        </w:numPr>
        <w:spacing w:after="0"/>
        <w:contextualSpacing w:val="0"/>
        <w:rPr>
          <w:sz w:val="18"/>
          <w:szCs w:val="18"/>
        </w:rPr>
      </w:pPr>
      <w:r>
        <w:rPr>
          <w:sz w:val="18"/>
          <w:szCs w:val="18"/>
        </w:rPr>
        <w:t>Presse</w:t>
      </w:r>
    </w:p>
    <w:p>
      <w:pPr>
        <w:pStyle w:val="Listenabsatz"/>
        <w:numPr>
          <w:ilvl w:val="1"/>
          <w:numId w:val="7"/>
        </w:numPr>
        <w:spacing w:after="0"/>
        <w:contextualSpacing w:val="0"/>
        <w:rPr>
          <w:sz w:val="18"/>
          <w:szCs w:val="18"/>
        </w:rPr>
      </w:pPr>
      <w:r>
        <w:rPr>
          <w:sz w:val="18"/>
          <w:szCs w:val="18"/>
        </w:rPr>
        <w:t>Susanne Glasmacher</w:t>
      </w:r>
    </w:p>
    <w:p>
      <w:pPr>
        <w:pStyle w:val="Listenabsatz"/>
        <w:numPr>
          <w:ilvl w:val="0"/>
          <w:numId w:val="7"/>
        </w:numPr>
        <w:spacing w:after="0"/>
        <w:contextualSpacing w:val="0"/>
        <w:rPr>
          <w:sz w:val="18"/>
          <w:szCs w:val="18"/>
        </w:rPr>
      </w:pPr>
      <w:r>
        <w:rPr>
          <w:sz w:val="18"/>
          <w:szCs w:val="18"/>
        </w:rPr>
        <w:t>INIG</w:t>
      </w:r>
    </w:p>
    <w:p>
      <w:pPr>
        <w:pStyle w:val="Listenabsatz"/>
        <w:numPr>
          <w:ilvl w:val="1"/>
          <w:numId w:val="7"/>
        </w:numPr>
        <w:spacing w:after="0"/>
        <w:contextualSpacing w:val="0"/>
        <w:rPr>
          <w:sz w:val="18"/>
          <w:szCs w:val="18"/>
        </w:rPr>
      </w:pPr>
      <w:r>
        <w:rPr>
          <w:sz w:val="18"/>
          <w:szCs w:val="18"/>
        </w:rPr>
        <w:t>Basel Karo</w:t>
      </w:r>
    </w:p>
    <w:p>
      <w:pPr>
        <w:pStyle w:val="Listenabsatz"/>
        <w:numPr>
          <w:ilvl w:val="0"/>
          <w:numId w:val="7"/>
        </w:numPr>
        <w:spacing w:after="0"/>
        <w:contextualSpacing w:val="0"/>
        <w:rPr>
          <w:sz w:val="18"/>
          <w:szCs w:val="18"/>
        </w:rPr>
      </w:pPr>
      <w:r>
        <w:rPr>
          <w:sz w:val="18"/>
          <w:szCs w:val="18"/>
        </w:rPr>
        <w:t>Datenschutz</w:t>
      </w:r>
    </w:p>
    <w:p>
      <w:pPr>
        <w:pStyle w:val="Listenabsatz"/>
        <w:numPr>
          <w:ilvl w:val="1"/>
          <w:numId w:val="7"/>
        </w:numPr>
        <w:spacing w:after="0"/>
        <w:contextualSpacing w:val="0"/>
        <w:rPr>
          <w:sz w:val="18"/>
          <w:szCs w:val="18"/>
        </w:rPr>
      </w:pPr>
      <w:r>
        <w:rPr>
          <w:sz w:val="18"/>
          <w:szCs w:val="18"/>
        </w:rPr>
        <w:t>Jörg Lekschas</w:t>
      </w:r>
    </w:p>
    <w:p>
      <w:pPr>
        <w:pStyle w:val="Listenabsatz"/>
        <w:numPr>
          <w:ilvl w:val="1"/>
          <w:numId w:val="7"/>
        </w:numPr>
        <w:spacing w:after="0"/>
        <w:contextualSpacing w:val="0"/>
        <w:rPr>
          <w:sz w:val="18"/>
          <w:szCs w:val="18"/>
        </w:rPr>
      </w:pPr>
      <w:r>
        <w:rPr>
          <w:sz w:val="18"/>
          <w:szCs w:val="18"/>
        </w:rPr>
        <w:t xml:space="preserve">Marie </w:t>
      </w:r>
      <w:proofErr w:type="spellStart"/>
      <w:r>
        <w:rPr>
          <w:sz w:val="18"/>
          <w:szCs w:val="18"/>
        </w:rPr>
        <w:t>Reupke</w:t>
      </w:r>
      <w:proofErr w:type="spellEnd"/>
    </w:p>
    <w:p>
      <w:pPr>
        <w:pStyle w:val="Listenabsatz"/>
        <w:numPr>
          <w:ilvl w:val="0"/>
          <w:numId w:val="7"/>
        </w:numPr>
        <w:spacing w:after="0"/>
        <w:contextualSpacing w:val="0"/>
        <w:rPr>
          <w:sz w:val="18"/>
          <w:szCs w:val="18"/>
        </w:rPr>
      </w:pPr>
      <w:r>
        <w:rPr>
          <w:sz w:val="18"/>
          <w:szCs w:val="18"/>
        </w:rPr>
        <w:t>Bundeswehr</w:t>
      </w:r>
    </w:p>
    <w:p>
      <w:pPr>
        <w:pStyle w:val="Listenabsatz"/>
        <w:numPr>
          <w:ilvl w:val="1"/>
          <w:numId w:val="7"/>
        </w:numPr>
        <w:spacing w:after="0"/>
        <w:contextualSpacing w:val="0"/>
        <w:rPr>
          <w:sz w:val="18"/>
          <w:szCs w:val="18"/>
        </w:rPr>
      </w:pPr>
      <w:r>
        <w:rPr>
          <w:sz w:val="18"/>
          <w:szCs w:val="18"/>
        </w:rPr>
        <w:t xml:space="preserve">Thomas </w:t>
      </w:r>
      <w:proofErr w:type="spellStart"/>
      <w:r>
        <w:rPr>
          <w:sz w:val="18"/>
          <w:szCs w:val="18"/>
        </w:rPr>
        <w:t>Harbaum</w:t>
      </w:r>
      <w:proofErr w:type="spellEnd"/>
    </w:p>
    <w:p>
      <w:pPr>
        <w:pStyle w:val="Listenabsatz"/>
        <w:numPr>
          <w:ilvl w:val="0"/>
          <w:numId w:val="7"/>
        </w:numPr>
        <w:spacing w:after="0"/>
        <w:contextualSpacing w:val="0"/>
        <w:rPr>
          <w:sz w:val="18"/>
          <w:szCs w:val="18"/>
        </w:rPr>
      </w:pPr>
      <w:r>
        <w:rPr>
          <w:sz w:val="18"/>
          <w:szCs w:val="18"/>
        </w:rPr>
        <w:t>BZgA</w:t>
      </w:r>
    </w:p>
    <w:p>
      <w:pPr>
        <w:pStyle w:val="Listenabsatz"/>
        <w:numPr>
          <w:ilvl w:val="1"/>
          <w:numId w:val="7"/>
        </w:numPr>
        <w:spacing w:after="0"/>
        <w:contextualSpacing w:val="0"/>
        <w:rPr>
          <w:sz w:val="18"/>
          <w:szCs w:val="18"/>
        </w:rPr>
      </w:pPr>
      <w:r>
        <w:rPr>
          <w:sz w:val="18"/>
          <w:szCs w:val="18"/>
        </w:rPr>
        <w:t>Linda Seefeld</w:t>
      </w:r>
    </w:p>
    <w:p>
      <w:pPr>
        <w:spacing w:after="0"/>
        <w:rPr>
          <w:sz w:val="18"/>
          <w:szCs w:val="18"/>
        </w:rPr>
      </w:pPr>
    </w:p>
    <w:p>
      <w:pPr>
        <w:pStyle w:val="Listenabsatz"/>
        <w:ind w:left="3600"/>
      </w:pPr>
      <w:r>
        <w:br w:type="page"/>
      </w:r>
    </w:p>
    <w:p/>
    <w:p>
      <w:pPr>
        <w:pStyle w:val="Listenabsatz"/>
        <w:spacing w:after="0"/>
        <w:ind w:left="1440"/>
        <w:contextualSpacing w:val="0"/>
        <w:rPr>
          <w:sz w:val="22"/>
        </w:rPr>
      </w:pPr>
    </w:p>
    <w:tbl>
      <w:tblPr>
        <w:tblStyle w:val="Tabellenraster"/>
        <w:tblW w:w="8516" w:type="dxa"/>
        <w:tblLayout w:type="fixed"/>
        <w:tblLook w:val="00A0" w:firstRow="1" w:lastRow="0" w:firstColumn="1" w:lastColumn="0" w:noHBand="0" w:noVBand="0"/>
      </w:tblPr>
      <w:tblGrid>
        <w:gridCol w:w="817"/>
        <w:gridCol w:w="7699"/>
      </w:tblGrid>
      <w:tr>
        <w:tc>
          <w:tcPr>
            <w:tcW w:w="817" w:type="dxa"/>
          </w:tcPr>
          <w:p>
            <w:pPr>
              <w:rPr>
                <w:rFonts w:ascii="Scala Sans OT" w:hAnsi="Scala Sans OT"/>
                <w:b/>
                <w:szCs w:val="22"/>
              </w:rPr>
            </w:pPr>
            <w:r>
              <w:rPr>
                <w:rFonts w:ascii="Scala Sans OT" w:hAnsi="Scala Sans OT"/>
                <w:b/>
                <w:szCs w:val="22"/>
              </w:rPr>
              <w:t>TOP</w:t>
            </w:r>
          </w:p>
        </w:tc>
        <w:tc>
          <w:tcPr>
            <w:tcW w:w="7699" w:type="dxa"/>
          </w:tcPr>
          <w:p>
            <w:pPr>
              <w:rPr>
                <w:rFonts w:ascii="Scala Sans OT" w:hAnsi="Scala Sans OT"/>
                <w:b/>
                <w:szCs w:val="22"/>
              </w:rPr>
            </w:pPr>
            <w:r>
              <w:rPr>
                <w:rFonts w:ascii="Scala Sans OT" w:hAnsi="Scala Sans OT"/>
                <w:b/>
                <w:szCs w:val="22"/>
              </w:rPr>
              <w:t>Beitrag/Thema</w:t>
            </w:r>
          </w:p>
        </w:tc>
      </w:tr>
      <w:tr>
        <w:tc>
          <w:tcPr>
            <w:tcW w:w="817" w:type="dxa"/>
          </w:tcPr>
          <w:p>
            <w:pPr>
              <w:rPr>
                <w:rFonts w:ascii="Scala Sans OT" w:hAnsi="Scala Sans OT"/>
                <w:b/>
                <w:sz w:val="22"/>
                <w:szCs w:val="22"/>
              </w:rPr>
            </w:pPr>
            <w:r>
              <w:rPr>
                <w:rFonts w:ascii="Scala Sans OT" w:hAnsi="Scala Sans OT"/>
                <w:b/>
                <w:sz w:val="22"/>
                <w:szCs w:val="22"/>
              </w:rPr>
              <w:t>1</w:t>
            </w:r>
          </w:p>
        </w:tc>
        <w:tc>
          <w:tcPr>
            <w:tcW w:w="7699" w:type="dxa"/>
          </w:tcPr>
          <w:p>
            <w:pPr>
              <w:rPr>
                <w:rFonts w:ascii="Scala Sans OT" w:hAnsi="Scala Sans OT"/>
                <w:b/>
                <w:szCs w:val="22"/>
              </w:rPr>
            </w:pPr>
            <w:r>
              <w:rPr>
                <w:rFonts w:ascii="Scala Sans OT" w:hAnsi="Scala Sans OT"/>
                <w:b/>
                <w:szCs w:val="22"/>
              </w:rPr>
              <w:t>Aktuelle Lage - International</w:t>
            </w:r>
          </w:p>
          <w:p>
            <w:pPr>
              <w:pStyle w:val="Listenabsatz"/>
              <w:numPr>
                <w:ilvl w:val="0"/>
                <w:numId w:val="39"/>
              </w:numPr>
              <w:rPr>
                <w:rFonts w:ascii="Scala Sans OT" w:hAnsi="Scala Sans OT"/>
              </w:rPr>
            </w:pPr>
            <w:r>
              <w:rPr>
                <w:rFonts w:ascii="Scala Sans OT" w:hAnsi="Scala Sans OT"/>
              </w:rPr>
              <w:t xml:space="preserve">&gt;7.800 Fälle in China, &gt;1700 neue Fälle, Großteil der Fälle (&gt;50%) in der Provinz Hubei, </w:t>
            </w:r>
          </w:p>
          <w:p>
            <w:pPr>
              <w:pStyle w:val="Listenabsatz"/>
              <w:numPr>
                <w:ilvl w:val="0"/>
                <w:numId w:val="39"/>
              </w:numPr>
              <w:rPr>
                <w:rFonts w:ascii="Scala Sans OT" w:hAnsi="Scala Sans OT"/>
              </w:rPr>
            </w:pPr>
            <w:r>
              <w:rPr>
                <w:rFonts w:ascii="Scala Sans OT" w:hAnsi="Scala Sans OT"/>
              </w:rPr>
              <w:t xml:space="preserve">170Todesfälle, alle in China, </w:t>
            </w:r>
          </w:p>
          <w:p>
            <w:pPr>
              <w:pStyle w:val="Listenabsatz"/>
              <w:numPr>
                <w:ilvl w:val="0"/>
                <w:numId w:val="39"/>
              </w:numPr>
              <w:rPr>
                <w:rFonts w:ascii="Scala Sans OT" w:hAnsi="Scala Sans OT"/>
              </w:rPr>
            </w:pPr>
            <w:r>
              <w:rPr>
                <w:rFonts w:ascii="Scala Sans OT" w:hAnsi="Scala Sans OT"/>
              </w:rPr>
              <w:t>&gt;12.000 Verdachtsfälle in China, Anzahl der Kontaktpersonen unter Beobachtung nicht genau bekannt, keine Information verfügbar dazu, wie viele der Fälle Kontakte sind</w:t>
            </w:r>
          </w:p>
          <w:p>
            <w:pPr>
              <w:pStyle w:val="Listenabsatz"/>
              <w:numPr>
                <w:ilvl w:val="0"/>
                <w:numId w:val="39"/>
              </w:numPr>
              <w:rPr>
                <w:rFonts w:ascii="Scala Sans OT" w:hAnsi="Scala Sans OT"/>
              </w:rPr>
            </w:pPr>
            <w:r>
              <w:rPr>
                <w:rFonts w:ascii="Scala Sans OT" w:hAnsi="Scala Sans OT"/>
              </w:rPr>
              <w:t>Erstmals neue Fälle in Indien, Philippinen, und Finnland</w:t>
            </w:r>
          </w:p>
          <w:p>
            <w:pPr>
              <w:rPr>
                <w:rFonts w:ascii="Scala Sans OT" w:hAnsi="Scala Sans OT"/>
                <w:b/>
                <w:szCs w:val="22"/>
              </w:rPr>
            </w:pPr>
          </w:p>
          <w:p>
            <w:pPr>
              <w:rPr>
                <w:rFonts w:ascii="Scala Sans OT" w:hAnsi="Scala Sans OT"/>
                <w:b/>
                <w:szCs w:val="22"/>
              </w:rPr>
            </w:pPr>
            <w:r>
              <w:rPr>
                <w:rFonts w:ascii="Scala Sans OT" w:hAnsi="Scala Sans OT"/>
                <w:b/>
                <w:szCs w:val="22"/>
              </w:rPr>
              <w:t>Aktuelle Lage - National</w:t>
            </w:r>
          </w:p>
          <w:p>
            <w:pPr>
              <w:pStyle w:val="Listenabsatz"/>
              <w:numPr>
                <w:ilvl w:val="0"/>
                <w:numId w:val="39"/>
              </w:numPr>
              <w:rPr>
                <w:rFonts w:ascii="Scala Sans OT" w:hAnsi="Scala Sans OT"/>
              </w:rPr>
            </w:pPr>
            <w:r>
              <w:rPr>
                <w:rFonts w:ascii="Scala Sans OT" w:hAnsi="Scala Sans OT"/>
              </w:rPr>
              <w:t>Insgesamt 4 bestätigte Fälle (1 Infektionsgeschehen) in Bayern, der erste hatte direkten Kontakt zu einer Chinesin, die nach ihrer Rückkehr in China positiv getestet wurde, 3 weitere bestätigte Fälle wurden unter den Kontakten zu der chinesischen Indexpatientin bzw. dem erstem deutschen Fall identifiziert. Einer der Fälle ist schwer erkrankt und wurde mit Influenza diagnostiziert, eine mögliche Ko-infektion wird aktuell untersucht. Bei allen bisher identifizierten Fällen wurde ein komplettes Blutbild gemacht.</w:t>
            </w:r>
          </w:p>
          <w:p>
            <w:pPr>
              <w:pStyle w:val="Listenabsatz"/>
              <w:numPr>
                <w:ilvl w:val="0"/>
                <w:numId w:val="39"/>
              </w:numPr>
              <w:rPr>
                <w:rFonts w:ascii="Scala Sans OT" w:hAnsi="Scala Sans OT"/>
              </w:rPr>
            </w:pPr>
            <w:r>
              <w:rPr>
                <w:rFonts w:ascii="Scala Sans OT" w:hAnsi="Scala Sans OT"/>
              </w:rPr>
              <w:t>Bei dem ersten bestätigten Fall gibt es 40 Kontaktpersonen in der Firma und zusätzlich Familienangehörige, die Zahl der Kontaktpersonen der 3 neuen Fälle steigt schnell an und war gestern bereits &gt;100.</w:t>
            </w:r>
          </w:p>
          <w:p>
            <w:pPr>
              <w:pStyle w:val="Listenabsatz"/>
              <w:numPr>
                <w:ilvl w:val="0"/>
                <w:numId w:val="39"/>
              </w:numPr>
              <w:rPr>
                <w:rFonts w:ascii="Scala Sans OT" w:hAnsi="Scala Sans OT"/>
              </w:rPr>
            </w:pPr>
            <w:r>
              <w:rPr>
                <w:rFonts w:ascii="Scala Sans OT" w:hAnsi="Scala Sans OT"/>
              </w:rPr>
              <w:t xml:space="preserve">Über die WHO vermittelt gab es einen direkten Kontakt zu der Indexpatientin in Shanghai, es wurden (durch GA in Bayern) mehr Details zur klinischen Entwicklung und weitere Expositionskontakte erfragt: Patientin meldete unspezifische Allgemeinsymptome (über „normales Jetlag hinaus“), die mit einer subjektive ILI-Symptomatik übereinstimmen, und die sie mit einem fiebersenkendem chinesischen Medikament therapiert hat. Ihre Eltern waren am 16.01. zu Besuch bei ihr in Shanghai, und sind während des Aufenthaltes dort bereits erkrankt. Ihr Vater, der auch eine Herzerkrankung hat, befindet sich aktuell auf der Intensivstation. </w:t>
            </w:r>
            <w:r>
              <w:rPr>
                <w:rFonts w:ascii="Scala Sans OT" w:hAnsi="Scala Sans OT"/>
              </w:rPr>
              <w:br/>
            </w:r>
            <w:r>
              <w:rPr>
                <w:rFonts w:ascii="Scala Sans OT" w:hAnsi="Scala Sans OT"/>
              </w:rPr>
              <w:sym w:font="Wingdings" w:char="F0E0"/>
            </w:r>
            <w:r>
              <w:rPr>
                <w:rFonts w:ascii="Scala Sans OT" w:hAnsi="Scala Sans OT"/>
              </w:rPr>
              <w:t xml:space="preserve"> Übertragung von asymptomatisch infizierten kann aktuell nicht bestätigt werden. Morgen um 09:00 findet erneuter Kontakt zu der Patientin mit chinesischer Unterstützung statt, auch um erneut die Bewegungsmuster der Patientin in Deutschland nachzuvollziehen.</w:t>
            </w:r>
          </w:p>
          <w:p>
            <w:pPr>
              <w:pStyle w:val="Listenabsatz"/>
              <w:numPr>
                <w:ilvl w:val="0"/>
                <w:numId w:val="39"/>
              </w:numPr>
              <w:rPr>
                <w:rFonts w:ascii="Scala Sans OT" w:hAnsi="Scala Sans OT"/>
              </w:rPr>
            </w:pPr>
            <w:r>
              <w:rPr>
                <w:rFonts w:ascii="Scala Sans OT" w:hAnsi="Scala Sans OT"/>
              </w:rPr>
              <w:t xml:space="preserve">Ein möglicher Sekundärfall unter den deutschen Kontakten ist sich keines Kontaktes mit der Indexpatientin (jedoch mit dem ersten deutschen bestätigten Fall) bewusst, beide waren aber wahrscheinlich in der selben Kantine und mögliche unbewusste Kontaktfelder sind nicht auszuschließen. Fallgeschichte und Exposition müssen noch bestätigt werden. </w:t>
            </w:r>
          </w:p>
          <w:p>
            <w:pPr>
              <w:pStyle w:val="Listenabsatz"/>
              <w:numPr>
                <w:ilvl w:val="0"/>
                <w:numId w:val="39"/>
              </w:numPr>
              <w:rPr>
                <w:rFonts w:ascii="Scala Sans OT" w:hAnsi="Scala Sans OT"/>
              </w:rPr>
            </w:pPr>
            <w:r>
              <w:rPr>
                <w:rFonts w:ascii="Scala Sans OT" w:hAnsi="Scala Sans OT"/>
              </w:rPr>
              <w:lastRenderedPageBreak/>
              <w:t xml:space="preserve">Genaue Dokumentation des klinischen Verlaufs und Studien zu den identifizierten Fällen laufen, Daten und Proben werden erhoben und analysiert, dies wird aktuell als Ausbruchsmanagement und Dienstaufgabe gesehen und soll wichtige Aufschlüsse zu 2019-nCoV liefern. Möglicherweise kann Bayern hierbei noch Unterstützung gebrauchen. </w:t>
            </w:r>
          </w:p>
          <w:p>
            <w:pPr>
              <w:pStyle w:val="Listenabsatz"/>
              <w:rPr>
                <w:rFonts w:ascii="Scala Sans OT" w:hAnsi="Scala Sans OT"/>
              </w:rPr>
            </w:pPr>
            <w:r>
              <w:rPr>
                <w:rFonts w:ascii="Scala Sans OT" w:hAnsi="Scala Sans OT"/>
              </w:rPr>
              <w:sym w:font="Wingdings" w:char="F0E0"/>
            </w:r>
            <w:r>
              <w:rPr>
                <w:rFonts w:ascii="Scala Sans OT" w:hAnsi="Scala Sans OT"/>
              </w:rPr>
              <w:t xml:space="preserve"> Praktische Empfehlung: aktuell an Falldefinition und Flussschema festhalten. </w:t>
            </w:r>
          </w:p>
          <w:p>
            <w:pPr>
              <w:pStyle w:val="Listenabsatz"/>
              <w:numPr>
                <w:ilvl w:val="0"/>
                <w:numId w:val="39"/>
              </w:numPr>
              <w:rPr>
                <w:rFonts w:ascii="Scala Sans OT" w:hAnsi="Scala Sans OT"/>
              </w:rPr>
            </w:pPr>
            <w:r>
              <w:rPr>
                <w:rFonts w:ascii="Scala Sans OT" w:hAnsi="Scala Sans OT"/>
              </w:rPr>
              <w:t xml:space="preserve">Aus STAG-IH TK gestern: es liegen keine hilfreichen Informationen zur klinischen Situation der Patienten aus China vor, aktuell beruht die gesamte Risikoeinschätzung auf den Fällen außerhalb Chinas, die WHO versucht die Untersuchungen der Fälle so gut wie möglich zu harmonisieren. </w:t>
            </w:r>
          </w:p>
          <w:p>
            <w:pPr>
              <w:pStyle w:val="Listenabsatz"/>
              <w:numPr>
                <w:ilvl w:val="0"/>
                <w:numId w:val="39"/>
              </w:numPr>
              <w:rPr>
                <w:rFonts w:ascii="Scala Sans OT" w:hAnsi="Scala Sans OT"/>
              </w:rPr>
            </w:pPr>
            <w:r>
              <w:rPr>
                <w:rFonts w:ascii="Scala Sans OT" w:hAnsi="Scala Sans OT"/>
              </w:rPr>
              <w:t xml:space="preserve">Internationale Kontaktpersonennachverfolgung läuft, 2 mild symptomatische Kontakte befinden sich aktuell in einem Ferienhaus in Teneriffa, die Kollegen in Spanien wurden informiert. </w:t>
            </w:r>
          </w:p>
          <w:p>
            <w:pPr>
              <w:pStyle w:val="Listenabsatz"/>
              <w:numPr>
                <w:ilvl w:val="0"/>
                <w:numId w:val="39"/>
              </w:numPr>
              <w:rPr>
                <w:rFonts w:ascii="Scala Sans OT" w:hAnsi="Scala Sans OT"/>
              </w:rPr>
            </w:pPr>
            <w:r>
              <w:rPr>
                <w:rFonts w:ascii="Scala Sans OT" w:hAnsi="Scala Sans OT"/>
              </w:rPr>
              <w:t xml:space="preserve">Ein Ausbruchsteam des RKI (PAE, FG 32) ist unterwegs nach Bayern um die Kollegen vor Ort bei der </w:t>
            </w:r>
            <w:proofErr w:type="spellStart"/>
            <w:r>
              <w:rPr>
                <w:rFonts w:ascii="Scala Sans OT" w:hAnsi="Scala Sans OT"/>
              </w:rPr>
              <w:t>KoNa</w:t>
            </w:r>
            <w:proofErr w:type="spellEnd"/>
            <w:r>
              <w:rPr>
                <w:rFonts w:ascii="Scala Sans OT" w:hAnsi="Scala Sans OT"/>
              </w:rPr>
              <w:t xml:space="preserve"> und Datenerhebung zu unterstützen. </w:t>
            </w:r>
          </w:p>
          <w:p>
            <w:pPr>
              <w:pStyle w:val="Listenabsatz"/>
              <w:numPr>
                <w:ilvl w:val="0"/>
                <w:numId w:val="39"/>
              </w:numPr>
              <w:rPr>
                <w:rFonts w:ascii="Scala Sans OT" w:hAnsi="Scala Sans OT"/>
              </w:rPr>
            </w:pPr>
            <w:r>
              <w:rPr>
                <w:rFonts w:ascii="Scala Sans OT" w:hAnsi="Scala Sans OT"/>
              </w:rPr>
              <w:t>Risikobewertung: Aktuell kein Anpassungsbedarf, bleibt bestehen</w:t>
            </w:r>
          </w:p>
          <w:p>
            <w:pPr>
              <w:rPr>
                <w:rFonts w:ascii="Scala Sans OT" w:hAnsi="Scala Sans OT"/>
                <w:sz w:val="22"/>
                <w:szCs w:val="22"/>
              </w:rPr>
            </w:pPr>
          </w:p>
          <w:p>
            <w:pPr>
              <w:rPr>
                <w:rFonts w:ascii="Scala Sans OT" w:hAnsi="Scala Sans OT"/>
                <w:sz w:val="22"/>
                <w:szCs w:val="22"/>
              </w:rPr>
            </w:pPr>
          </w:p>
        </w:tc>
      </w:tr>
      <w:tr>
        <w:tc>
          <w:tcPr>
            <w:tcW w:w="817" w:type="dxa"/>
          </w:tcPr>
          <w:p>
            <w:pPr>
              <w:rPr>
                <w:rFonts w:ascii="Scala Sans OT" w:hAnsi="Scala Sans OT"/>
                <w:b/>
                <w:sz w:val="22"/>
                <w:szCs w:val="22"/>
              </w:rPr>
            </w:pPr>
            <w:r>
              <w:rPr>
                <w:rFonts w:ascii="Scala Sans OT" w:hAnsi="Scala Sans OT"/>
                <w:b/>
                <w:sz w:val="22"/>
                <w:szCs w:val="22"/>
              </w:rPr>
              <w:lastRenderedPageBreak/>
              <w:t>2</w:t>
            </w:r>
          </w:p>
        </w:tc>
        <w:tc>
          <w:tcPr>
            <w:tcW w:w="7699" w:type="dxa"/>
          </w:tcPr>
          <w:p>
            <w:pPr>
              <w:rPr>
                <w:rFonts w:ascii="Scala Sans OT" w:hAnsi="Scala Sans OT"/>
                <w:b/>
              </w:rPr>
            </w:pPr>
            <w:r>
              <w:rPr>
                <w:rFonts w:ascii="Scala Sans OT" w:hAnsi="Scala Sans OT"/>
                <w:b/>
              </w:rPr>
              <w:t>Kommunikation</w:t>
            </w:r>
          </w:p>
          <w:p>
            <w:pPr>
              <w:pStyle w:val="Listenabsatz"/>
              <w:numPr>
                <w:ilvl w:val="0"/>
                <w:numId w:val="40"/>
              </w:numPr>
              <w:rPr>
                <w:rFonts w:ascii="Scala Sans OT" w:hAnsi="Scala Sans OT"/>
                <w:b/>
              </w:rPr>
            </w:pPr>
            <w:r>
              <w:rPr>
                <w:rFonts w:ascii="Scala Sans OT" w:hAnsi="Scala Sans OT"/>
              </w:rPr>
              <w:t>Diverse Krankenkassen, Bayern und Berlin haben Hotlines zu 2019-nCoV eingerichtet.</w:t>
            </w:r>
          </w:p>
          <w:p>
            <w:pPr>
              <w:pStyle w:val="Listenabsatz"/>
              <w:numPr>
                <w:ilvl w:val="0"/>
                <w:numId w:val="40"/>
              </w:numPr>
              <w:rPr>
                <w:rFonts w:ascii="Scala Sans OT" w:hAnsi="Scala Sans OT"/>
                <w:b/>
              </w:rPr>
            </w:pPr>
            <w:r>
              <w:rPr>
                <w:rFonts w:ascii="Scala Sans OT" w:hAnsi="Scala Sans OT"/>
              </w:rPr>
              <w:t xml:space="preserve">Eine Bürger-Hotline auf Bundesebene unstreitig erforderlich: BZgA ist aktuell nicht in der Lage eine solche zu schalten, wird jedoch notwendigen Ressourcen definieren um zu sehen, wie eine solche umgesetzt werden könnte. </w:t>
            </w:r>
          </w:p>
          <w:p>
            <w:pPr>
              <w:pStyle w:val="Listenabsatz"/>
              <w:numPr>
                <w:ilvl w:val="0"/>
                <w:numId w:val="40"/>
              </w:numPr>
              <w:rPr>
                <w:rFonts w:ascii="Scala Sans OT" w:hAnsi="Scala Sans OT"/>
                <w:b/>
              </w:rPr>
            </w:pPr>
            <w:r>
              <w:rPr>
                <w:rFonts w:ascii="Scala Sans OT" w:hAnsi="Scala Sans OT"/>
              </w:rPr>
              <w:t>BMG prüft aktuell, ob ihrerseits eine Hotline eingerichtet werden kann, RKI kann lediglich fachliche Unterstützung bieten wenn die Anrufe zunächst gefiltert werden.</w:t>
            </w:r>
          </w:p>
          <w:p>
            <w:pPr>
              <w:pStyle w:val="Listenabsatz"/>
              <w:numPr>
                <w:ilvl w:val="0"/>
                <w:numId w:val="40"/>
              </w:numPr>
              <w:rPr>
                <w:rFonts w:ascii="Scala Sans OT" w:hAnsi="Scala Sans OT"/>
                <w:b/>
              </w:rPr>
            </w:pPr>
            <w:r>
              <w:rPr>
                <w:rFonts w:ascii="Scala Sans OT" w:hAnsi="Scala Sans OT"/>
              </w:rPr>
              <w:t>Die Risikogebiete auf der RKI-Webseite wurden aktualisiert(Karte mit Inzidenzen; Tabelle mit Fallzahlen), nach wie vor wird die Provinz Hubei als Risikogebiet definiert.</w:t>
            </w:r>
          </w:p>
          <w:p>
            <w:pPr>
              <w:pStyle w:val="Listenabsatz"/>
              <w:numPr>
                <w:ilvl w:val="0"/>
                <w:numId w:val="40"/>
              </w:numPr>
              <w:rPr>
                <w:rFonts w:ascii="Scala Sans OT" w:hAnsi="Scala Sans OT"/>
              </w:rPr>
            </w:pPr>
            <w:r>
              <w:rPr>
                <w:rFonts w:ascii="Scala Sans OT" w:hAnsi="Scala Sans OT"/>
              </w:rPr>
              <w:t>Maßnahmen für Reiserückkehrer aus anderen Provinzen Chinas: heute wird in der AGI eine Anpassung des Flughafen Poster abgestimmt. Reiserückkehrer aus ganz China sollen dazu aufgerufen werden, sich bei Symptomen an das Flughafenpersonal bzw. einen Arzt zu wenden. Die Falldefinition bleibt zunächst unverändert. Wenn jedoch die Falldefinition definitiv erfüllt ist, sollte der labordiagnostische Test nicht ambulant und während einer Patienten-Isolierung durchgeführt werden (anders als wenn Arzt differentialdiagnostisch testet).</w:t>
            </w:r>
            <w:r>
              <w:rPr>
                <w:rFonts w:ascii="Scala Sans OT" w:hAnsi="Scala Sans OT"/>
              </w:rPr>
              <w:br/>
              <w:t xml:space="preserve">Wenn die aktuelle </w:t>
            </w:r>
            <w:proofErr w:type="spellStart"/>
            <w:r>
              <w:rPr>
                <w:rFonts w:ascii="Scala Sans OT" w:hAnsi="Scala Sans OT"/>
              </w:rPr>
              <w:t>Ausreiseblockage</w:t>
            </w:r>
            <w:proofErr w:type="spellEnd"/>
            <w:r>
              <w:rPr>
                <w:rFonts w:ascii="Scala Sans OT" w:hAnsi="Scala Sans OT"/>
              </w:rPr>
              <w:t xml:space="preserve"> aus dem Risikogebiet </w:t>
            </w:r>
            <w:r>
              <w:rPr>
                <w:rFonts w:ascii="Scala Sans OT" w:hAnsi="Scala Sans OT"/>
              </w:rPr>
              <w:lastRenderedPageBreak/>
              <w:t xml:space="preserve">zusammenbricht muss die Empfehlung angepasst werden. </w:t>
            </w:r>
          </w:p>
          <w:p>
            <w:pPr>
              <w:pStyle w:val="Listenabsatz"/>
              <w:numPr>
                <w:ilvl w:val="0"/>
                <w:numId w:val="40"/>
              </w:numPr>
              <w:rPr>
                <w:rFonts w:ascii="Scala Sans OT" w:hAnsi="Scala Sans OT"/>
              </w:rPr>
            </w:pPr>
            <w:proofErr w:type="spellStart"/>
            <w:r>
              <w:rPr>
                <w:rFonts w:ascii="Scala Sans OT" w:hAnsi="Scala Sans OT"/>
              </w:rPr>
              <w:t>Präs</w:t>
            </w:r>
            <w:proofErr w:type="spellEnd"/>
            <w:r>
              <w:rPr>
                <w:rFonts w:ascii="Scala Sans OT" w:hAnsi="Scala Sans OT"/>
              </w:rPr>
              <w:t xml:space="preserve"> war gestern erneut im Gesundheitsausschuss und Unterausschuss globale Gesundheit: sehr viel Lob und Dankbarkeit für RKI-Arbeit.</w:t>
            </w:r>
          </w:p>
          <w:p>
            <w:pPr>
              <w:rPr>
                <w:rFonts w:ascii="Scala Sans OT" w:hAnsi="Scala Sans OT"/>
                <w:b/>
                <w:i/>
                <w:sz w:val="22"/>
                <w:szCs w:val="22"/>
              </w:rPr>
            </w:pP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nach Abstimmung Verbreitung/Veröffentlichung des angepassten Flughafen Posters</w:t>
            </w:r>
          </w:p>
          <w:p>
            <w:pPr>
              <w:rPr>
                <w:rFonts w:ascii="Scala Sans OT" w:hAnsi="Scala Sans OT"/>
                <w:b/>
                <w:szCs w:val="22"/>
              </w:rPr>
            </w:pPr>
          </w:p>
        </w:tc>
      </w:tr>
      <w:tr>
        <w:tc>
          <w:tcPr>
            <w:tcW w:w="817" w:type="dxa"/>
          </w:tcPr>
          <w:p>
            <w:pPr>
              <w:rPr>
                <w:rFonts w:ascii="Scala Sans OT" w:hAnsi="Scala Sans OT"/>
                <w:b/>
                <w:sz w:val="22"/>
                <w:szCs w:val="22"/>
              </w:rPr>
            </w:pPr>
            <w:r>
              <w:rPr>
                <w:rFonts w:ascii="Scala Sans OT" w:hAnsi="Scala Sans OT"/>
                <w:b/>
                <w:sz w:val="22"/>
                <w:szCs w:val="22"/>
              </w:rPr>
              <w:lastRenderedPageBreak/>
              <w:t>3</w:t>
            </w:r>
          </w:p>
        </w:tc>
        <w:tc>
          <w:tcPr>
            <w:tcW w:w="7699" w:type="dxa"/>
          </w:tcPr>
          <w:p>
            <w:pPr>
              <w:rPr>
                <w:rFonts w:ascii="Scala Sans OT" w:hAnsi="Scala Sans OT"/>
                <w:b/>
              </w:rPr>
            </w:pPr>
            <w:r>
              <w:rPr>
                <w:rFonts w:ascii="Scala Sans OT" w:hAnsi="Scala Sans OT"/>
                <w:b/>
              </w:rPr>
              <w:t>Labordiagnostik</w:t>
            </w:r>
          </w:p>
          <w:p>
            <w:pPr>
              <w:pStyle w:val="Listenabsatz"/>
              <w:numPr>
                <w:ilvl w:val="0"/>
                <w:numId w:val="39"/>
              </w:numPr>
              <w:rPr>
                <w:rFonts w:ascii="Scala Sans OT" w:hAnsi="Scala Sans OT"/>
              </w:rPr>
            </w:pPr>
            <w:r>
              <w:rPr>
                <w:rFonts w:ascii="Scala Sans OT" w:hAnsi="Scala Sans OT"/>
              </w:rPr>
              <w:t xml:space="preserve">Dokument zur 2019-nCoV Diagnostik wurde weiter angepasst, und weitere Labore haben Vorgang etabliert. </w:t>
            </w:r>
          </w:p>
          <w:p>
            <w:pPr>
              <w:pStyle w:val="Listenabsatz"/>
              <w:numPr>
                <w:ilvl w:val="0"/>
                <w:numId w:val="39"/>
              </w:numPr>
              <w:rPr>
                <w:rFonts w:ascii="Scala Sans OT" w:hAnsi="Scala Sans OT"/>
              </w:rPr>
            </w:pPr>
            <w:r>
              <w:rPr>
                <w:rFonts w:ascii="Scala Sans OT" w:hAnsi="Scala Sans OT"/>
              </w:rPr>
              <w:t xml:space="preserve">Durch die JEE in Deutschland wurde eine gute Übersicht über die </w:t>
            </w:r>
            <w:proofErr w:type="spellStart"/>
            <w:r>
              <w:rPr>
                <w:rFonts w:ascii="Scala Sans OT" w:hAnsi="Scala Sans OT"/>
              </w:rPr>
              <w:t>Laboratorienlandschaft</w:t>
            </w:r>
            <w:proofErr w:type="spellEnd"/>
            <w:r>
              <w:rPr>
                <w:rFonts w:ascii="Scala Sans OT" w:hAnsi="Scala Sans OT"/>
              </w:rPr>
              <w:t xml:space="preserve"> erlangt. Hinweise des RKI über Labore die Testkapazitäten haben ist kontraproduktiv und sollten nicht veröffentlicht werden. Wir gehen davon aus, dass die großen, etablierten Laborversorger mit der Thematik bekannt sind und ein Angebot für versorgte Praxen unterbreiten. </w:t>
            </w:r>
          </w:p>
          <w:p>
            <w:pPr>
              <w:pStyle w:val="Listenabsatz"/>
              <w:numPr>
                <w:ilvl w:val="0"/>
                <w:numId w:val="39"/>
              </w:numPr>
              <w:rPr>
                <w:rFonts w:ascii="Scala Sans OT" w:hAnsi="Scala Sans OT"/>
              </w:rPr>
            </w:pPr>
            <w:r>
              <w:rPr>
                <w:rFonts w:ascii="Scala Sans OT" w:hAnsi="Scala Sans OT"/>
              </w:rPr>
              <w:t>Alle positiven Proben sollen nach wie vor ans KL gehen um diesem eine gute Basis für Sequenzierung und Virus-Veränderungen beobachten zu können. Integrierte molekulare Surveillance sollte etabliert werden, und Kommunikation hierzu mit KL und Bundeswehr stattfinden. Hierfür muss die Labornummer über Meldefall mit an das RKI übermittelt werden, um epidemiologische Zusammenführung der Daten zu ermöglichen.</w:t>
            </w:r>
          </w:p>
          <w:p>
            <w:pPr>
              <w:pStyle w:val="Listenabsatz"/>
              <w:numPr>
                <w:ilvl w:val="0"/>
                <w:numId w:val="39"/>
              </w:numPr>
              <w:rPr>
                <w:rFonts w:ascii="Scala Sans OT" w:hAnsi="Scala Sans OT"/>
              </w:rPr>
            </w:pPr>
            <w:r>
              <w:rPr>
                <w:rFonts w:ascii="Scala Sans OT" w:hAnsi="Scala Sans OT"/>
              </w:rPr>
              <w:t xml:space="preserve">Bezüglich der Repatriierung bleibt abzuwarten, wo die Passagiere in Quarantäne gebracht werden, das lokale GA wird verantwortlich für sie sein. Sobald es feststeht, soll eine standardisierte Prä-Analytik, besser an einem Ort, gesichert werden. Diese Entscheidung wird voraussichtlich heute getroffen. </w:t>
            </w:r>
          </w:p>
          <w:p>
            <w:pPr>
              <w:rPr>
                <w:rFonts w:ascii="Scala Sans OT" w:hAnsi="Scala Sans OT"/>
                <w:b/>
                <w:szCs w:val="22"/>
              </w:rPr>
            </w:pPr>
          </w:p>
        </w:tc>
      </w:tr>
      <w:tr>
        <w:tc>
          <w:tcPr>
            <w:tcW w:w="817" w:type="dxa"/>
          </w:tcPr>
          <w:p>
            <w:pPr>
              <w:rPr>
                <w:rFonts w:ascii="Scala Sans OT" w:hAnsi="Scala Sans OT"/>
                <w:b/>
                <w:sz w:val="22"/>
                <w:szCs w:val="22"/>
              </w:rPr>
            </w:pPr>
            <w:r>
              <w:rPr>
                <w:rFonts w:ascii="Scala Sans OT" w:hAnsi="Scala Sans OT"/>
                <w:b/>
                <w:sz w:val="22"/>
                <w:szCs w:val="22"/>
              </w:rPr>
              <w:t>4</w:t>
            </w:r>
          </w:p>
        </w:tc>
        <w:tc>
          <w:tcPr>
            <w:tcW w:w="7699" w:type="dxa"/>
          </w:tcPr>
          <w:p>
            <w:pPr>
              <w:rPr>
                <w:rFonts w:ascii="Scala Sans OT" w:hAnsi="Scala Sans OT"/>
                <w:b/>
              </w:rPr>
            </w:pPr>
            <w:r>
              <w:rPr>
                <w:rFonts w:ascii="Scala Sans OT" w:hAnsi="Scala Sans OT"/>
                <w:b/>
              </w:rPr>
              <w:t>Surveillance-Anforderungen</w:t>
            </w:r>
          </w:p>
          <w:p>
            <w:pPr>
              <w:pStyle w:val="Listenabsatz"/>
              <w:numPr>
                <w:ilvl w:val="0"/>
                <w:numId w:val="39"/>
              </w:numPr>
              <w:rPr>
                <w:rFonts w:ascii="Scala Sans OT" w:hAnsi="Scala Sans OT"/>
              </w:rPr>
            </w:pPr>
            <w:r>
              <w:rPr>
                <w:rFonts w:ascii="Scala Sans OT" w:hAnsi="Scala Sans OT"/>
              </w:rPr>
              <w:t>Die Rechtsverordnung zur Klarstellung der Meldepflicht in Bezug auf 2019-nCoV beinhaltet auch Labor- und nicht nur Arzt-Meldepflicht. Der Minister sagte im Fernsehen dass nur bestätigte Fälle meldepflichtig sind, was unserer Regelung widerspricht, es wird jedoch auf Arbeitsebene weiter so gehandhabt</w:t>
            </w:r>
          </w:p>
          <w:p>
            <w:pPr>
              <w:pStyle w:val="Listenabsatz"/>
              <w:numPr>
                <w:ilvl w:val="0"/>
                <w:numId w:val="39"/>
              </w:numPr>
              <w:rPr>
                <w:rFonts w:ascii="Scala Sans OT" w:hAnsi="Scala Sans OT"/>
              </w:rPr>
            </w:pPr>
            <w:r>
              <w:rPr>
                <w:rFonts w:ascii="Scala Sans OT" w:hAnsi="Scala Sans OT"/>
              </w:rPr>
              <w:t>Im gestrigen Lagebericht konnten keine epidemiologischen Daten zu den Fälle in Deutschland geliefert werden, dies muss sich ändern</w:t>
            </w:r>
          </w:p>
          <w:p>
            <w:pPr>
              <w:rPr>
                <w:rFonts w:ascii="Scala Sans OT" w:hAnsi="Scala Sans OT"/>
                <w:b/>
                <w:i/>
                <w:sz w:val="22"/>
                <w:szCs w:val="22"/>
              </w:rPr>
            </w:pPr>
          </w:p>
          <w:p>
            <w:pPr>
              <w:rPr>
                <w:rFonts w:ascii="Scala Sans OT" w:hAnsi="Scala Sans OT"/>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Es wäre gut, wenn die Pressestelle solcherart Aussagen des Minister/BMG weiterleiten oder aufführen könnte</w:t>
            </w:r>
            <w:r>
              <w:rPr>
                <w:rFonts w:ascii="Scala Sans OT" w:hAnsi="Scala Sans OT"/>
                <w:b/>
                <w:i/>
                <w:sz w:val="22"/>
                <w:szCs w:val="22"/>
              </w:rPr>
              <w:br/>
            </w:r>
          </w:p>
        </w:tc>
      </w:tr>
      <w:tr>
        <w:tc>
          <w:tcPr>
            <w:tcW w:w="817" w:type="dxa"/>
          </w:tcPr>
          <w:p>
            <w:pPr>
              <w:rPr>
                <w:rFonts w:ascii="Scala Sans OT" w:hAnsi="Scala Sans OT"/>
                <w:b/>
                <w:sz w:val="22"/>
                <w:szCs w:val="22"/>
              </w:rPr>
            </w:pPr>
            <w:r>
              <w:rPr>
                <w:rFonts w:ascii="Scala Sans OT" w:hAnsi="Scala Sans OT"/>
                <w:b/>
                <w:sz w:val="22"/>
                <w:szCs w:val="22"/>
              </w:rPr>
              <w:t>5</w:t>
            </w:r>
          </w:p>
        </w:tc>
        <w:tc>
          <w:tcPr>
            <w:tcW w:w="7699" w:type="dxa"/>
          </w:tcPr>
          <w:p>
            <w:pPr>
              <w:rPr>
                <w:rFonts w:ascii="Scala Sans OT" w:hAnsi="Scala Sans OT"/>
                <w:b/>
              </w:rPr>
            </w:pPr>
            <w:r>
              <w:rPr>
                <w:rFonts w:ascii="Scala Sans OT" w:hAnsi="Scala Sans OT"/>
                <w:b/>
              </w:rPr>
              <w:t>Maßnahmen zum Infektionsschutz</w:t>
            </w:r>
          </w:p>
          <w:p>
            <w:pPr>
              <w:pStyle w:val="Listenabsatz"/>
              <w:numPr>
                <w:ilvl w:val="0"/>
                <w:numId w:val="40"/>
              </w:numPr>
              <w:rPr>
                <w:rFonts w:ascii="Scala Sans OT" w:hAnsi="Scala Sans OT"/>
                <w:b/>
              </w:rPr>
            </w:pPr>
            <w:r>
              <w:rPr>
                <w:rFonts w:ascii="Scala Sans OT" w:hAnsi="Scala Sans OT"/>
              </w:rPr>
              <w:t xml:space="preserve">Es gibt sehr zahlreiche Anfragen zu möglichen/notwendigen Maßnahmen. Ein Papier zum Kontaktpersonenmanagement wurde </w:t>
            </w:r>
            <w:r>
              <w:rPr>
                <w:rFonts w:ascii="Scala Sans OT" w:hAnsi="Scala Sans OT"/>
              </w:rPr>
              <w:lastRenderedPageBreak/>
              <w:t>fertiggestellt und wird heute mit der AGI abgestimmt, und der Infobrief bezüglich der Erfassung von Informationen zu Fällen ist soweit finalisiert, über denselben Weg soll auch Erfassung der Information über Kontaktpersonen laufen. Alle anderen veröffentlichten Dokument sind gültig wie gehabt, diese beinhalten lediglich zusätzliche Empfehlungen.</w:t>
            </w:r>
          </w:p>
          <w:p>
            <w:pPr>
              <w:pStyle w:val="Listenabsatz"/>
              <w:numPr>
                <w:ilvl w:val="0"/>
                <w:numId w:val="40"/>
              </w:numPr>
              <w:rPr>
                <w:rFonts w:ascii="Scala Sans OT" w:hAnsi="Scala Sans OT"/>
                <w:b/>
              </w:rPr>
            </w:pPr>
            <w:r>
              <w:rPr>
                <w:rFonts w:ascii="Scala Sans OT" w:hAnsi="Scala Sans OT"/>
              </w:rPr>
              <w:t>Ratgeber für Ärzte zu 2019-nCoV: FG 36 hat einen Erregersteckbrief begonnen. Dieser wird kontinuierlich ergänzt, es bestehen noch zu viele offene Fragen und zu viele Erkenntnisse werden aktuell noch gewonnen. Sobald mehr Evidenz vorhanden ist, kann die Machbarkeit/zusätzliche Belastung eines Ratgebers ausgewertet werden.</w:t>
            </w:r>
          </w:p>
          <w:p>
            <w:pPr>
              <w:pStyle w:val="Listenabsatz"/>
              <w:numPr>
                <w:ilvl w:val="0"/>
                <w:numId w:val="40"/>
              </w:numPr>
              <w:rPr>
                <w:rFonts w:ascii="Scala Sans OT" w:hAnsi="Scala Sans OT"/>
                <w:b/>
              </w:rPr>
            </w:pPr>
            <w:r>
              <w:rPr>
                <w:rFonts w:ascii="Scala Sans OT" w:hAnsi="Scala Sans OT"/>
              </w:rPr>
              <w:t xml:space="preserve">Das RKI sollte ein Konzept für die nächste Phase (Eskalation, was passiert wenn Containment nicht klappt) vorbereiten, das auf Nachfrage kommuniziert werden könnte. Dies muss sprachlich sehr sorgfältig vorbereitet werden: was passiert wenn Lage sich verändert, Querverweise auf Pandemieplan, Anpassung von Informationsinhalten. Aktuell kann keine Energie in einen zusätzlichen Rahmenplan gesetzt werden, an einer Minimallösung muss gearbeitet werden. Es gibt ein Konzeptpapier (FG 36), das hierfür als Aufschlag genutzt werden könnte und Antworten geben würde: Verantwortliche Stellen für Umsetzung im Falle einer Pandemie, Vorbereitung, wer übernimmt welche Verantwortung, inklusive Orientierung an gewissen Stufen? </w:t>
            </w:r>
          </w:p>
          <w:p>
            <w:pPr>
              <w:rPr>
                <w:rFonts w:ascii="Scala Sans OT" w:hAnsi="Scala Sans OT"/>
                <w:b/>
                <w:i/>
                <w:sz w:val="22"/>
                <w:szCs w:val="22"/>
              </w:rPr>
            </w:pP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xml:space="preserve">: Aufgabe Kontaktpersonenmanagement nach Abstimmung </w:t>
            </w:r>
            <w:proofErr w:type="spellStart"/>
            <w:r>
              <w:rPr>
                <w:rFonts w:ascii="Scala Sans OT" w:hAnsi="Scala Sans OT"/>
                <w:b/>
                <w:i/>
                <w:sz w:val="22"/>
                <w:szCs w:val="22"/>
              </w:rPr>
              <w:t>asap</w:t>
            </w:r>
            <w:proofErr w:type="spellEnd"/>
            <w:r>
              <w:rPr>
                <w:rFonts w:ascii="Scala Sans OT" w:hAnsi="Scala Sans OT"/>
                <w:b/>
                <w:i/>
                <w:sz w:val="22"/>
                <w:szCs w:val="22"/>
              </w:rPr>
              <w:t xml:space="preserve"> auf RKI-Webseite</w:t>
            </w:r>
          </w:p>
          <w:p>
            <w:pPr>
              <w:rPr>
                <w:rFonts w:ascii="Scala Sans OT" w:hAnsi="Scala Sans OT"/>
                <w:b/>
                <w:i/>
                <w:sz w:val="22"/>
                <w:szCs w:val="22"/>
              </w:rPr>
            </w:pP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Klärung der Begriffe Quarantäne und Isolierung mit den Kollegen in Bayern</w:t>
            </w:r>
          </w:p>
          <w:p>
            <w:pPr>
              <w:rPr>
                <w:rFonts w:ascii="Scala Sans OT" w:hAnsi="Scala Sans OT"/>
                <w:b/>
                <w:i/>
                <w:sz w:val="22"/>
                <w:szCs w:val="22"/>
              </w:rPr>
            </w:pP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Artikel zu Schweinegrippe wo es so einen Shift gab heraussuchen und bereits anfänglich anpassen (wurde bereits von Presse an Walter Haas geschickt?)</w:t>
            </w:r>
          </w:p>
          <w:p>
            <w:pPr>
              <w:rPr>
                <w:rFonts w:ascii="Scala Sans OT" w:hAnsi="Scala Sans OT"/>
                <w:b/>
                <w:i/>
                <w:sz w:val="22"/>
                <w:szCs w:val="22"/>
              </w:rPr>
            </w:pP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Walter Haas und Lars Schaade tauschen sich zu Eskalationskonzept aus.</w:t>
            </w:r>
          </w:p>
          <w:p>
            <w:pPr>
              <w:rPr>
                <w:rFonts w:ascii="Scala Sans OT" w:hAnsi="Scala Sans OT"/>
                <w:b/>
                <w:i/>
                <w:sz w:val="22"/>
                <w:szCs w:val="22"/>
              </w:rPr>
            </w:pPr>
          </w:p>
          <w:p>
            <w:pPr>
              <w:pStyle w:val="Listenabsatz"/>
              <w:numPr>
                <w:ilvl w:val="0"/>
                <w:numId w:val="40"/>
              </w:numPr>
              <w:rPr>
                <w:rFonts w:ascii="Scala Sans OT" w:hAnsi="Scala Sans OT"/>
              </w:rPr>
            </w:pPr>
            <w:r>
              <w:rPr>
                <w:rFonts w:ascii="Scala Sans OT" w:hAnsi="Scala Sans OT"/>
              </w:rPr>
              <w:t xml:space="preserve">Medikamentenbevorratung, Notwendigkeit, </w:t>
            </w:r>
            <w:proofErr w:type="spellStart"/>
            <w:r>
              <w:rPr>
                <w:rFonts w:ascii="Scala Sans OT" w:hAnsi="Scala Sans OT"/>
              </w:rPr>
              <w:t>Remdesivir</w:t>
            </w:r>
            <w:proofErr w:type="spellEnd"/>
            <w:r>
              <w:rPr>
                <w:rFonts w:ascii="Scala Sans OT" w:hAnsi="Scala Sans OT"/>
              </w:rPr>
              <w:t xml:space="preserve">, </w:t>
            </w:r>
            <w:proofErr w:type="spellStart"/>
            <w:r>
              <w:rPr>
                <w:rFonts w:ascii="Scala Sans OT" w:hAnsi="Scala Sans OT"/>
              </w:rPr>
              <w:t>supportive</w:t>
            </w:r>
            <w:proofErr w:type="spellEnd"/>
            <w:r>
              <w:rPr>
                <w:rFonts w:ascii="Scala Sans OT" w:hAnsi="Scala Sans OT"/>
              </w:rPr>
              <w:t xml:space="preserve"> Therapie</w:t>
            </w:r>
          </w:p>
          <w:p>
            <w:pPr>
              <w:rPr>
                <w:rFonts w:ascii="Scala Sans OT" w:hAnsi="Scala Sans OT"/>
                <w:b/>
                <w:i/>
                <w:sz w:val="22"/>
                <w:szCs w:val="22"/>
              </w:rPr>
            </w:pPr>
          </w:p>
          <w:p>
            <w:pPr>
              <w:rPr>
                <w:rFonts w:ascii="Scala Sans OT" w:hAnsi="Scala Sans OT"/>
                <w:b/>
                <w:i/>
                <w:sz w:val="22"/>
                <w:szCs w:val="22"/>
              </w:rPr>
            </w:pPr>
            <w:r>
              <w:rPr>
                <w:rFonts w:ascii="Scala Sans OT" w:hAnsi="Scala Sans OT"/>
                <w:b/>
                <w:i/>
                <w:sz w:val="22"/>
                <w:szCs w:val="22"/>
              </w:rPr>
              <w:t>THEMA VERTAGT auf  31.01.2020.</w:t>
            </w:r>
          </w:p>
          <w:p>
            <w:pPr>
              <w:rPr>
                <w:rFonts w:ascii="Scala Sans OT" w:hAnsi="Scala Sans OT"/>
                <w:b/>
              </w:rPr>
            </w:pPr>
            <w:r>
              <w:rPr>
                <w:rFonts w:ascii="Scala Sans OT" w:hAnsi="Scala Sans OT"/>
                <w:b/>
                <w:i/>
                <w:sz w:val="22"/>
                <w:szCs w:val="22"/>
              </w:rPr>
              <w:br/>
            </w:r>
          </w:p>
        </w:tc>
      </w:tr>
      <w:tr>
        <w:tc>
          <w:tcPr>
            <w:tcW w:w="817" w:type="dxa"/>
          </w:tcPr>
          <w:p>
            <w:pPr>
              <w:rPr>
                <w:rFonts w:ascii="Scala Sans OT" w:hAnsi="Scala Sans OT"/>
                <w:b/>
                <w:sz w:val="22"/>
                <w:szCs w:val="22"/>
              </w:rPr>
            </w:pPr>
            <w:r>
              <w:rPr>
                <w:rFonts w:ascii="Scala Sans OT" w:hAnsi="Scala Sans OT"/>
                <w:b/>
                <w:sz w:val="22"/>
                <w:szCs w:val="22"/>
              </w:rPr>
              <w:lastRenderedPageBreak/>
              <w:t>6</w:t>
            </w:r>
          </w:p>
        </w:tc>
        <w:tc>
          <w:tcPr>
            <w:tcW w:w="7699" w:type="dxa"/>
          </w:tcPr>
          <w:p>
            <w:pPr>
              <w:rPr>
                <w:rFonts w:ascii="Scala Sans OT" w:hAnsi="Scala Sans OT"/>
                <w:b/>
              </w:rPr>
            </w:pPr>
            <w:r>
              <w:rPr>
                <w:rFonts w:ascii="Scala Sans OT" w:hAnsi="Scala Sans OT"/>
                <w:b/>
              </w:rPr>
              <w:t>Klinisches Management</w:t>
            </w:r>
          </w:p>
          <w:p>
            <w:pPr>
              <w:pStyle w:val="Listenabsatz"/>
              <w:numPr>
                <w:ilvl w:val="0"/>
                <w:numId w:val="39"/>
              </w:numPr>
              <w:rPr>
                <w:rFonts w:ascii="Scala Sans OT" w:hAnsi="Scala Sans OT"/>
              </w:rPr>
            </w:pPr>
            <w:r>
              <w:rPr>
                <w:rFonts w:ascii="Scala Sans OT" w:hAnsi="Scala Sans OT"/>
              </w:rPr>
              <w:t>Alles oben (Situation national) abgehandelt</w:t>
            </w:r>
          </w:p>
          <w:p>
            <w:pPr>
              <w:rPr>
                <w:rFonts w:ascii="Scala Sans OT" w:hAnsi="Scala Sans OT"/>
                <w:b/>
                <w:i/>
                <w:sz w:val="22"/>
                <w:szCs w:val="22"/>
              </w:rPr>
            </w:pPr>
          </w:p>
          <w:p>
            <w:pPr>
              <w:rPr>
                <w:rFonts w:ascii="Scala Sans OT" w:hAnsi="Scala Sans OT"/>
                <w:b/>
              </w:rPr>
            </w:pPr>
            <w:proofErr w:type="spellStart"/>
            <w:r>
              <w:rPr>
                <w:rFonts w:ascii="Scala Sans OT" w:hAnsi="Scala Sans OT"/>
                <w:b/>
                <w:i/>
                <w:sz w:val="22"/>
                <w:szCs w:val="22"/>
              </w:rPr>
              <w:t>ToDo</w:t>
            </w:r>
            <w:proofErr w:type="spellEnd"/>
            <w:r>
              <w:rPr>
                <w:rFonts w:ascii="Scala Sans OT" w:hAnsi="Scala Sans OT"/>
                <w:b/>
                <w:i/>
                <w:sz w:val="22"/>
                <w:szCs w:val="22"/>
              </w:rPr>
              <w:t>:</w:t>
            </w:r>
            <w:r>
              <w:rPr>
                <w:rFonts w:ascii="Scala Sans OT" w:hAnsi="Scala Sans OT"/>
                <w:b/>
                <w:i/>
                <w:sz w:val="22"/>
                <w:szCs w:val="22"/>
              </w:rPr>
              <w:br/>
            </w:r>
          </w:p>
        </w:tc>
      </w:tr>
      <w:tr>
        <w:tc>
          <w:tcPr>
            <w:tcW w:w="817" w:type="dxa"/>
          </w:tcPr>
          <w:p>
            <w:pPr>
              <w:rPr>
                <w:rFonts w:ascii="Scala Sans OT" w:hAnsi="Scala Sans OT"/>
                <w:b/>
                <w:sz w:val="22"/>
                <w:szCs w:val="22"/>
              </w:rPr>
            </w:pPr>
            <w:r>
              <w:rPr>
                <w:rFonts w:ascii="Scala Sans OT" w:hAnsi="Scala Sans OT"/>
                <w:b/>
                <w:sz w:val="22"/>
                <w:szCs w:val="22"/>
              </w:rPr>
              <w:lastRenderedPageBreak/>
              <w:t>7</w:t>
            </w:r>
          </w:p>
        </w:tc>
        <w:tc>
          <w:tcPr>
            <w:tcW w:w="7699" w:type="dxa"/>
          </w:tcPr>
          <w:p>
            <w:pPr>
              <w:rPr>
                <w:rFonts w:ascii="Scala Sans OT" w:hAnsi="Scala Sans OT"/>
                <w:b/>
              </w:rPr>
            </w:pPr>
            <w:r>
              <w:rPr>
                <w:rFonts w:ascii="Scala Sans OT" w:hAnsi="Scala Sans OT"/>
                <w:b/>
              </w:rPr>
              <w:t>Transport (Grenzübergangsstellen)</w:t>
            </w:r>
          </w:p>
          <w:p>
            <w:pPr>
              <w:pStyle w:val="Listenabsatz"/>
              <w:numPr>
                <w:ilvl w:val="0"/>
                <w:numId w:val="39"/>
              </w:numPr>
              <w:rPr>
                <w:rFonts w:ascii="Scala Sans OT" w:hAnsi="Scala Sans OT"/>
              </w:rPr>
            </w:pPr>
            <w:r>
              <w:rPr>
                <w:rFonts w:ascii="Scala Sans OT" w:hAnsi="Scala Sans OT"/>
              </w:rPr>
              <w:t>4 Hauptfluglinien, u.a. die Lufthansa, haben Direktflüge nach China eingestellt</w:t>
            </w:r>
          </w:p>
          <w:p>
            <w:pPr>
              <w:pStyle w:val="Listenabsatz"/>
              <w:numPr>
                <w:ilvl w:val="0"/>
                <w:numId w:val="39"/>
              </w:numPr>
              <w:rPr>
                <w:rFonts w:ascii="Scala Sans OT" w:hAnsi="Scala Sans OT"/>
              </w:rPr>
            </w:pPr>
            <w:r>
              <w:rPr>
                <w:rFonts w:ascii="Scala Sans OT" w:hAnsi="Scala Sans OT"/>
              </w:rPr>
              <w:t xml:space="preserve">Verdi drängt zu Maskentragen, </w:t>
            </w:r>
          </w:p>
          <w:p>
            <w:pPr>
              <w:pStyle w:val="Listenabsatz"/>
              <w:numPr>
                <w:ilvl w:val="0"/>
                <w:numId w:val="39"/>
              </w:numPr>
              <w:rPr>
                <w:rFonts w:ascii="Scala Sans OT" w:hAnsi="Scala Sans OT"/>
              </w:rPr>
            </w:pPr>
            <w:r>
              <w:rPr>
                <w:rFonts w:ascii="Scala Sans OT" w:hAnsi="Scala Sans OT"/>
              </w:rPr>
              <w:t xml:space="preserve">Es besteht eine Allgemeinverfügung zur Datenspeicherung aller Daten durch Fluglinien, PLC etabliert, </w:t>
            </w:r>
          </w:p>
          <w:p>
            <w:pPr>
              <w:pStyle w:val="Listenabsatz"/>
              <w:numPr>
                <w:ilvl w:val="0"/>
                <w:numId w:val="39"/>
              </w:numPr>
              <w:rPr>
                <w:rFonts w:ascii="Scala Sans OT" w:hAnsi="Scala Sans OT"/>
              </w:rPr>
            </w:pPr>
            <w:r>
              <w:rPr>
                <w:rFonts w:ascii="Scala Sans OT" w:hAnsi="Scala Sans OT"/>
              </w:rPr>
              <w:t xml:space="preserve">Die AGI ist sich einig, dass kein </w:t>
            </w:r>
            <w:proofErr w:type="spellStart"/>
            <w:r>
              <w:rPr>
                <w:rFonts w:ascii="Scala Sans OT" w:hAnsi="Scala Sans OT"/>
              </w:rPr>
              <w:t>entry</w:t>
            </w:r>
            <w:proofErr w:type="spellEnd"/>
            <w:r>
              <w:rPr>
                <w:rFonts w:ascii="Scala Sans OT" w:hAnsi="Scala Sans OT"/>
              </w:rPr>
              <w:t xml:space="preserve"> </w:t>
            </w:r>
            <w:proofErr w:type="spellStart"/>
            <w:r>
              <w:rPr>
                <w:rFonts w:ascii="Scala Sans OT" w:hAnsi="Scala Sans OT"/>
              </w:rPr>
              <w:t>screening</w:t>
            </w:r>
            <w:proofErr w:type="spellEnd"/>
            <w:r>
              <w:rPr>
                <w:rFonts w:ascii="Scala Sans OT" w:hAnsi="Scala Sans OT"/>
              </w:rPr>
              <w:t xml:space="preserve"> etabliert werden soll</w:t>
            </w:r>
          </w:p>
          <w:p>
            <w:pPr>
              <w:pStyle w:val="Listenabsatz"/>
              <w:numPr>
                <w:ilvl w:val="0"/>
                <w:numId w:val="39"/>
              </w:numPr>
              <w:rPr>
                <w:rFonts w:ascii="Scala Sans OT" w:hAnsi="Scala Sans OT"/>
              </w:rPr>
            </w:pPr>
            <w:r>
              <w:rPr>
                <w:rFonts w:ascii="Scala Sans OT" w:hAnsi="Scala Sans OT"/>
              </w:rPr>
              <w:t xml:space="preserve">Private </w:t>
            </w:r>
            <w:proofErr w:type="spellStart"/>
            <w:r>
              <w:rPr>
                <w:rFonts w:ascii="Scala Sans OT" w:hAnsi="Scala Sans OT"/>
              </w:rPr>
              <w:t>Medevac</w:t>
            </w:r>
            <w:proofErr w:type="spellEnd"/>
            <w:r>
              <w:rPr>
                <w:rFonts w:ascii="Scala Sans OT" w:hAnsi="Scala Sans OT"/>
              </w:rPr>
              <w:t xml:space="preserve"> Firmen erhalten aktuell viele Anfragen, NACHTRAG: BMVI hat geklärt dass „die vom Bundesministerium für Gesundheit angeordnete Allgemeinverfügung gilt für alle in Deutschland ankommenden Flüge aus China und den Sonderverwaltungszonen Macao und Hongkong.“</w:t>
            </w:r>
          </w:p>
          <w:p>
            <w:pPr>
              <w:rPr>
                <w:rFonts w:ascii="Scala Sans OT" w:hAnsi="Scala Sans OT"/>
                <w:b/>
              </w:rPr>
            </w:pPr>
            <w:r>
              <w:rPr>
                <w:rFonts w:ascii="Scala Sans OT" w:hAnsi="Scala Sans OT"/>
                <w:b/>
                <w:i/>
                <w:sz w:val="22"/>
                <w:szCs w:val="22"/>
              </w:rPr>
              <w:br/>
            </w:r>
          </w:p>
        </w:tc>
      </w:tr>
      <w:tr>
        <w:tc>
          <w:tcPr>
            <w:tcW w:w="817" w:type="dxa"/>
          </w:tcPr>
          <w:p>
            <w:pPr>
              <w:rPr>
                <w:rFonts w:ascii="Scala Sans OT" w:hAnsi="Scala Sans OT"/>
                <w:b/>
                <w:sz w:val="22"/>
                <w:szCs w:val="22"/>
              </w:rPr>
            </w:pPr>
            <w:r>
              <w:rPr>
                <w:rFonts w:ascii="Scala Sans OT" w:hAnsi="Scala Sans OT"/>
                <w:b/>
                <w:sz w:val="22"/>
                <w:szCs w:val="22"/>
              </w:rPr>
              <w:t>8</w:t>
            </w:r>
          </w:p>
        </w:tc>
        <w:tc>
          <w:tcPr>
            <w:tcW w:w="7699" w:type="dxa"/>
          </w:tcPr>
          <w:p>
            <w:pPr>
              <w:rPr>
                <w:rFonts w:ascii="Scala Sans OT" w:hAnsi="Scala Sans OT"/>
                <w:b/>
              </w:rPr>
            </w:pPr>
            <w:r>
              <w:rPr>
                <w:rFonts w:ascii="Scala Sans OT" w:hAnsi="Scala Sans OT"/>
                <w:b/>
              </w:rPr>
              <w:t>Informationen aus dem Lagezentrum</w:t>
            </w:r>
          </w:p>
          <w:p>
            <w:pPr>
              <w:pStyle w:val="Listenabsatz"/>
              <w:numPr>
                <w:ilvl w:val="0"/>
                <w:numId w:val="39"/>
              </w:numPr>
              <w:rPr>
                <w:rFonts w:ascii="Scala Sans OT" w:hAnsi="Scala Sans OT"/>
              </w:rPr>
            </w:pPr>
            <w:r>
              <w:rPr>
                <w:rFonts w:ascii="Scala Sans OT" w:hAnsi="Scala Sans OT"/>
              </w:rPr>
              <w:t>LZ ist überlastet und hat extrem viele E-Mails, es ist wichtig, dass Dokumente auch an den Verteiler/die verantwortlichen Kollegen gehen damit es keine Bottlenecks gibt.</w:t>
            </w:r>
          </w:p>
          <w:p>
            <w:pPr>
              <w:pStyle w:val="Listenabsatz"/>
              <w:numPr>
                <w:ilvl w:val="0"/>
                <w:numId w:val="39"/>
              </w:numPr>
              <w:rPr>
                <w:rFonts w:ascii="Scala Sans OT" w:hAnsi="Scala Sans OT"/>
              </w:rPr>
            </w:pPr>
            <w:r>
              <w:rPr>
                <w:rFonts w:ascii="Scala Sans OT" w:hAnsi="Scala Sans OT"/>
              </w:rPr>
              <w:t>Es gibt viele Unterstützungsangebote und somit Bedarf an Einarbeitung, heute hat eine zweite Schulung stattgefunden</w:t>
            </w:r>
          </w:p>
          <w:p>
            <w:pPr>
              <w:pStyle w:val="Listenabsatz"/>
              <w:numPr>
                <w:ilvl w:val="0"/>
                <w:numId w:val="39"/>
              </w:numPr>
              <w:rPr>
                <w:rFonts w:ascii="Scala Sans OT" w:hAnsi="Scala Sans OT"/>
              </w:rPr>
            </w:pPr>
            <w:r>
              <w:rPr>
                <w:rFonts w:ascii="Scala Sans OT" w:hAnsi="Scala Sans OT"/>
              </w:rPr>
              <w:t xml:space="preserve">Vor allem in den Übersichtspositionen bestehen weiter starke Engpässe </w:t>
            </w:r>
          </w:p>
          <w:p>
            <w:pPr>
              <w:rPr>
                <w:rFonts w:ascii="Scala Sans OT" w:hAnsi="Scala Sans OT"/>
                <w:b/>
                <w:i/>
                <w:sz w:val="22"/>
                <w:szCs w:val="22"/>
              </w:rPr>
            </w:pPr>
          </w:p>
          <w:p>
            <w:pPr>
              <w:rPr>
                <w:rFonts w:ascii="Scala Sans OT" w:hAnsi="Scala Sans OT"/>
                <w:b/>
              </w:rPr>
            </w:pPr>
            <w:proofErr w:type="spellStart"/>
            <w:r>
              <w:rPr>
                <w:rFonts w:ascii="Scala Sans OT" w:hAnsi="Scala Sans OT"/>
                <w:b/>
                <w:i/>
                <w:sz w:val="22"/>
                <w:szCs w:val="22"/>
              </w:rPr>
              <w:t>ToDo</w:t>
            </w:r>
            <w:proofErr w:type="spellEnd"/>
            <w:r>
              <w:rPr>
                <w:rFonts w:ascii="Scala Sans OT" w:hAnsi="Scala Sans OT"/>
                <w:b/>
                <w:i/>
                <w:sz w:val="22"/>
                <w:szCs w:val="22"/>
              </w:rPr>
              <w:t xml:space="preserve">: Unterstützung des LZ bei der Redaktion von Newsletter, </w:t>
            </w:r>
            <w:proofErr w:type="spellStart"/>
            <w:r>
              <w:rPr>
                <w:rFonts w:ascii="Scala Sans OT" w:hAnsi="Scala Sans OT"/>
                <w:b/>
                <w:i/>
                <w:sz w:val="22"/>
                <w:szCs w:val="22"/>
              </w:rPr>
              <w:t>EpiBull</w:t>
            </w:r>
            <w:proofErr w:type="spellEnd"/>
            <w:r>
              <w:rPr>
                <w:rFonts w:ascii="Scala Sans OT" w:hAnsi="Scala Sans OT"/>
                <w:b/>
                <w:i/>
                <w:sz w:val="22"/>
                <w:szCs w:val="22"/>
              </w:rPr>
              <w:t xml:space="preserve"> Artikel, Lage-AG Protokollen?</w:t>
            </w:r>
            <w:r>
              <w:rPr>
                <w:rFonts w:ascii="Scala Sans OT" w:hAnsi="Scala Sans OT"/>
                <w:b/>
                <w:i/>
                <w:sz w:val="22"/>
                <w:szCs w:val="22"/>
              </w:rPr>
              <w:br/>
            </w:r>
          </w:p>
        </w:tc>
      </w:tr>
      <w:tr>
        <w:tc>
          <w:tcPr>
            <w:tcW w:w="817" w:type="dxa"/>
          </w:tcPr>
          <w:p>
            <w:pPr>
              <w:rPr>
                <w:rFonts w:ascii="Scala Sans OT" w:hAnsi="Scala Sans OT"/>
                <w:b/>
                <w:sz w:val="22"/>
                <w:szCs w:val="22"/>
              </w:rPr>
            </w:pPr>
            <w:r>
              <w:rPr>
                <w:rFonts w:ascii="Scala Sans OT" w:hAnsi="Scala Sans OT"/>
                <w:b/>
                <w:sz w:val="22"/>
                <w:szCs w:val="22"/>
              </w:rPr>
              <w:t>9</w:t>
            </w:r>
          </w:p>
        </w:tc>
        <w:tc>
          <w:tcPr>
            <w:tcW w:w="7699" w:type="dxa"/>
          </w:tcPr>
          <w:p>
            <w:pPr>
              <w:rPr>
                <w:rFonts w:ascii="Scala Sans OT" w:hAnsi="Scala Sans OT"/>
                <w:b/>
                <w:sz w:val="22"/>
                <w:szCs w:val="22"/>
              </w:rPr>
            </w:pPr>
            <w:r>
              <w:rPr>
                <w:rFonts w:ascii="Scala Sans OT" w:hAnsi="Scala Sans OT"/>
                <w:b/>
                <w:szCs w:val="22"/>
              </w:rPr>
              <w:t>Nächstes Treffen:</w:t>
            </w:r>
            <w:r>
              <w:rPr>
                <w:rFonts w:ascii="Scala Sans OT" w:hAnsi="Scala Sans OT"/>
                <w:szCs w:val="22"/>
              </w:rPr>
              <w:t xml:space="preserve"> </w:t>
            </w:r>
            <w:r>
              <w:rPr>
                <w:rFonts w:ascii="Scala Sans OT" w:hAnsi="Scala Sans OT"/>
                <w:sz w:val="22"/>
                <w:szCs w:val="22"/>
              </w:rPr>
              <w:t>Freitag, 31.01.2020 um 13:00, Lagezentrum Besprechungsraum</w:t>
            </w:r>
          </w:p>
        </w:tc>
      </w:tr>
    </w:tbl>
    <w:p>
      <w:pPr>
        <w:spacing w:after="240" w:line="360" w:lineRule="auto"/>
      </w:pPr>
    </w:p>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6420199"/>
      <w:docPartObj>
        <w:docPartGallery w:val="Page Numbers (Bottom of Page)"/>
        <w:docPartUnique/>
      </w:docPartObj>
    </w:sdtPr>
    <w:sdtContent>
      <w:p>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bookmarkStart w:id="0" w:name="_GoBack" w:displacedByCustomXml="next"/>
      <w:bookmarkEnd w:id="0" w:displacedByCustomXml="next"/>
    </w:sdtContent>
  </w:sdt>
  <w:p>
    <w:pPr>
      <w:pStyle w:val="Fuzeile"/>
      <w:ind w:right="360"/>
      <w:rPr>
        <w:i/>
        <w:color w:val="7F7F7F" w:themeColor="text1" w:themeTint="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7A1"/>
    <w:multiLevelType w:val="hybridMultilevel"/>
    <w:tmpl w:val="E15637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C5446FB4">
      <w:numFmt w:val="bullet"/>
      <w:lvlText w:val="•"/>
      <w:lvlJc w:val="left"/>
      <w:pPr>
        <w:ind w:left="2520" w:hanging="720"/>
      </w:pPr>
      <w:rPr>
        <w:rFonts w:ascii="Cambria" w:eastAsiaTheme="minorHAnsi" w:hAnsi="Cambria"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4D18A2"/>
    <w:multiLevelType w:val="hybridMultilevel"/>
    <w:tmpl w:val="82406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D97345"/>
    <w:multiLevelType w:val="hybridMultilevel"/>
    <w:tmpl w:val="10306642"/>
    <w:lvl w:ilvl="0" w:tplc="04070001">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FE7E2F"/>
    <w:multiLevelType w:val="hybridMultilevel"/>
    <w:tmpl w:val="5E30E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7A12A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86371D"/>
    <w:multiLevelType w:val="hybridMultilevel"/>
    <w:tmpl w:val="E0083264"/>
    <w:lvl w:ilvl="0" w:tplc="69B4810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0F3D84"/>
    <w:multiLevelType w:val="hybridMultilevel"/>
    <w:tmpl w:val="4C6AFB1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C5446FB4">
      <w:numFmt w:val="bullet"/>
      <w:lvlText w:val="•"/>
      <w:lvlJc w:val="left"/>
      <w:pPr>
        <w:ind w:left="2520" w:hanging="720"/>
      </w:pPr>
      <w:rPr>
        <w:rFonts w:ascii="Cambria" w:eastAsiaTheme="minorHAnsi" w:hAnsi="Cambria"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97510B"/>
    <w:multiLevelType w:val="hybridMultilevel"/>
    <w:tmpl w:val="B95C8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3D3469"/>
    <w:multiLevelType w:val="hybridMultilevel"/>
    <w:tmpl w:val="5C12724C"/>
    <w:lvl w:ilvl="0" w:tplc="CCBAB72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A7185D"/>
    <w:multiLevelType w:val="hybridMultilevel"/>
    <w:tmpl w:val="C42A2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1943EE"/>
    <w:multiLevelType w:val="hybridMultilevel"/>
    <w:tmpl w:val="631EE62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5" w15:restartNumberingAfterBreak="0">
    <w:nsid w:val="44292106"/>
    <w:multiLevelType w:val="hybridMultilevel"/>
    <w:tmpl w:val="C248C2BA"/>
    <w:lvl w:ilvl="0" w:tplc="05723B28">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1DF13A1"/>
    <w:multiLevelType w:val="hybridMultilevel"/>
    <w:tmpl w:val="39E21C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F1670"/>
    <w:multiLevelType w:val="hybridMultilevel"/>
    <w:tmpl w:val="E52EAE58"/>
    <w:lvl w:ilvl="0" w:tplc="0F2A2482">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60FE350B"/>
    <w:multiLevelType w:val="hybridMultilevel"/>
    <w:tmpl w:val="8B28D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68423BF"/>
    <w:multiLevelType w:val="hybridMultilevel"/>
    <w:tmpl w:val="BBDEB7E2"/>
    <w:lvl w:ilvl="0" w:tplc="04070001">
      <w:start w:val="1"/>
      <w:numFmt w:val="bullet"/>
      <w:lvlText w:val=""/>
      <w:lvlJc w:val="left"/>
      <w:pPr>
        <w:ind w:left="1080" w:hanging="360"/>
      </w:pPr>
      <w:rPr>
        <w:rFonts w:ascii="Symbol" w:hAnsi="Symbo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8" w15:restartNumberingAfterBreak="0">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1"/>
  </w:num>
  <w:num w:numId="3">
    <w:abstractNumId w:val="40"/>
  </w:num>
  <w:num w:numId="4">
    <w:abstractNumId w:val="20"/>
  </w:num>
  <w:num w:numId="5">
    <w:abstractNumId w:val="27"/>
  </w:num>
  <w:num w:numId="6">
    <w:abstractNumId w:val="12"/>
  </w:num>
  <w:num w:numId="7">
    <w:abstractNumId w:val="6"/>
  </w:num>
  <w:num w:numId="8">
    <w:abstractNumId w:val="17"/>
  </w:num>
  <w:num w:numId="9">
    <w:abstractNumId w:val="14"/>
  </w:num>
  <w:num w:numId="10">
    <w:abstractNumId w:val="26"/>
  </w:num>
  <w:num w:numId="11">
    <w:abstractNumId w:val="8"/>
  </w:num>
  <w:num w:numId="12">
    <w:abstractNumId w:val="21"/>
  </w:num>
  <w:num w:numId="13">
    <w:abstractNumId w:val="39"/>
  </w:num>
  <w:num w:numId="14">
    <w:abstractNumId w:val="31"/>
  </w:num>
  <w:num w:numId="15">
    <w:abstractNumId w:val="34"/>
  </w:num>
  <w:num w:numId="16">
    <w:abstractNumId w:val="38"/>
  </w:num>
  <w:num w:numId="17">
    <w:abstractNumId w:val="5"/>
  </w:num>
  <w:num w:numId="18">
    <w:abstractNumId w:val="30"/>
  </w:num>
  <w:num w:numId="19">
    <w:abstractNumId w:val="1"/>
  </w:num>
  <w:num w:numId="20">
    <w:abstractNumId w:val="13"/>
  </w:num>
  <w:num w:numId="21">
    <w:abstractNumId w:val="29"/>
  </w:num>
  <w:num w:numId="22">
    <w:abstractNumId w:val="10"/>
  </w:num>
  <w:num w:numId="23">
    <w:abstractNumId w:val="16"/>
  </w:num>
  <w:num w:numId="24">
    <w:abstractNumId w:val="15"/>
  </w:num>
  <w:num w:numId="25">
    <w:abstractNumId w:val="36"/>
  </w:num>
  <w:num w:numId="26">
    <w:abstractNumId w:val="28"/>
  </w:num>
  <w:num w:numId="27">
    <w:abstractNumId w:val="3"/>
  </w:num>
  <w:num w:numId="28">
    <w:abstractNumId w:val="18"/>
  </w:num>
  <w:num w:numId="29">
    <w:abstractNumId w:val="2"/>
  </w:num>
  <w:num w:numId="30">
    <w:abstractNumId w:val="0"/>
  </w:num>
  <w:num w:numId="31">
    <w:abstractNumId w:val="33"/>
  </w:num>
  <w:num w:numId="32">
    <w:abstractNumId w:val="23"/>
  </w:num>
  <w:num w:numId="33">
    <w:abstractNumId w:val="37"/>
  </w:num>
  <w:num w:numId="34">
    <w:abstractNumId w:val="25"/>
  </w:num>
  <w:num w:numId="35">
    <w:abstractNumId w:val="35"/>
  </w:num>
  <w:num w:numId="36">
    <w:abstractNumId w:val="11"/>
  </w:num>
  <w:num w:numId="37">
    <w:abstractNumId w:val="19"/>
  </w:num>
  <w:num w:numId="38">
    <w:abstractNumId w:val="22"/>
  </w:num>
  <w:num w:numId="39">
    <w:abstractNumId w:val="4"/>
  </w:num>
  <w:num w:numId="40">
    <w:abstractNumId w:val="32"/>
  </w:num>
  <w:num w:numId="41">
    <w:abstractNumId w:val="24"/>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0A5E5368-935D-4153-A5DB-49B7FAE5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937382">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10662684">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72269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
      <w:docPartPr>
        <w:name w:val="9FAD9635099E468F873E69029FBCE6AB"/>
        <w:category>
          <w:name w:val="Allgemein"/>
          <w:gallery w:val="placeholder"/>
        </w:category>
        <w:types>
          <w:type w:val="bbPlcHdr"/>
        </w:types>
        <w:behaviors>
          <w:behavior w:val="content"/>
        </w:behaviors>
        <w:guid w:val="{5DB1AB59-3B67-49ED-9EAE-37193E6DC85C}"/>
      </w:docPartPr>
      <w:docPartBody>
        <w:p>
          <w:pPr>
            <w:pStyle w:val="9FAD9635099E468F873E69029FBCE6AB"/>
          </w:pPr>
          <w:r>
            <w:rPr>
              <w:rStyle w:val="Platzhaltertext"/>
            </w:rPr>
            <w:t>Klicken Sie hier, um Text einzugeben.</w:t>
          </w:r>
        </w:p>
      </w:docPartBody>
    </w:docPart>
    <w:docPart>
      <w:docPartPr>
        <w:name w:val="A4BD05692A9C4EF3BF9F20A0DA9C42F0"/>
        <w:category>
          <w:name w:val="Allgemein"/>
          <w:gallery w:val="placeholder"/>
        </w:category>
        <w:types>
          <w:type w:val="bbPlcHdr"/>
        </w:types>
        <w:behaviors>
          <w:behavior w:val="content"/>
        </w:behaviors>
        <w:guid w:val="{AB1365D2-93FA-47F4-9D7F-47D37680F57D}"/>
      </w:docPartPr>
      <w:docPartBody>
        <w:p>
          <w:pPr>
            <w:pStyle w:val="A4BD05692A9C4EF3BF9F20A0DA9C42F0"/>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0330"/>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 w:type="paragraph" w:customStyle="1" w:styleId="9FAD9635099E468F873E69029FBCE6AB">
    <w:name w:val="9FAD9635099E468F873E69029FBCE6AB"/>
    <w:rsid w:val="00C437DC"/>
  </w:style>
  <w:style w:type="paragraph" w:customStyle="1" w:styleId="A4BD05692A9C4EF3BF9F20A0DA9C42F0">
    <w:name w:val="A4BD05692A9C4EF3BF9F20A0DA9C42F0"/>
    <w:rsid w:val="00C437DC"/>
  </w:style>
  <w:style w:type="paragraph" w:customStyle="1" w:styleId="003FBFB02D7C4AD6A9D6839EBD02823E">
    <w:name w:val="003FBFB02D7C4AD6A9D6839EBD02823E"/>
    <w:rsid w:val="005D0330"/>
  </w:style>
  <w:style w:type="paragraph" w:customStyle="1" w:styleId="924F9099D073481D93572205F4513B19">
    <w:name w:val="924F9099D073481D93572205F4513B19"/>
    <w:rsid w:val="005D03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AC79D-A877-4973-9B1C-4262307DD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1475</Words>
  <Characters>9299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der Heiden, Maria</dc:creator>
  <cp:lastModifiedBy>Grote, Ulrike</cp:lastModifiedBy>
  <cp:revision>12</cp:revision>
  <dcterms:created xsi:type="dcterms:W3CDTF">2020-01-30T09:36:00Z</dcterms:created>
  <dcterms:modified xsi:type="dcterms:W3CDTF">2021-04-12T13:46:00Z</dcterms:modified>
</cp:coreProperties>
</file>