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20.01.2021,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Mardjan Arvand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Wolfgang 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FG24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Claudia Schulz-</w:t>
      </w:r>
      <w:proofErr w:type="spellStart"/>
      <w:r>
        <w:rPr>
          <w:sz w:val="22"/>
        </w:rPr>
        <w:t>Waidhaas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Sarah Esquevin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Christophe </w:t>
      </w:r>
      <w:commentRangeStart w:id="0"/>
      <w:r>
        <w:rPr>
          <w:sz w:val="22"/>
        </w:rPr>
        <w:t>Bayer</w:t>
      </w:r>
      <w:commentRangeEnd w:id="0"/>
      <w:r>
        <w:rPr>
          <w:rStyle w:val="Kommentarzeichen"/>
          <w:rFonts w:ascii="Scala Sans OT" w:hAnsi="Scala Sans OT"/>
          <w:lang w:eastAsia="de-DE"/>
        </w:rPr>
        <w:commentReference w:id="0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MF3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Nancy Erickson (Protokoll)</w:t>
      </w: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sz w:val="22"/>
                <w:szCs w:val="22"/>
              </w:rPr>
              <w:t>(nur freitags)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2.068.002 (+15.974) (deutlich weniger als Vorwoche), davon 48.770 Todesfälle (+1.148) (weiterhin sehr hoch), 7-Tage-Inzidenz 123/100.000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(Rückgang von 10 im Vergleich zu Vortag);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4-Tage-R=0,87; 7-Tage-R=0,87 (deutlich unter 1);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1.195.429 geimpfte Personen insgesamt, seit Vortag + 49.289 erste Impfung; + 13.252 zweite Impfung;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ITS: 4.947 (-56): geringerer Rückgang im Vergleich zum Vortag;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der Bundesländer nach Berichtsdatum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Thüringen, Brandenburg, Sachsen-Anhalt, Sachsen: deutlich über dem Bundesdurchschnitt, insgesamt jedoch abnehmende Tendenz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Geogr. Verteilung 7-Tage-Inzidenz nach Landkreis (LK)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Weiterhin 4 LK &gt; 400 Fälle/100.000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Abnahme der Anzahl der LK mit Inzidenz von &gt; 300 bzw. &gt; 200 Fälle/100.000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 19 von 412 LK mit Inzidenz &lt; 50 Fällen/100.000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Zweite Darstellung: LK mit </w:t>
            </w:r>
            <w:proofErr w:type="spellStart"/>
            <w:r>
              <w:rPr>
                <w:sz w:val="22"/>
                <w:szCs w:val="22"/>
              </w:rPr>
              <w:t>deutl</w:t>
            </w:r>
            <w:proofErr w:type="spellEnd"/>
            <w:r>
              <w:rPr>
                <w:sz w:val="22"/>
                <w:szCs w:val="22"/>
              </w:rPr>
              <w:t xml:space="preserve">. Zu- oder Abnahme, viele LK mit im Vergleich zur Vorwoche in etwa halbierten Fallzahlen (grün, Faktor 0.5), zwei LK mit Verdopplung im Vergleich zur Vorwoche (pink, Faktor 2.1 bzw. 2.4)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weiterhin heterogenes Bild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nach AG und MW – </w:t>
            </w:r>
            <w:proofErr w:type="spellStart"/>
            <w:r>
              <w:rPr>
                <w:sz w:val="22"/>
                <w:szCs w:val="22"/>
              </w:rPr>
              <w:t>Heatmap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allen AG leichter Rückgang, Hochaltrige weiterhin Inzidenz von &gt; 500 bzw. 600/100.000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 in den letzten 7 Tagen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nach AG und MW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Über 80-Jährige höchste Inzidenz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in allen AG im Vergleich zu Vorwoche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Darstellung der gemeldeten COVID-19-Fälle nach Infektionsumfeld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Insert: Ausbrüchen zugeordnete Fälle (farbig) stellen einen lediglich kleinen Teil der Fälle insgesamt dar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Große Darstellung: Ausbrüche mit &gt; 2 Fällen, Verteilung hat sich im Vergleich zu Vorwoche nicht wesentlich geändert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Derzeit ca. 800-900 Alten- und Pflegeheime von 14.000 Einrichtungen insgesamt mit aktuellem und andauerndem Ausbruchsgeschehen und vermutlich sehr hoher Dunkelziffer (Relevanz: Berichte von positiven Fällen im Anschluss an Impfung)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COVID-19-Todesfälle nach Sterbewoche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Abnahme im Vergleich zur Vorwoche, hier jedoch Verzug um 1-2 Wochen zu beachten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Expositionsländer importierter Fälle (Länder mit &gt; 25 Nennungen):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Anzahl an Importen (rot): Polen, Rumänien und Bosnien-Herzegowina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Ausbruchsgeschehen – Kiel</w:t>
            </w:r>
            <w:r>
              <w:rPr>
                <w:sz w:val="22"/>
                <w:szCs w:val="22"/>
              </w:rPr>
              <w:t>: &gt; 50 % der Bewohnen-den positiv, bereits 12 Todesfälle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Übertragung vermutlich bereits vor Impfung mit schneller Ausbreitung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Anekdotischen Berichten über milderen Verlauf muss nachgegangen werden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Montag Team vor Ort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Gesundheitsämter leisten kaum vor-Ort-</w:t>
            </w:r>
            <w:proofErr w:type="spellStart"/>
            <w:r>
              <w:rPr>
                <w:sz w:val="22"/>
                <w:szCs w:val="22"/>
              </w:rPr>
              <w:t>Unterstüt</w:t>
            </w:r>
            <w:proofErr w:type="spellEnd"/>
            <w:r>
              <w:rPr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zung</w:t>
            </w:r>
            <w:proofErr w:type="spellEnd"/>
            <w:r>
              <w:rPr>
                <w:sz w:val="22"/>
                <w:szCs w:val="22"/>
              </w:rPr>
              <w:t xml:space="preserve"> aufgrund der Beanspruchung durch KP-Nach-verfolgung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Gesundheitsämter sollen darauf hingewiesen werden, dass operative Arbeit vor Ort nicht vernachlässigt werden darf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Hygienekompetenz muss verbessert werden, unzureichende diesbezügliche Ausstattung der Gesundheitsämter, oftmals externe Expertise erforderlich, Krankenhaus kann dies jedoch ebenfalls nicht leisten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Sequenzierungsergebnisse stehen aus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Ausbruchsgeschehen - Limburg</w:t>
            </w:r>
            <w:r>
              <w:rPr>
                <w:sz w:val="22"/>
                <w:szCs w:val="22"/>
              </w:rPr>
              <w:t>: erste Hinweise auf Vorliegen der 501-Mutation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Schnelle Sequenzierung erforderlich, auch hinsichtlich Mutation (gilt ebenso für Kiel)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Ausbruchsgeschehen - Flensburg</w:t>
            </w:r>
            <w:r>
              <w:rPr>
                <w:sz w:val="22"/>
                <w:szCs w:val="22"/>
              </w:rPr>
              <w:t>: ca. 100 Infizierte in drei Firmen (vermutlich aufgrund einer Feier in Dänemark)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Verdacht auf Vorliegen einer Mutation, Proben ebenfalls derzeit zur Sequenzierung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lastRenderedPageBreak/>
              <w:t>Ausbruchsgeschehen – NRW Altenheim</w:t>
            </w:r>
            <w:r>
              <w:rPr>
                <w:sz w:val="22"/>
                <w:szCs w:val="22"/>
              </w:rPr>
              <w:t>: viermaliger Nachweis der UK-Variante ohne Bezug zu UK- oder anderen Auslandsaufenthalten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Vergleichsweise abgeschiedener Landkreis nördlich Berlins mit steigender Inzidenz: bedingt durch Pendlerverkehr?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Nachmeldungen haben keine Auswirkung auf 7-Tages-Inzidenz, lediglich auf Differenz zum Vortrag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Testkapazität und Testungen (mittwochs)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>: weniger Tests als in Vorwoche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positiv getesteter nach Bundesland: Rückgang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 xml:space="preserve"> in allen Bundesländern (derzeit ca. 10 %) zeigt breite Wirksamkeit der Maßnahmen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Testungen pro 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nach AG und KW: in allen AG derzeit Plateau, nur bei &gt;80-Jährigen geringe Abnahme; geringste Anzahl der Tests in AG 0-14-Jähriger, höchste </w:t>
            </w:r>
            <w:proofErr w:type="spellStart"/>
            <w:r>
              <w:rPr>
                <w:sz w:val="22"/>
                <w:szCs w:val="22"/>
              </w:rPr>
              <w:t>Testzahl</w:t>
            </w:r>
            <w:proofErr w:type="spellEnd"/>
            <w:r>
              <w:rPr>
                <w:sz w:val="22"/>
                <w:szCs w:val="22"/>
              </w:rPr>
              <w:t xml:space="preserve"> in AG &gt; 80-Jähriger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AG und KW: rückläufig über alle Altersstufen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Abnahmeort: ähnliche Verteilung im Vergleich zu Vorwochen, insgesamt derzeit rückläufige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Zeit zwischen Abnahme und Test: derzeit wenig Verzug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Antigentests in ARS: Anteil positiver Testungen (Linie) derzeit gering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Antigentests in ARS: PCR-Testung am selben Tag nach positiver AG-Testung: ca. 18 % falsch positiv (ggf. aufgrund von </w:t>
            </w:r>
            <w:r>
              <w:rPr>
                <w:i/>
                <w:sz w:val="22"/>
                <w:szCs w:val="22"/>
              </w:rPr>
              <w:t xml:space="preserve">S. </w:t>
            </w:r>
            <w:proofErr w:type="spellStart"/>
            <w:r>
              <w:rPr>
                <w:i/>
                <w:sz w:val="22"/>
                <w:szCs w:val="22"/>
              </w:rPr>
              <w:t>aureus</w:t>
            </w:r>
            <w:proofErr w:type="spellEnd"/>
            <w:r>
              <w:rPr>
                <w:sz w:val="22"/>
                <w:szCs w:val="22"/>
              </w:rPr>
              <w:t xml:space="preserve">); nach negativer AG-Testung: ca. 2 % falsch negativ </w:t>
            </w:r>
          </w:p>
          <w:p>
            <w:pPr>
              <w:pStyle w:val="Listenabsatz"/>
              <w:numPr>
                <w:ilvl w:val="0"/>
                <w:numId w:val="5"/>
              </w:numPr>
              <w:ind w:left="624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Diskussion: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 werden AG-Tests durchgeführt und wie wird gemeldet:</w:t>
            </w:r>
          </w:p>
          <w:p>
            <w:pPr>
              <w:pStyle w:val="Listenabsatz"/>
              <w:numPr>
                <w:ilvl w:val="2"/>
                <w:numId w:val="5"/>
              </w:numPr>
              <w:ind w:left="1333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Von Ärzten durchgeführt, in Einrichtungen mit bestimmten IfSG-Standards (Einrichtung nach § 6) und via Apotheker (in Stellungnahme zu medizinischen Heilberufen inbegriffen): Meldepflicht</w:t>
            </w:r>
          </w:p>
          <w:p>
            <w:pPr>
              <w:pStyle w:val="Listenabsatz"/>
              <w:numPr>
                <w:ilvl w:val="2"/>
                <w:numId w:val="5"/>
              </w:numPr>
              <w:ind w:left="1333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Testzentrum ohne Anwesenheit eines Mediziners oder Selbsttest durch den Bürger: keine Meldepflicht</w:t>
            </w:r>
          </w:p>
          <w:p>
            <w:pPr>
              <w:pStyle w:val="Listenabsatz"/>
              <w:numPr>
                <w:ilvl w:val="2"/>
                <w:numId w:val="5"/>
              </w:numPr>
              <w:ind w:left="1333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Derzeit BMG-Diskussion zu der Möglichkeit des Bürgers, einen Positivbefund Ärzten oder Apothekern oder direkt beim Gesundheitsamt zu melden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333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Abgabe von Selbsttests durch Apotheken sollten diese im Sinne ihrer Aufklärungspflicht mitteilen, dass bei einem positiven AG-Test der Hausarzt zur PCR-Bestätigung aufzusuchen ist (kongruent zur CWA, für die bereits etablierte Wege bei der KV existieren)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Derzeit 72 Labore in ARS, Limitierung durch Personal und Technik 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Zwei Versionen des Meldeportals – zu klären sind hier der aktuelle Diskussionsstand am BMG sowie die </w:t>
            </w:r>
            <w:proofErr w:type="spellStart"/>
            <w:r>
              <w:rPr>
                <w:sz w:val="22"/>
                <w:szCs w:val="22"/>
              </w:rPr>
              <w:t>Kommunika-tionswege</w:t>
            </w:r>
            <w:proofErr w:type="spellEnd"/>
            <w:r>
              <w:rPr>
                <w:sz w:val="22"/>
                <w:szCs w:val="22"/>
              </w:rPr>
              <w:t xml:space="preserve"> eines Arbeitsauftrags – Kommunikation sollte bestenfalls über Frau Korr laufen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lastRenderedPageBreak/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an Frau Diercke, für die kommende Sitzung der AG Testen die Kommunikationswege von Arbeitsaufträgen an Frau Korr als TOP heranzutragen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Testungen und </w:t>
            </w:r>
            <w:proofErr w:type="spellStart"/>
            <w:r>
              <w:rPr>
                <w:b/>
                <w:sz w:val="22"/>
                <w:szCs w:val="22"/>
              </w:rPr>
              <w:t>Positivenanteile</w:t>
            </w:r>
            <w:proofErr w:type="spellEnd"/>
            <w:r>
              <w:rPr>
                <w:b/>
                <w:sz w:val="22"/>
                <w:szCs w:val="22"/>
              </w:rPr>
              <w:t xml:space="preserve"> in ARS</w:t>
            </w:r>
            <w:r>
              <w:rPr>
                <w:sz w:val="22"/>
                <w:szCs w:val="22"/>
              </w:rPr>
              <w:t xml:space="preserve">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Testkapazitäten </w:t>
            </w:r>
            <w:proofErr w:type="gramStart"/>
            <w:r>
              <w:rPr>
                <w:sz w:val="22"/>
                <w:szCs w:val="22"/>
              </w:rPr>
              <w:t>zur Zeit</w:t>
            </w:r>
            <w:proofErr w:type="gramEnd"/>
            <w:r>
              <w:rPr>
                <w:sz w:val="22"/>
                <w:szCs w:val="22"/>
              </w:rPr>
              <w:t xml:space="preserve"> nicht voll ausgeschöpft, </w:t>
            </w:r>
            <w:proofErr w:type="spellStart"/>
            <w:r>
              <w:rPr>
                <w:sz w:val="22"/>
                <w:szCs w:val="22"/>
              </w:rPr>
              <w:t>vergange</w:t>
            </w:r>
            <w:proofErr w:type="spellEnd"/>
            <w:r>
              <w:rPr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ne</w:t>
            </w:r>
            <w:proofErr w:type="spellEnd"/>
            <w:r>
              <w:rPr>
                <w:sz w:val="22"/>
                <w:szCs w:val="22"/>
              </w:rPr>
              <w:t xml:space="preserve"> Woche ca. 1,1 Mio. Tests (Vergleich Höchststand: 1,6 Mio.), </w:t>
            </w:r>
            <w:proofErr w:type="spellStart"/>
            <w:r>
              <w:rPr>
                <w:sz w:val="22"/>
                <w:szCs w:val="22"/>
              </w:rPr>
              <w:t>Positivenquote</w:t>
            </w:r>
            <w:proofErr w:type="spellEnd"/>
            <w:r>
              <w:rPr>
                <w:sz w:val="22"/>
                <w:szCs w:val="22"/>
              </w:rPr>
              <w:t xml:space="preserve"> gesunken auf ca. 10,5 %, deutlicher Rückgang in den letzten zwei Wochen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können wieder mehr PCR Tests durchgeführt werden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Proberückstau unproblematisch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Aber:</w:t>
            </w:r>
          </w:p>
          <w:p>
            <w:pPr>
              <w:pStyle w:val="Listenabsatz"/>
              <w:numPr>
                <w:ilvl w:val="2"/>
                <w:numId w:val="5"/>
              </w:numPr>
              <w:ind w:left="147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Aspekt der Vorselektion durch AG-Tests nach wie vor schwer einzuschätzen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7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Materialmangel mit Auswirkung auch auf andere diagnostische Bereiche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7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„Kannibalisierung“ durch unnötige Testungen ist zu vermeiden (bspw. Wiederbelebung Flugverkehr)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S-Gen-Ausfälle: von KW52, 2020 bis KW 2, 2021 haben 16 Labore deutschlandweit insgesamt 337 positive Proben mit S-Gen-Ausfall berichtet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Sequenzierungsempfehlung dieser Proben: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7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Derzeitige Kapazität im Haus: ca. 400 Proben pro Woche sofern RNA bereits aufbereitet, ansonsten ca. 200 Proben pro 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7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Dezentrale Sequenzierung daher zunächst anzuraten (gewährleistet durch die VO), es sollen somit zunächst die regionalen Kapazitäten genutzt werden, auch hinsichtlich Verantwortlichkeit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7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 in Ausnahmefällen sind Proben an das RKI zu senden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AG-Point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Care: BaWü mit zweistelliger Anzahl an Einrichtungen rückgemeldet, andere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 xml:space="preserve"> jedoch &lt; 10 beigesteuert, daher vermutlich massive Untererfassung, Zahlen nicht repräsentativ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Ca. 96% der erfassten positiven AG-POCT gingen in die PCR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 Akquise in Arbeit, in EpiLag, AGI und Schalte der Testkoordinatoren der BL erneut beworben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Zahlen zum DIVI-Intensivregister</w:t>
            </w:r>
            <w:r>
              <w:t xml:space="preserve"> </w:t>
            </w:r>
            <w:r>
              <w:rPr>
                <w:sz w:val="22"/>
                <w:szCs w:val="22"/>
              </w:rPr>
              <w:t xml:space="preserve">(Folien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Derzeit </w:t>
            </w:r>
            <w:r>
              <w:rPr>
                <w:bCs/>
                <w:sz w:val="22"/>
                <w:szCs w:val="22"/>
              </w:rPr>
              <w:t>4.827</w:t>
            </w:r>
            <w:r>
              <w:rPr>
                <w:sz w:val="22"/>
                <w:szCs w:val="22"/>
              </w:rPr>
              <w:t xml:space="preserve"> COVID-19-Patienten auf Intensivstationen behandelt (Stand 20.01.2021)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Ca. 2 Wochen </w:t>
            </w:r>
            <w:r>
              <w:rPr>
                <w:sz w:val="22"/>
                <w:szCs w:val="22"/>
                <w:u w:val="single"/>
              </w:rPr>
              <w:t>nach</w:t>
            </w:r>
            <w:r>
              <w:rPr>
                <w:sz w:val="22"/>
                <w:szCs w:val="22"/>
              </w:rPr>
              <w:t xml:space="preserve"> dem 2. Lockdown (KW 51) zeigt sich in vielen Bundesländern ein erster Rückgang der COVID-19-Fallzahlen auf ICU (Auswirkungen auf ICU zeigen sich i.d.R. erst mit Verzug von ca. 2 Wochen)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Sachsen, Berlin, Saarland am stärksten, andere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 xml:space="preserve"> vergleichsweise gleichmäßig von zweiter Welle betroffen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Saarland, Niedersachsen, Mecklenburg-Vorpommern, Schleswig-Holstein befinden sich jedoch weiter im Anstieg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Zahlen und Belastung weiterhin sehr hoch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60 % der Intensivbereiche geben an ‚begrenzt‘ oder ‚komplett ausgelastet‘ zu sein, Hauptgrund: Personalmangel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COVID-19-Todesfälle auf ICU mit ca. 200 pro Tag hoch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9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 xml:space="preserve"> Anteil </w:t>
            </w:r>
            <w:proofErr w:type="gramStart"/>
            <w:r>
              <w:rPr>
                <w:sz w:val="22"/>
                <w:szCs w:val="22"/>
              </w:rPr>
              <w:t>von COVID-19-Patient</w:t>
            </w:r>
            <w:proofErr w:type="gramEnd"/>
            <w:r>
              <w:rPr>
                <w:sz w:val="22"/>
                <w:szCs w:val="22"/>
              </w:rPr>
              <w:t>*innen an Intensivbetten zwischen 20-30 % (jedes 4.-5. Bett)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Freie Kapazitäten stagnieren aktuell auf niedrigem Niveau, in 10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 xml:space="preserve"> weniger als 15% freie Kapazitäten vorhanden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SPoCK</w:t>
            </w:r>
            <w:proofErr w:type="spellEnd"/>
            <w:r>
              <w:rPr>
                <w:sz w:val="22"/>
                <w:szCs w:val="22"/>
              </w:rPr>
              <w:t>: derzeitige Prognose einer möglichen weiteren Stabilisierung der Lage, v.a. in stark betroffenen Ländern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Diskussion:</w:t>
            </w:r>
          </w:p>
          <w:p>
            <w:pPr>
              <w:pStyle w:val="Listenabsatz"/>
              <w:numPr>
                <w:ilvl w:val="1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Anfängliche Kapazitätseinschätzungen der Einrichtungen anfangs optimistischer, jedoch viele Verlegungen (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Korrektur) und Kapazität sinkt nicht linear (Belastung durch gestiegenen Behandlungsbedarf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Personalausfall)</w:t>
            </w:r>
          </w:p>
          <w:p>
            <w:pPr>
              <w:pStyle w:val="Listenabsatz"/>
              <w:numPr>
                <w:ilvl w:val="1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Einschränkungsursachen durch DIVI abgeprüft: Verfügbarkeit von Beatmungsgeräten wird ermittelt, die Verfügbarkeit von Sauerstoff jedoch nicht (bei STAKOB noch nicht thematisiert) </w:t>
            </w:r>
          </w:p>
          <w:p>
            <w:pPr>
              <w:ind w:left="113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</w:t>
            </w:r>
            <w:r>
              <w:rPr>
                <w:sz w:val="22"/>
                <w:szCs w:val="22"/>
              </w:rPr>
              <w:t xml:space="preserve">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  <w:r>
              <w:rPr>
                <w:sz w:val="22"/>
                <w:szCs w:val="22"/>
              </w:rPr>
              <w:t>: nach Erwachsenen und Kindern bis 14 Jahre aufgetrennt, ARE Raten sehr niedrig (vergleichsweise wie im Frühsommer), bei Kindern schon vor Jahreswechsel niedriger Stand, bei Erwachsenen bis 2. KW weiter abgesunken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ARE-Konsultationsinzidenz im Vergleich zu 1. KW weiterer deutlicher Abfall (dunkelblaue Kurve), in 2.KW ca. 630 ARE-Konsultationen 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 (absolut: ca. 520.000 Konsultationen insgesamt), um Jahreswechsel ähnliche Entwicklung wie in Vorjahren, in 2. KW deutlich niedrigere Werte, v.a. bei 0-14-Jährigen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SARI-Fälle: in AG 80+ Jahre weiterhin sehr hoch (vergleich-</w:t>
            </w:r>
            <w:proofErr w:type="spellStart"/>
            <w:r>
              <w:rPr>
                <w:sz w:val="22"/>
                <w:szCs w:val="22"/>
              </w:rPr>
              <w:t>bar</w:t>
            </w:r>
            <w:proofErr w:type="spellEnd"/>
            <w:r>
              <w:rPr>
                <w:sz w:val="22"/>
                <w:szCs w:val="22"/>
              </w:rPr>
              <w:t xml:space="preserve"> mit Höhepunkt Grippewelle der Vorjahre), in AG 60-79 Jahre leicht zurückgegangen (hoch, aber vergleichbar zu Vorsaisons), in AG 35-59 vergleichbar zu Vorsaisons, in AG 15-34 etwas niedriger als Vorsaisons, in AG &lt; 15 Jahre seit KW 40/2020 extrem niedrige Fallzahlen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SARI-Fallzahlen insgesamt stabil, auf Niveau der Vorsaisons, aber AG &lt; 15 Jahre weiter extrem niedrige, AG 35+ hohe bis sehr hohe Fallzahlen, AG 80+ bleibt als einzige Altersgruppe auf sehr hohem Niveau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COVID-19 Patienten an SARI: leichter Rückgang in KW 1/2021 (65 %, Vorwoche 70 %) bei stabilen SARI-Fallzahlen (seit 3 Wochen)</w:t>
            </w:r>
          </w:p>
          <w:p>
            <w:pPr>
              <w:ind w:left="567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Abt.3 (</w:t>
            </w:r>
            <w:r>
              <w:rPr>
                <w:sz w:val="22"/>
              </w:rPr>
              <w:t>Hamouda)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FG37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(Eckmanns)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Abt.3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(Mielke)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FG36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(Buda)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Schmich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Wording sollte kommende Woche auf Aktualität überprüft werden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Termine </w:t>
            </w: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  <w:r>
              <w:rPr>
                <w:sz w:val="22"/>
                <w:szCs w:val="22"/>
              </w:rPr>
              <w:t xml:space="preserve">: heute ausländische Presse, Freitag Bundespresse-konferenz, für folgenden </w:t>
            </w:r>
            <w:proofErr w:type="spellStart"/>
            <w:r>
              <w:rPr>
                <w:sz w:val="22"/>
                <w:szCs w:val="22"/>
              </w:rPr>
              <w:t>Townhall</w:t>
            </w:r>
            <w:proofErr w:type="spellEnd"/>
            <w:r>
              <w:rPr>
                <w:sz w:val="22"/>
                <w:szCs w:val="22"/>
              </w:rPr>
              <w:t xml:space="preserve"> ggf. Unterstützung nötig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Masken-FAQ: Begrifflichkeit der „medizinischen Maske“ soll eingeführt bzw. erläutert werden, bereits Nachfragen dazu, Frau Brunke arbeitet diese Änderung ein</w:t>
            </w:r>
          </w:p>
          <w:p>
            <w:pPr>
              <w:pStyle w:val="Listenabsatz"/>
              <w:ind w:left="453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BZgA</w:t>
            </w:r>
            <w:proofErr w:type="spellEnd"/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Presse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(Wenchel)</w:t>
            </w:r>
          </w:p>
          <w:p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Präs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spacing w:line="276" w:lineRule="auto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Modellierungsstudie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color w:val="FF0000"/>
                <w:sz w:val="22"/>
                <w:szCs w:val="22"/>
              </w:rPr>
              <w:t>(mittwochs)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82" w:hanging="425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  <w:p>
            <w:pPr>
              <w:pStyle w:val="Listenabsatz"/>
              <w:spacing w:line="276" w:lineRule="auto"/>
              <w:ind w:left="482"/>
              <w:rPr>
                <w:sz w:val="22"/>
              </w:rPr>
            </w:pPr>
          </w:p>
          <w:p>
            <w:pPr>
              <w:spacing w:line="276" w:lineRule="auto"/>
              <w:ind w:left="5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MPK Beschluss 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82" w:hanging="425"/>
              <w:rPr>
                <w:sz w:val="22"/>
              </w:rPr>
            </w:pPr>
            <w:r>
              <w:rPr>
                <w:sz w:val="22"/>
              </w:rPr>
              <w:t>Punkt 12: Unterstützung der Länder durch den Bund darin, Studierende hinsichtlich SORMAS zu schulen, sodass diese in den Semesterferien die KP-Nachverfolgung unterstützen können</w:t>
            </w:r>
          </w:p>
          <w:p>
            <w:pPr>
              <w:pStyle w:val="Listenabsatz"/>
              <w:numPr>
                <w:ilvl w:val="1"/>
                <w:numId w:val="5"/>
              </w:numPr>
              <w:spacing w:line="276" w:lineRule="auto"/>
              <w:ind w:left="1191" w:hanging="284"/>
              <w:rPr>
                <w:sz w:val="22"/>
              </w:rPr>
            </w:pPr>
            <w:r>
              <w:rPr>
                <w:sz w:val="22"/>
              </w:rPr>
              <w:t>Gesundheitsämter könnten durch diese zusätzlichen Personen eher Belastung erfahren</w:t>
            </w:r>
          </w:p>
          <w:p>
            <w:pPr>
              <w:pStyle w:val="Listenabsatz"/>
              <w:numPr>
                <w:ilvl w:val="1"/>
                <w:numId w:val="5"/>
              </w:numPr>
              <w:tabs>
                <w:tab w:val="left" w:pos="1333"/>
              </w:tabs>
              <w:spacing w:line="276" w:lineRule="auto"/>
              <w:ind w:left="1191" w:hanging="284"/>
              <w:rPr>
                <w:sz w:val="22"/>
              </w:rPr>
            </w:pPr>
            <w:r>
              <w:rPr>
                <w:sz w:val="22"/>
              </w:rPr>
              <w:t xml:space="preserve">Hinweis an das BMG auf die bereits erfolgende Unterstützung der Gesundheitsämter durch das RKI über den Einsatz von 800 Containment Scouts erfolgt </w:t>
            </w:r>
            <w:r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Bitte von Herrn Müller an das RKI um einen Bericht dazu bzw. zu deren Management, Herr Eckmanns nimmt Herrn Müller mit in Abstimmungsschleife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82" w:hanging="425"/>
              <w:rPr>
                <w:sz w:val="22"/>
              </w:rPr>
            </w:pPr>
            <w:r>
              <w:rPr>
                <w:sz w:val="22"/>
              </w:rPr>
              <w:t>Punkt 13 zum flächendeckenden Einsatz von SORMAS und Roll-Out an allen Gesundheitsämtern bis Ende Februar, sowie zur Nutzung von SORMAS und DEMIS</w:t>
            </w:r>
          </w:p>
          <w:p>
            <w:pPr>
              <w:pStyle w:val="Listenabsatz"/>
              <w:numPr>
                <w:ilvl w:val="1"/>
                <w:numId w:val="5"/>
              </w:numPr>
              <w:spacing w:line="276" w:lineRule="auto"/>
              <w:ind w:left="1191" w:hanging="284"/>
              <w:rPr>
                <w:sz w:val="22"/>
              </w:rPr>
            </w:pPr>
            <w:r>
              <w:rPr>
                <w:sz w:val="22"/>
              </w:rPr>
              <w:t xml:space="preserve">Auf Seite der Beschlussfassenden ggf. Vorliegen eines Missverständnisses zu den Funktionen von DEMIS, SORMAS und </w:t>
            </w:r>
            <w:proofErr w:type="spellStart"/>
            <w:r>
              <w:rPr>
                <w:sz w:val="22"/>
              </w:rPr>
              <w:t>SurvNet</w:t>
            </w:r>
            <w:proofErr w:type="spellEnd"/>
            <w:r>
              <w:rPr>
                <w:sz w:val="22"/>
              </w:rPr>
              <w:t xml:space="preserve"> (Cave: Schnittstellte SORMAS-</w:t>
            </w:r>
            <w:proofErr w:type="spellStart"/>
            <w:r>
              <w:rPr>
                <w:sz w:val="22"/>
              </w:rPr>
              <w:t>SurvNet</w:t>
            </w:r>
            <w:proofErr w:type="spellEnd"/>
            <w:r>
              <w:rPr>
                <w:sz w:val="22"/>
              </w:rPr>
              <w:t xml:space="preserve"> existiert nicht, Daten müssen derzeit doppelt eingebenden werden; DEMIS: Plattform, im Ausbau befindlich) </w:t>
            </w:r>
          </w:p>
          <w:p>
            <w:pPr>
              <w:pStyle w:val="Listenabsatz"/>
              <w:numPr>
                <w:ilvl w:val="1"/>
                <w:numId w:val="5"/>
              </w:numPr>
              <w:spacing w:line="276" w:lineRule="auto"/>
              <w:ind w:left="1191" w:hanging="284"/>
              <w:rPr>
                <w:sz w:val="22"/>
              </w:rPr>
            </w:pPr>
            <w:r>
              <w:rPr>
                <w:sz w:val="22"/>
              </w:rPr>
              <w:t>Es muss Klarheit geschaffen werden, welche Funktion und Limitierung die jeweiligen Systeme besitzen</w:t>
            </w:r>
          </w:p>
          <w:p>
            <w:pPr>
              <w:pStyle w:val="Listenabsatz"/>
              <w:numPr>
                <w:ilvl w:val="1"/>
                <w:numId w:val="5"/>
              </w:numPr>
              <w:spacing w:line="276" w:lineRule="auto"/>
              <w:ind w:left="1191" w:hanging="284"/>
              <w:rPr>
                <w:sz w:val="22"/>
              </w:rPr>
            </w:pPr>
            <w:r>
              <w:rPr>
                <w:sz w:val="22"/>
              </w:rPr>
              <w:t>Herausforderungen und Chancen müssen klar und transparent adressiert werden</w:t>
            </w:r>
          </w:p>
          <w:p>
            <w:pPr>
              <w:pStyle w:val="Listenabsatz"/>
              <w:spacing w:line="276" w:lineRule="auto"/>
              <w:ind w:left="1191"/>
              <w:rPr>
                <w:sz w:val="22"/>
              </w:rPr>
            </w:pPr>
            <w:r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SORMAS sollte nicht lanciert werden, sofern die Schnittstelle nicht funktional ist, andernfalls Konsequenzen aufzeigen</w:t>
            </w:r>
          </w:p>
          <w:p>
            <w:pPr>
              <w:pStyle w:val="Listenabsatz"/>
              <w:numPr>
                <w:ilvl w:val="1"/>
                <w:numId w:val="5"/>
              </w:numPr>
              <w:spacing w:line="276" w:lineRule="auto"/>
              <w:ind w:left="1191" w:hanging="284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Bei </w:t>
            </w:r>
            <w:proofErr w:type="spellStart"/>
            <w:r>
              <w:rPr>
                <w:sz w:val="22"/>
              </w:rPr>
              <w:t>SurvNet</w:t>
            </w:r>
            <w:proofErr w:type="spellEnd"/>
            <w:r>
              <w:rPr>
                <w:sz w:val="22"/>
              </w:rPr>
              <w:t xml:space="preserve"> sind lediglich ca. 1/3 der Ämter noch anzuschließen </w:t>
            </w:r>
          </w:p>
          <w:p>
            <w:pPr>
              <w:pStyle w:val="Listenabsatz"/>
              <w:numPr>
                <w:ilvl w:val="1"/>
                <w:numId w:val="5"/>
              </w:numPr>
              <w:spacing w:line="276" w:lineRule="auto"/>
              <w:ind w:left="1191" w:hanging="284"/>
              <w:rPr>
                <w:sz w:val="22"/>
              </w:rPr>
            </w:pPr>
            <w:r>
              <w:rPr>
                <w:sz w:val="22"/>
              </w:rPr>
              <w:t xml:space="preserve">Erstellung einer erklärenden Grafik, die zentral platziert wird (Grafik bis morgen erforderlich, cave: Sachsen bspw. nutzt anderes System als </w:t>
            </w:r>
            <w:proofErr w:type="spellStart"/>
            <w:r>
              <w:rPr>
                <w:sz w:val="22"/>
              </w:rPr>
              <w:t>SurvNet</w:t>
            </w:r>
            <w:proofErr w:type="spellEnd"/>
            <w:r>
              <w:rPr>
                <w:sz w:val="22"/>
              </w:rPr>
              <w:t xml:space="preserve">) </w:t>
            </w:r>
          </w:p>
          <w:p>
            <w:pPr>
              <w:spacing w:line="276" w:lineRule="auto"/>
              <w:rPr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Ministergespräch – </w:t>
            </w:r>
            <w:proofErr w:type="spellStart"/>
            <w:r>
              <w:rPr>
                <w:sz w:val="22"/>
              </w:rPr>
              <w:t>CompuGroup</w:t>
            </w:r>
            <w:proofErr w:type="spellEnd"/>
            <w:r>
              <w:rPr>
                <w:sz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82" w:hanging="425"/>
              <w:rPr>
                <w:sz w:val="22"/>
              </w:rPr>
            </w:pPr>
            <w:r>
              <w:rPr>
                <w:sz w:val="22"/>
              </w:rPr>
              <w:t>Vertreter des RKI wurden seitens BMG gebeten, an Folge-gespräch teilzunehmen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82" w:hanging="425"/>
              <w:rPr>
                <w:sz w:val="22"/>
              </w:rPr>
            </w:pPr>
            <w:r>
              <w:rPr>
                <w:sz w:val="22"/>
              </w:rPr>
              <w:t>Teilnehmende: Herr Ziese, Frau Scheidt-Nave, Frau Neuhauser sowie ggf. ein Mitarbeitender aus ZBS1 für labortechnische Fragestellungen (Anfrage wird weitergeleitet)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82" w:hanging="425"/>
              <w:rPr>
                <w:sz w:val="22"/>
              </w:rPr>
            </w:pPr>
            <w:r>
              <w:rPr>
                <w:sz w:val="22"/>
              </w:rPr>
              <w:t xml:space="preserve">Im Gespräch soll der sachliche und faktenbasierte Hinweis auf die bisherigen Kritikpunkte erfolgen sowie die Bitte darum, dass keine Parallelstrukturen aufgebaut werden (siehe SORMAS)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r>
              <w:t>Alle</w:t>
            </w:r>
          </w:p>
          <w:p/>
          <w:p/>
          <w:p/>
          <w:p/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(Ziese)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Handlungsanleitung </w:t>
            </w:r>
            <w:proofErr w:type="spellStart"/>
            <w:r>
              <w:rPr>
                <w:sz w:val="22"/>
              </w:rPr>
              <w:t>CorSurV</w:t>
            </w:r>
            <w:proofErr w:type="spellEnd"/>
            <w:r>
              <w:rPr>
                <w:sz w:val="22"/>
              </w:rPr>
              <w:t xml:space="preserve"> – Verfahren zur Auswahl und Einsendung von Proben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Für Labore (Dokument </w:t>
            </w:r>
            <w:hyperlink r:id="rId14" w:history="1">
              <w:r>
                <w:rPr>
                  <w:rStyle w:val="Hyperlink"/>
                  <w:sz w:val="22"/>
                </w:rPr>
                <w:t>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 regelt, dass bis zu 5 % der Proben, die in letzter KW bei primärdiagnostizierendem Labor </w:t>
            </w:r>
            <w:proofErr w:type="spellStart"/>
            <w:r>
              <w:rPr>
                <w:sz w:val="22"/>
                <w:szCs w:val="22"/>
              </w:rPr>
              <w:t>einge-gangen</w:t>
            </w:r>
            <w:proofErr w:type="spellEnd"/>
            <w:r>
              <w:rPr>
                <w:sz w:val="22"/>
                <w:szCs w:val="22"/>
              </w:rPr>
              <w:t xml:space="preserve"> sind, sequenziert werden sollen, geregelte Vergütung 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Kriterien Probenauswahl – zwei Gruppen: 1) Gesamt-gruppe aller Proben und 2) Proben aufgrund eines Verdachtes auf eine variant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concern</w:t>
            </w:r>
            <w:proofErr w:type="spellEnd"/>
            <w:r>
              <w:rPr>
                <w:sz w:val="22"/>
                <w:szCs w:val="22"/>
              </w:rPr>
              <w:t xml:space="preserve"> (VOC)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Strang A: Sequenzierung vornehmlich aus zufälligen Proben um regelkonforme Surveillance zu gewährleisten (Vermeidung </w:t>
            </w:r>
            <w:proofErr w:type="gramStart"/>
            <w:r>
              <w:rPr>
                <w:sz w:val="22"/>
                <w:szCs w:val="22"/>
              </w:rPr>
              <w:t>einer Bias</w:t>
            </w:r>
            <w:proofErr w:type="gramEnd"/>
            <w:r>
              <w:rPr>
                <w:sz w:val="22"/>
                <w:szCs w:val="22"/>
              </w:rPr>
              <w:t xml:space="preserve"> durch Auswahl auf Verdacht) – hier kann ggf. ein Tool zur zufälligen Auswahl zur Verfügung gestellt werden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Strang B: Sequenzierung bei Verdacht auf Vorliegen einer Variante nach festgelegten Indikatoren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Ggf. Rückfragen an Diagnostikexperten ob </w:t>
            </w:r>
            <w:proofErr w:type="spellStart"/>
            <w:r>
              <w:rPr>
                <w:sz w:val="22"/>
                <w:szCs w:val="22"/>
              </w:rPr>
              <w:t>Empfeh-lung</w:t>
            </w:r>
            <w:proofErr w:type="spellEnd"/>
            <w:r>
              <w:rPr>
                <w:sz w:val="22"/>
                <w:szCs w:val="22"/>
              </w:rPr>
              <w:t xml:space="preserve"> hinsichtlich Ct-Werten sinnvoll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Darlegung der Durchführung und Informationsüber-</w:t>
            </w:r>
            <w:proofErr w:type="spellStart"/>
            <w:r>
              <w:rPr>
                <w:sz w:val="22"/>
                <w:szCs w:val="22"/>
              </w:rPr>
              <w:t>mittlung</w:t>
            </w:r>
            <w:proofErr w:type="spellEnd"/>
            <w:r>
              <w:rPr>
                <w:sz w:val="22"/>
                <w:szCs w:val="22"/>
              </w:rPr>
              <w:t xml:space="preserve"> via DESH, DEMIS, IMS ID, Verknüpfung von </w:t>
            </w:r>
            <w:proofErr w:type="spellStart"/>
            <w:r>
              <w:rPr>
                <w:sz w:val="22"/>
                <w:szCs w:val="22"/>
              </w:rPr>
              <w:t>Sequenzierdaten</w:t>
            </w:r>
            <w:proofErr w:type="spellEnd"/>
            <w:r>
              <w:rPr>
                <w:sz w:val="22"/>
                <w:szCs w:val="22"/>
              </w:rPr>
              <w:t xml:space="preserve"> mit Meldedaten, siehe Grafik S. 4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Für Gesundheitsämter (Dokument </w:t>
            </w:r>
            <w:hyperlink r:id="rId15" w:history="1">
              <w:r>
                <w:rPr>
                  <w:rStyle w:val="Hyperlink"/>
                  <w:sz w:val="22"/>
                </w:rPr>
                <w:t>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Probenauswahl und Beauftragung der Sequenzierung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Auswahl: ausschließlich beschränkt auf Verdacht – keine zufällig ausgewählten Proben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Indikatoren identisch (s.o.)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Beauftragung der Sequenzierung durch das Gesundheitsamt beim primärdiagnostizierenden Labor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Diskussion: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Abrechnungsmissbrauch: in VO ist Abrechnung via KV vorgesehen, retrospektiv überprüfbar, rechtliche Handhabe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Abrechnung kann jedoch nicht Anzahl der </w:t>
            </w:r>
            <w:proofErr w:type="spellStart"/>
            <w:r>
              <w:rPr>
                <w:sz w:val="22"/>
                <w:szCs w:val="22"/>
              </w:rPr>
              <w:t>einge</w:t>
            </w:r>
            <w:proofErr w:type="spellEnd"/>
            <w:r>
              <w:rPr>
                <w:sz w:val="22"/>
                <w:szCs w:val="22"/>
              </w:rPr>
              <w:t>-sandten Sequenzen überprüfen, ggf. Transportkosten als Zusatzkriterium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Quittierungs</w:t>
            </w:r>
            <w:proofErr w:type="spellEnd"/>
            <w:r>
              <w:rPr>
                <w:sz w:val="22"/>
                <w:szCs w:val="22"/>
              </w:rPr>
              <w:t xml:space="preserve">)Mechanismus in Phase 1 </w:t>
            </w:r>
            <w:proofErr w:type="spellStart"/>
            <w:r>
              <w:rPr>
                <w:sz w:val="22"/>
                <w:szCs w:val="22"/>
              </w:rPr>
              <w:t>einzu</w:t>
            </w:r>
            <w:proofErr w:type="spellEnd"/>
            <w:r>
              <w:rPr>
                <w:sz w:val="22"/>
                <w:szCs w:val="22"/>
              </w:rPr>
              <w:t>-bringen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Konsiliarlabor</w:t>
            </w:r>
            <w:proofErr w:type="spellEnd"/>
            <w:r>
              <w:rPr>
                <w:sz w:val="22"/>
                <w:szCs w:val="22"/>
              </w:rPr>
              <w:t xml:space="preserve"> hier nicht direkt involviert (hier Fokus auf Sequenzierung), in Grafik ggf.  gestrichelter Pfeil zu integrierter molekularer Surveillance/ </w:t>
            </w:r>
            <w:proofErr w:type="spellStart"/>
            <w:r>
              <w:rPr>
                <w:sz w:val="22"/>
                <w:szCs w:val="22"/>
              </w:rPr>
              <w:t>Konsiliar</w:t>
            </w:r>
            <w:proofErr w:type="spellEnd"/>
            <w:r>
              <w:rPr>
                <w:sz w:val="22"/>
                <w:szCs w:val="22"/>
              </w:rPr>
              <w:t xml:space="preserve">-labor sinnvoll, zuvor jedoch Abstimmung mit entsprechenden Parteien nötig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an Herrn Kröger um Ergänzung eines Satzes dazu, dass das System das andere ergänzt und zur Verdeutlichung der Zusammen-arbeit mit dem KL (ggf. Satzbaustein aus FAQs verwenden)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Schwellenwert: Ct &lt; 25 sollte enthalten sein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Ct korreliert mit Infektionsstadium, somit sollte keine Verzerrung in epidemiologischer Hinsicht erfolgen, zumal für Sequenzierung wertvoll (Ausschluss fälschlicher Proben durch niedrigen Ct-Wert)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Veröffentlichung der Dokumente morgen bzw. spätestens bis Ende der Woche, via Labornetzwerk und Homepage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(Kröger)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 xml:space="preserve">SARS-CoV-2 Integration in Genom, Implikation für </w:t>
            </w:r>
            <w:proofErr w:type="spellStart"/>
            <w:r>
              <w:rPr>
                <w:sz w:val="22"/>
              </w:rPr>
              <w:t>mRNA</w:t>
            </w:r>
            <w:proofErr w:type="spellEnd"/>
            <w:r>
              <w:rPr>
                <w:sz w:val="22"/>
              </w:rPr>
              <w:t xml:space="preserve">-Impfstoffe (Dokument </w:t>
            </w:r>
            <w:hyperlink r:id="rId16" w:history="1">
              <w:r>
                <w:rPr>
                  <w:rStyle w:val="Hyperlink"/>
                  <w:sz w:val="22"/>
                </w:rPr>
                <w:t>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Qualität des Preprints noch nicht beurteilbar, da Review ausstehend (bislang Veröffentlichung auf Preprint-Server)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Artefizielles System als Grundlage, daher reale Bedeutung fraglich, soweit kein Befund einer Relevanz für die Impfung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>Labordiagnostik NRZ Influenza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</w:rPr>
              <w:t>Probenaufkommen in etwa vergleichbar mit Vorwoche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Von ca. 75 % der Praxen trotz Einsatz eines Kurierdienstes lediglich jeweils eine Probe eingeschickt (Grundanforderung: 3 Proben)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sollen somit 50 neue Praxen rekrutiert werden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Nachweisrate: auch hier Rückgang: 10 % SARS-CoV-2-positiv,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 weiterhin auf niedrigem Niveau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Erstmals Nachweis von Parainfluenza und NL63 (saisonale Coronaviren) seit langer Zeit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Influenza: keine Nachweise seit Lockdown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RespVir</w:t>
            </w:r>
            <w:proofErr w:type="spellEnd"/>
            <w:r>
              <w:rPr>
                <w:sz w:val="22"/>
                <w:szCs w:val="22"/>
              </w:rPr>
              <w:t xml:space="preserve">: identische Ergebnisse hinsichtlich Influenza und NL63 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FG17/ZBS1 (Dürrwald)</w:t>
            </w: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 (Dürrwald)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AK-Auslieferung für 4. KW wird stattfinden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COVRIN Fachgruppe: Anfrage zu Vitamin D und </w:t>
            </w:r>
            <w:proofErr w:type="spellStart"/>
            <w:r>
              <w:rPr>
                <w:sz w:val="22"/>
                <w:szCs w:val="22"/>
              </w:rPr>
              <w:t>Ivermectin</w:t>
            </w:r>
            <w:proofErr w:type="spellEnd"/>
            <w:r>
              <w:rPr>
                <w:sz w:val="22"/>
                <w:szCs w:val="22"/>
              </w:rPr>
              <w:t>: Bericht für Kliniker wird erstellt, da berechtige Fachfragen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Weiterfinanzierung Beratungsnetzwerk für Behandlung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Webseminare wiederaufgenommen: v.a. zu besonderen Fallbesprechungen, intensivmedizinischer Behandlung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Vitamin D: Textbaustein zu PH Prävention wird erscheinen, wird morgen im Expertenbeirat Influenza diskutiert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Entlassungsmanagement hinsichtlich neuer Varianten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Derzeit noch kein Anlass zur Änderung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Ausbruch Garmisch-Partenkirchen: von 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 xml:space="preserve">-Station ausgehend, vermehrt Escape-Mutanten </w:t>
            </w:r>
            <w:r>
              <w:sym w:font="Wingdings" w:char="F0E0"/>
            </w:r>
            <w:r>
              <w:rPr>
                <w:sz w:val="22"/>
                <w:szCs w:val="22"/>
              </w:rPr>
              <w:t xml:space="preserve"> gewisse Gefahren von 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 xml:space="preserve">-Stationen ausgehend, sollte niederschwellig sequenziert werden, ggf. mit FG 17 / ZBS1 besprechen hinsichtlich Immunsuppression als Auswahlkriterium zur Sequenzierung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Immunsuppression: Zusammenhang mit Prädisposition der Entwicklung von Mutationen und relevante Ausscheidung von &gt; 10</w:t>
            </w:r>
            <w:r>
              <w:rPr>
                <w:sz w:val="22"/>
                <w:szCs w:val="22"/>
                <w:vertAlign w:val="superscript"/>
              </w:rPr>
              <w:t>6</w:t>
            </w:r>
            <w:r>
              <w:rPr>
                <w:sz w:val="22"/>
                <w:szCs w:val="22"/>
              </w:rPr>
              <w:t xml:space="preserve"> über 60 Tage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Kriterien für KP1/KP-Management und Quarantänedauer ggf. anzupassen, wenn höhere Übertragbarkeit und Zirkulation neuer Varianten nachgewiesen, derzeit jedoch gering belastbare Datenlage, daher hier zunächst Fokus auf stringente Durchführung der Maßnahmen des KP-Managements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Korrelation zwischen Menge und Infektiosität bzw. Kopplung der Faktoren „Zeit“ und „klinische Besserung“ als Indikator für Überwindung der Infektion auch auf neue Variante anwendbar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Limburg </w:t>
            </w:r>
            <w:proofErr w:type="spellStart"/>
            <w:r>
              <w:rPr>
                <w:sz w:val="22"/>
                <w:szCs w:val="22"/>
              </w:rPr>
              <w:t>Entlasskritieren</w:t>
            </w:r>
            <w:proofErr w:type="spellEnd"/>
            <w:r>
              <w:rPr>
                <w:sz w:val="22"/>
                <w:szCs w:val="22"/>
              </w:rPr>
              <w:t xml:space="preserve"> eigenständig verschärft (neg. PCR erforderlich)</w:t>
            </w:r>
          </w:p>
          <w:p>
            <w:pPr>
              <w:ind w:left="113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Do1: Ggf. über STAKOB gezielt um Proben immunsupprimierter Patienten bitten, Rücksprache mit Herrn Herzog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Do2: Formulierung im </w:t>
            </w:r>
            <w:proofErr w:type="spellStart"/>
            <w:r>
              <w:rPr>
                <w:i/>
                <w:sz w:val="22"/>
                <w:szCs w:val="22"/>
              </w:rPr>
              <w:t>Entlasspapier</w:t>
            </w:r>
            <w:proofErr w:type="spellEnd"/>
            <w:r>
              <w:rPr>
                <w:i/>
                <w:sz w:val="22"/>
                <w:szCs w:val="22"/>
              </w:rPr>
              <w:t xml:space="preserve"> zur Einzelfallbeurteilung und Virusanzucht bei Immunsuppression bitte ergänzen um „und ggf. sequenzieren“ nach Rücksprache mit Herrn Herzog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(Herzog)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COVID-19/Obdachlosigkeit (Freitag)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Corona-KiTa-Studie </w:t>
            </w:r>
            <w:r>
              <w:rPr>
                <w:b/>
                <w:color w:val="FF0000"/>
                <w:sz w:val="22"/>
                <w:szCs w:val="22"/>
              </w:rPr>
              <w:t>(nur montags)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t>FG32</w:t>
            </w:r>
            <w:r>
              <w:br/>
              <w:t>FG36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Anfragen nach IFG: Bearbeitung durch Lagezentrum in jetziger Form nicht weiter tragbar, gesondert zu besprechen mit L1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Fehlende Aktivität neutralisierender AK bei afrikanischer Variante (E-Mail an ZIG zu Ausführungen seitens CDC)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</w:rPr>
              <w:t xml:space="preserve">Preprint dazu: </w:t>
            </w:r>
            <w:hyperlink r:id="rId17" w:history="1">
              <w:r>
                <w:rPr>
                  <w:rStyle w:val="Hyperlink"/>
                  <w:sz w:val="22"/>
                  <w:szCs w:val="22"/>
                </w:rPr>
                <w:t>https://www.biorxiv.org/content/10.1101/2021.01.18.427166v1.full.pdf</w:t>
              </w:r>
            </w:hyperlink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Mögliche Konsequenz für Impfung, Reinfektion, T-Zell-Immunität: noch keine belastbare Datenlage bzw. </w:t>
            </w:r>
            <w:proofErr w:type="spellStart"/>
            <w:r>
              <w:rPr>
                <w:sz w:val="22"/>
                <w:szCs w:val="22"/>
              </w:rPr>
              <w:t>epidemiologi-sche</w:t>
            </w:r>
            <w:proofErr w:type="spellEnd"/>
            <w:r>
              <w:rPr>
                <w:sz w:val="22"/>
                <w:szCs w:val="22"/>
              </w:rPr>
              <w:t xml:space="preserve"> Erfahrung im Feld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an Herrn Voigt um Einschätzung und Bitte an Herrn Wieler um Zusendung einer Bitte um Einschätzung an das PEI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(Eckmanns)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(Haas)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 bzw. jeweils s.o.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22.01.2021,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default" r:id="rId18"/>
      <w:footerReference w:type="even" r:id="rId19"/>
      <w:footerReference w:type="default" r:id="rId20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" w:date="2021-01-21T14:29:00Z" w:initials="BR">
    <w:p>
      <w:pPr>
        <w:pStyle w:val="Kommentartext"/>
      </w:pPr>
      <w:r>
        <w:rPr>
          <w:rStyle w:val="Kommentarzeichen"/>
        </w:rPr>
        <w:annotationRef/>
      </w:r>
      <w:bookmarkStart w:id="1" w:name="_GoBack"/>
      <w:r>
        <w:t>Christophe arbeitet doch beim BMG (?)</w:t>
      </w:r>
      <w:bookmarkEnd w:id="1"/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61D8C"/>
    <w:multiLevelType w:val="hybridMultilevel"/>
    <w:tmpl w:val="7F4C0676"/>
    <w:lvl w:ilvl="0" w:tplc="271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86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43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6C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6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C4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26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01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6A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A1C0EF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C44EDB"/>
    <w:multiLevelType w:val="hybridMultilevel"/>
    <w:tmpl w:val="ED5A4F06"/>
    <w:lvl w:ilvl="0" w:tplc="F532F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2B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AF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8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6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A6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09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04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81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2A1057"/>
    <w:multiLevelType w:val="hybridMultilevel"/>
    <w:tmpl w:val="13701C36"/>
    <w:lvl w:ilvl="0" w:tplc="A596D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1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67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87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6A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41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E9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82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48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34ED8"/>
    <w:multiLevelType w:val="hybridMultilevel"/>
    <w:tmpl w:val="014653EA"/>
    <w:lvl w:ilvl="0" w:tplc="BF300A2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68C4C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49D3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C587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E7B3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2FB0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0D3C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A1AAA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EE0526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5C87"/>
    <w:multiLevelType w:val="hybridMultilevel"/>
    <w:tmpl w:val="FB1869AA"/>
    <w:lvl w:ilvl="0" w:tplc="F48C35B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2A33C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08C5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60DA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6C43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6087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4E34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EAEC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A8C6D8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8E608D"/>
    <w:multiLevelType w:val="hybridMultilevel"/>
    <w:tmpl w:val="8DBC0EC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2F56E2"/>
    <w:multiLevelType w:val="hybridMultilevel"/>
    <w:tmpl w:val="E8D2804A"/>
    <w:lvl w:ilvl="0" w:tplc="32CC2E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AA0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674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AEB7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38FB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309F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BAF7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B62B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030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1"/>
  </w:num>
  <w:num w:numId="5">
    <w:abstractNumId w:val="8"/>
  </w:num>
  <w:num w:numId="6">
    <w:abstractNumId w:val="23"/>
  </w:num>
  <w:num w:numId="7">
    <w:abstractNumId w:val="30"/>
  </w:num>
  <w:num w:numId="8">
    <w:abstractNumId w:val="16"/>
  </w:num>
  <w:num w:numId="9">
    <w:abstractNumId w:val="5"/>
  </w:num>
  <w:num w:numId="10">
    <w:abstractNumId w:val="34"/>
  </w:num>
  <w:num w:numId="11">
    <w:abstractNumId w:val="29"/>
  </w:num>
  <w:num w:numId="12">
    <w:abstractNumId w:val="18"/>
  </w:num>
  <w:num w:numId="13">
    <w:abstractNumId w:val="15"/>
  </w:num>
  <w:num w:numId="14">
    <w:abstractNumId w:val="25"/>
  </w:num>
  <w:num w:numId="15">
    <w:abstractNumId w:val="20"/>
  </w:num>
  <w:num w:numId="16">
    <w:abstractNumId w:val="0"/>
  </w:num>
  <w:num w:numId="17">
    <w:abstractNumId w:val="14"/>
  </w:num>
  <w:num w:numId="18">
    <w:abstractNumId w:val="32"/>
  </w:num>
  <w:num w:numId="19">
    <w:abstractNumId w:val="10"/>
  </w:num>
  <w:num w:numId="20">
    <w:abstractNumId w:val="31"/>
  </w:num>
  <w:num w:numId="21">
    <w:abstractNumId w:val="7"/>
  </w:num>
  <w:num w:numId="22">
    <w:abstractNumId w:val="9"/>
  </w:num>
  <w:num w:numId="23">
    <w:abstractNumId w:val="2"/>
  </w:num>
  <w:num w:numId="24">
    <w:abstractNumId w:val="26"/>
  </w:num>
  <w:num w:numId="25">
    <w:abstractNumId w:val="17"/>
  </w:num>
  <w:num w:numId="26">
    <w:abstractNumId w:val="1"/>
  </w:num>
  <w:num w:numId="27">
    <w:abstractNumId w:val="27"/>
  </w:num>
  <w:num w:numId="28">
    <w:abstractNumId w:val="33"/>
  </w:num>
  <w:num w:numId="29">
    <w:abstractNumId w:val="6"/>
  </w:num>
  <w:num w:numId="30">
    <w:abstractNumId w:val="13"/>
  </w:num>
  <w:num w:numId="31">
    <w:abstractNumId w:val="24"/>
  </w:num>
  <w:num w:numId="32">
    <w:abstractNumId w:val="12"/>
  </w:num>
  <w:num w:numId="33">
    <w:abstractNumId w:val="19"/>
  </w:num>
  <w:num w:numId="34">
    <w:abstractNumId w:val="28"/>
  </w:num>
  <w:num w:numId="35">
    <w:abstractNumId w:val="2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">
    <w15:presenceInfo w15:providerId="None" w15:userId="B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1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ile:///S:\Wissdaten\RKI_nCoV-Lage\1.Lagemanagement\1.3.Besprechungen_TKs\1.Lage_AG\2021-01-20_Lage_AG\syndrom-ARE-SARI-COVID_bis_KW2_2021_f&#252;r-KS.ppt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1-01-20_Lage_AG\21-01-20_Intensivregister_SPoCK.pptx" TargetMode="External"/><Relationship Id="rId17" Type="http://schemas.openxmlformats.org/officeDocument/2006/relationships/hyperlink" Target="https://www.biorxiv.org/content/10.1101/2021.01.18.427166v1.ful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SARS%20intergration%5b1%5d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1-01-20_Lage_AG\Testzahlerfassung%20am%20RKI_2021-01-20.ppt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ID2616_4_Handlungsanleitung_Gesundheits&#228;mter_v4_&#196;a.docx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file:///S:\Wissdaten\RKI_nCoV-Lage\1.Lagemanagement\1.3.Besprechungen_TKs\1.Lage_AG\2021-01-20_Lage_AG\210120_SARS-CoV-2%20in%20ARS_Krisenstabssitzung.ppt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S:\Wissdaten\RKI_nCoV-Lage\1.Lagemanagement\1.3.Besprechungen_TKs\1.Lage_AG\2021-01-20_Lage_AG\Lage-National_2021-01-20.pptx" TargetMode="External"/><Relationship Id="rId14" Type="http://schemas.openxmlformats.org/officeDocument/2006/relationships/hyperlink" Target="ID2616_4_Handlungsanleitung_Labore_v5_&#196;a.docx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B753A-E8FC-461C-BD17-79EEC334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2922</Words>
  <Characters>18409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21289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68</cp:revision>
  <cp:lastPrinted>2020-05-06T16:43:00Z</cp:lastPrinted>
  <dcterms:created xsi:type="dcterms:W3CDTF">2021-01-13T13:01:00Z</dcterms:created>
  <dcterms:modified xsi:type="dcterms:W3CDTF">2021-05-10T14:48:00Z</dcterms:modified>
</cp:coreProperties>
</file>