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3"/>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05.02.2021,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line="233" w:lineRule="auto"/>
        <w:contextualSpacing w:val="0"/>
        <w:rPr>
          <w:sz w:val="22"/>
        </w:rPr>
      </w:pPr>
      <w:r>
        <w:rPr>
          <w:sz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2"/>
        </w:numPr>
        <w:spacing w:after="0"/>
        <w:contextualSpacing w:val="0"/>
        <w:rPr>
          <w:sz w:val="22"/>
          <w:szCs w:val="22"/>
        </w:rPr>
      </w:pPr>
      <w:r>
        <w:rPr>
          <w:sz w:val="22"/>
          <w:szCs w:val="22"/>
        </w:rPr>
        <w:t xml:space="preserve">FG24 </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4"/>
        </w:numPr>
        <w:spacing w:after="0"/>
        <w:contextualSpacing w:val="0"/>
        <w:rPr>
          <w:sz w:val="22"/>
          <w:szCs w:val="22"/>
        </w:rPr>
      </w:pPr>
      <w:r>
        <w:rPr>
          <w:sz w:val="22"/>
          <w:szCs w:val="22"/>
        </w:rPr>
        <w:t>FG32</w:t>
      </w:r>
    </w:p>
    <w:p>
      <w:pPr>
        <w:pStyle w:val="Listenabsatz"/>
        <w:numPr>
          <w:ilvl w:val="1"/>
          <w:numId w:val="4"/>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FG33</w:t>
      </w:r>
    </w:p>
    <w:p>
      <w:pPr>
        <w:pStyle w:val="Listenabsatz"/>
        <w:numPr>
          <w:ilvl w:val="1"/>
          <w:numId w:val="4"/>
        </w:numPr>
        <w:spacing w:after="0"/>
        <w:contextualSpacing w:val="0"/>
        <w:rPr>
          <w:sz w:val="22"/>
          <w:szCs w:val="22"/>
        </w:rPr>
      </w:pPr>
      <w:r>
        <w:rPr>
          <w:sz w:val="22"/>
          <w:szCs w:val="22"/>
        </w:rPr>
        <w:t>Ole Wichmann</w:t>
      </w:r>
    </w:p>
    <w:p>
      <w:pPr>
        <w:spacing w:after="0"/>
        <w:rPr>
          <w:sz w:val="22"/>
          <w:szCs w:val="22"/>
        </w:rPr>
      </w:pPr>
    </w:p>
    <w:p>
      <w:pPr>
        <w:spacing w:after="0"/>
        <w:rPr>
          <w:sz w:val="22"/>
          <w:szCs w:val="22"/>
        </w:rPr>
      </w:pPr>
    </w:p>
    <w:p>
      <w:pPr>
        <w:spacing w:after="0"/>
        <w:rPr>
          <w:sz w:val="22"/>
          <w:szCs w:val="22"/>
        </w:rPr>
      </w:pPr>
    </w:p>
    <w:p>
      <w:pPr>
        <w:pStyle w:val="Listenabsatz"/>
        <w:spacing w:after="0"/>
        <w:contextualSpacing w:val="0"/>
        <w:rPr>
          <w:sz w:val="22"/>
          <w:szCs w:val="22"/>
          <w:highlight w:val="yellow"/>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1"/>
          <w:numId w:val="2"/>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rStyle w:val="highlight"/>
          <w:sz w:val="22"/>
          <w:szCs w:val="22"/>
        </w:rPr>
      </w:pPr>
      <w:r>
        <w:rPr>
          <w:sz w:val="22"/>
          <w:szCs w:val="22"/>
        </w:rPr>
        <w:t>Esther-Maria Antao</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szCs w:val="22"/>
        </w:rPr>
      </w:pPr>
      <w:proofErr w:type="spellStart"/>
      <w:r>
        <w:rPr>
          <w:sz w:val="22"/>
          <w:szCs w:val="22"/>
        </w:rPr>
        <w:t>BzGA</w:t>
      </w:r>
      <w:proofErr w:type="spellEnd"/>
    </w:p>
    <w:p>
      <w:pPr>
        <w:pStyle w:val="Listenabsatz"/>
        <w:numPr>
          <w:ilvl w:val="1"/>
          <w:numId w:val="2"/>
        </w:numPr>
        <w:spacing w:after="0"/>
        <w:rPr>
          <w:sz w:val="22"/>
        </w:rPr>
      </w:pPr>
      <w:r>
        <w:rPr>
          <w:sz w:val="22"/>
        </w:rPr>
        <w:t xml:space="preserve">Florentine </w:t>
      </w:r>
      <w:proofErr w:type="spellStart"/>
      <w:r>
        <w:rPr>
          <w:sz w:val="22"/>
        </w:rPr>
        <w:t>Frentz</w:t>
      </w:r>
      <w:proofErr w:type="spellEnd"/>
    </w:p>
    <w:p>
      <w:pPr>
        <w:pStyle w:val="Listenabsatz"/>
        <w:numPr>
          <w:ilvl w:val="0"/>
          <w:numId w:val="2"/>
        </w:numPr>
        <w:spacing w:after="0"/>
        <w:contextualSpacing w:val="0"/>
        <w:rPr>
          <w:sz w:val="22"/>
          <w:szCs w:val="22"/>
        </w:rPr>
      </w:pPr>
      <w:r>
        <w:rPr>
          <w:sz w:val="22"/>
          <w:szCs w:val="22"/>
        </w:rPr>
        <w:t>ZBS1</w:t>
      </w:r>
    </w:p>
    <w:p>
      <w:pPr>
        <w:pStyle w:val="Listenabsatz"/>
        <w:numPr>
          <w:ilvl w:val="1"/>
          <w:numId w:val="2"/>
        </w:numPr>
        <w:spacing w:after="0"/>
        <w:contextualSpacing w:val="0"/>
        <w:rPr>
          <w:sz w:val="22"/>
          <w:szCs w:val="22"/>
        </w:rPr>
      </w:pPr>
      <w:r>
        <w:rPr>
          <w:sz w:val="22"/>
          <w:szCs w:val="22"/>
        </w:rPr>
        <w:t>Janine Michel</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rPr>
      </w:pPr>
      <w:r>
        <w:rPr>
          <w:sz w:val="22"/>
        </w:rPr>
        <w:t>Luisa Denkel</w:t>
      </w:r>
    </w:p>
    <w:p>
      <w:pPr>
        <w:pStyle w:val="Listenabsatz"/>
        <w:numPr>
          <w:ilvl w:val="1"/>
          <w:numId w:val="2"/>
        </w:numPr>
        <w:spacing w:after="0"/>
        <w:contextualSpacing w:val="0"/>
        <w:rPr>
          <w:sz w:val="22"/>
        </w:rPr>
      </w:pPr>
      <w:r>
        <w:rPr>
          <w:sz w:val="22"/>
        </w:rPr>
        <w:t>Regina Singer</w:t>
      </w:r>
    </w:p>
    <w:p>
      <w:pPr>
        <w:pStyle w:val="Listenabsatz"/>
        <w:numPr>
          <w:ilvl w:val="0"/>
          <w:numId w:val="2"/>
        </w:numPr>
        <w:spacing w:after="0"/>
        <w:contextualSpacing w:val="0"/>
        <w:rPr>
          <w:sz w:val="22"/>
        </w:rPr>
      </w:pPr>
      <w:r>
        <w:rPr>
          <w:sz w:val="22"/>
        </w:rPr>
        <w:t>MF3</w:t>
      </w:r>
    </w:p>
    <w:p>
      <w:pPr>
        <w:pStyle w:val="Listenabsatz"/>
        <w:numPr>
          <w:ilvl w:val="1"/>
          <w:numId w:val="2"/>
        </w:numPr>
        <w:spacing w:after="0"/>
        <w:contextualSpacing w:val="0"/>
        <w:rPr>
          <w:sz w:val="22"/>
        </w:rPr>
      </w:pPr>
      <w:r>
        <w:rPr>
          <w:sz w:val="22"/>
        </w:rPr>
        <w:t>Nancy Erickson (Protokoll)</w:t>
      </w:r>
    </w:p>
    <w:p>
      <w:pPr>
        <w:pStyle w:val="Listenabsatz"/>
        <w:spacing w:after="0"/>
        <w:ind w:left="1440"/>
        <w:contextualSpacing w:val="0"/>
        <w:rPr>
          <w:sz w:val="22"/>
        </w:rPr>
      </w:pPr>
    </w:p>
    <w:p>
      <w:pPr>
        <w:spacing w:after="0"/>
        <w:rPr>
          <w:sz w:val="22"/>
        </w:rPr>
      </w:pP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sz w:val="22"/>
                <w:szCs w:val="22"/>
              </w:rPr>
            </w:pPr>
            <w:r>
              <w:rPr>
                <w:b/>
                <w:sz w:val="22"/>
                <w:szCs w:val="22"/>
              </w:rPr>
              <w:t xml:space="preserve">International </w:t>
            </w:r>
            <w:r>
              <w:rPr>
                <w:sz w:val="22"/>
                <w:szCs w:val="22"/>
              </w:rPr>
              <w:t xml:space="preserve">(Folien </w:t>
            </w:r>
            <w:hyperlink r:id="rId14" w:history="1">
              <w:r>
                <w:rPr>
                  <w:rStyle w:val="Hyperlink"/>
                  <w:sz w:val="22"/>
                  <w:szCs w:val="22"/>
                </w:rPr>
                <w:t>hier</w:t>
              </w:r>
            </w:hyperlink>
            <w:r>
              <w:rPr>
                <w:sz w:val="22"/>
                <w:szCs w:val="22"/>
              </w:rPr>
              <w:t>)</w:t>
            </w:r>
          </w:p>
          <w:p>
            <w:pPr>
              <w:pStyle w:val="Listenabsatz"/>
              <w:numPr>
                <w:ilvl w:val="0"/>
                <w:numId w:val="29"/>
              </w:numPr>
              <w:spacing w:line="276" w:lineRule="auto"/>
              <w:ind w:left="474"/>
              <w:rPr>
                <w:sz w:val="22"/>
                <w:szCs w:val="22"/>
              </w:rPr>
            </w:pPr>
            <w:r>
              <w:rPr>
                <w:sz w:val="22"/>
                <w:szCs w:val="22"/>
              </w:rPr>
              <w:t>Top 10 Länder nach Anzahl neuer COVID-19-Fälle</w:t>
            </w:r>
          </w:p>
          <w:p>
            <w:pPr>
              <w:pStyle w:val="Listenabsatz"/>
              <w:numPr>
                <w:ilvl w:val="1"/>
                <w:numId w:val="29"/>
              </w:numPr>
              <w:spacing w:line="276" w:lineRule="auto"/>
              <w:ind w:left="899"/>
              <w:rPr>
                <w:sz w:val="22"/>
                <w:szCs w:val="22"/>
              </w:rPr>
            </w:pPr>
            <w:r>
              <w:rPr>
                <w:sz w:val="22"/>
                <w:szCs w:val="22"/>
              </w:rPr>
              <w:t xml:space="preserve">Insgesamt ca. 104 Mio. Fälle und 2,26 Mio. Todesfälle weltweit </w:t>
            </w:r>
          </w:p>
          <w:p>
            <w:pPr>
              <w:pStyle w:val="Listenabsatz"/>
              <w:numPr>
                <w:ilvl w:val="1"/>
                <w:numId w:val="29"/>
              </w:numPr>
              <w:spacing w:line="276" w:lineRule="auto"/>
              <w:ind w:left="899"/>
              <w:rPr>
                <w:sz w:val="22"/>
                <w:szCs w:val="22"/>
              </w:rPr>
            </w:pPr>
            <w:r>
              <w:rPr>
                <w:sz w:val="22"/>
                <w:szCs w:val="22"/>
              </w:rPr>
              <w:t>Top10 Länder: keine starken Veränderungen seit Vorwoche (Top 6 identisch), Indien und Mexiko weiterhin gelistet, neu hinzugekommen: Indonesien und Italien anstelle von Deutschland und Kolumbien</w:t>
            </w:r>
          </w:p>
          <w:p>
            <w:pPr>
              <w:pStyle w:val="Listenabsatz"/>
              <w:numPr>
                <w:ilvl w:val="1"/>
                <w:numId w:val="29"/>
              </w:numPr>
              <w:spacing w:line="276" w:lineRule="auto"/>
              <w:ind w:left="899"/>
              <w:rPr>
                <w:sz w:val="22"/>
                <w:szCs w:val="22"/>
              </w:rPr>
            </w:pPr>
            <w:r>
              <w:rPr>
                <w:sz w:val="22"/>
                <w:szCs w:val="22"/>
              </w:rPr>
              <w:t>Fast alle Länder zeigen abnehmenden Trend außer Frankreich und Indonesien</w:t>
            </w:r>
          </w:p>
          <w:p>
            <w:pPr>
              <w:pStyle w:val="Listenabsatz"/>
              <w:numPr>
                <w:ilvl w:val="1"/>
                <w:numId w:val="29"/>
              </w:numPr>
              <w:spacing w:line="276" w:lineRule="auto"/>
              <w:ind w:left="899"/>
              <w:rPr>
                <w:sz w:val="22"/>
                <w:szCs w:val="22"/>
              </w:rPr>
            </w:pPr>
            <w:r>
              <w:rPr>
                <w:sz w:val="22"/>
                <w:szCs w:val="22"/>
              </w:rPr>
              <w:t>Mexiko: höchste CFR von 8,5 % (Untererfassung von Fällen ggf. zu berücksichtigen)</w:t>
            </w:r>
          </w:p>
          <w:p>
            <w:pPr>
              <w:pStyle w:val="Listenabsatz"/>
              <w:numPr>
                <w:ilvl w:val="0"/>
                <w:numId w:val="29"/>
              </w:numPr>
              <w:spacing w:line="276" w:lineRule="auto"/>
              <w:ind w:left="474"/>
              <w:rPr>
                <w:sz w:val="22"/>
                <w:szCs w:val="22"/>
              </w:rPr>
            </w:pPr>
            <w:r>
              <w:rPr>
                <w:sz w:val="22"/>
                <w:szCs w:val="22"/>
              </w:rPr>
              <w:t xml:space="preserve">7-Tages-Inzidenz weltweit pro 100.000 </w:t>
            </w:r>
            <w:proofErr w:type="spellStart"/>
            <w:r>
              <w:rPr>
                <w:sz w:val="22"/>
                <w:szCs w:val="22"/>
              </w:rPr>
              <w:t>Einw</w:t>
            </w:r>
            <w:proofErr w:type="spellEnd"/>
            <w:r>
              <w:rPr>
                <w:sz w:val="22"/>
                <w:szCs w:val="22"/>
              </w:rPr>
              <w:t>.</w:t>
            </w:r>
          </w:p>
          <w:p>
            <w:pPr>
              <w:pStyle w:val="Listenabsatz"/>
              <w:numPr>
                <w:ilvl w:val="1"/>
                <w:numId w:val="29"/>
              </w:numPr>
              <w:spacing w:line="276" w:lineRule="auto"/>
              <w:ind w:left="899"/>
              <w:rPr>
                <w:sz w:val="22"/>
                <w:szCs w:val="22"/>
              </w:rPr>
            </w:pPr>
            <w:r>
              <w:rPr>
                <w:sz w:val="22"/>
                <w:szCs w:val="22"/>
              </w:rPr>
              <w:t>Portugal einziges Land mit Inzidenz &gt; 500, aber leicht abnehmender Trend</w:t>
            </w:r>
          </w:p>
          <w:p>
            <w:pPr>
              <w:pStyle w:val="Listenabsatz"/>
              <w:numPr>
                <w:ilvl w:val="1"/>
                <w:numId w:val="29"/>
              </w:numPr>
              <w:spacing w:line="276" w:lineRule="auto"/>
              <w:ind w:left="899"/>
              <w:rPr>
                <w:sz w:val="22"/>
                <w:szCs w:val="22"/>
              </w:rPr>
            </w:pPr>
            <w:r>
              <w:rPr>
                <w:sz w:val="22"/>
                <w:szCs w:val="22"/>
              </w:rPr>
              <w:t>Europa weiterhin sehr hohe Inzidenzen (Tschechien, Spanien, UK, Frankreich, Schweden &gt; 200), jedoch insgesamt eher abnehmender Trend</w:t>
            </w:r>
          </w:p>
          <w:p>
            <w:pPr>
              <w:pStyle w:val="Listenabsatz"/>
              <w:numPr>
                <w:ilvl w:val="1"/>
                <w:numId w:val="29"/>
              </w:numPr>
              <w:spacing w:line="276" w:lineRule="auto"/>
              <w:ind w:left="899"/>
              <w:rPr>
                <w:sz w:val="22"/>
                <w:szCs w:val="22"/>
              </w:rPr>
            </w:pPr>
            <w:r>
              <w:rPr>
                <w:sz w:val="22"/>
                <w:szCs w:val="22"/>
              </w:rPr>
              <w:t>Amerika ebenfalls sehr hohe Inzidenzen (Nordamerika abnehmender Trend, Südamerika zunehmend)</w:t>
            </w:r>
          </w:p>
          <w:p>
            <w:pPr>
              <w:pStyle w:val="Listenabsatz"/>
              <w:numPr>
                <w:ilvl w:val="1"/>
                <w:numId w:val="29"/>
              </w:numPr>
              <w:spacing w:line="276" w:lineRule="auto"/>
              <w:ind w:left="899"/>
              <w:rPr>
                <w:sz w:val="22"/>
                <w:szCs w:val="22"/>
              </w:rPr>
            </w:pPr>
            <w:r>
              <w:rPr>
                <w:sz w:val="22"/>
                <w:szCs w:val="22"/>
              </w:rPr>
              <w:t>Afrika: v.a. Libyen, Tunesien, Südafrika, Botswana und Sambia hohe Inzidenzen</w:t>
            </w:r>
          </w:p>
          <w:p>
            <w:pPr>
              <w:pStyle w:val="Listenabsatz"/>
              <w:numPr>
                <w:ilvl w:val="1"/>
                <w:numId w:val="29"/>
              </w:numPr>
              <w:spacing w:line="276" w:lineRule="auto"/>
              <w:ind w:left="899"/>
              <w:rPr>
                <w:sz w:val="22"/>
                <w:szCs w:val="22"/>
              </w:rPr>
            </w:pPr>
            <w:r>
              <w:rPr>
                <w:sz w:val="22"/>
                <w:szCs w:val="22"/>
              </w:rPr>
              <w:t>Asiatischer Kontinent: Indonesien, Malaysia, Singapur, UAE, Iran und Israel derzeit stark betroffen</w:t>
            </w:r>
          </w:p>
          <w:p>
            <w:pPr>
              <w:pStyle w:val="Listenabsatz"/>
              <w:numPr>
                <w:ilvl w:val="0"/>
                <w:numId w:val="29"/>
              </w:numPr>
              <w:spacing w:line="276" w:lineRule="auto"/>
              <w:ind w:left="474"/>
              <w:rPr>
                <w:sz w:val="22"/>
                <w:szCs w:val="22"/>
                <w:lang w:val="en-US"/>
              </w:rPr>
            </w:pPr>
            <w:r>
              <w:rPr>
                <w:sz w:val="22"/>
                <w:szCs w:val="22"/>
                <w:lang w:val="en-US"/>
              </w:rPr>
              <w:t xml:space="preserve">SARS-CoV-2 </w:t>
            </w:r>
            <w:proofErr w:type="spellStart"/>
            <w:r>
              <w:rPr>
                <w:sz w:val="22"/>
                <w:szCs w:val="22"/>
                <w:lang w:val="en-US"/>
              </w:rPr>
              <w:t>Varianten</w:t>
            </w:r>
            <w:proofErr w:type="spellEnd"/>
            <w:r>
              <w:rPr>
                <w:sz w:val="22"/>
                <w:szCs w:val="22"/>
                <w:lang w:val="en-US"/>
              </w:rPr>
              <w:t>: VOC 202012/01 (</w:t>
            </w:r>
            <w:proofErr w:type="spellStart"/>
            <w:r>
              <w:rPr>
                <w:sz w:val="22"/>
                <w:szCs w:val="22"/>
                <w:lang w:val="en-US"/>
              </w:rPr>
              <w:t>Linie</w:t>
            </w:r>
            <w:proofErr w:type="spellEnd"/>
            <w:r>
              <w:rPr>
                <w:sz w:val="22"/>
                <w:szCs w:val="22"/>
                <w:lang w:val="en-US"/>
              </w:rPr>
              <w:t xml:space="preserve"> B.1.1.7)</w:t>
            </w:r>
          </w:p>
          <w:p>
            <w:pPr>
              <w:pStyle w:val="Listenabsatz"/>
              <w:numPr>
                <w:ilvl w:val="1"/>
                <w:numId w:val="29"/>
              </w:numPr>
              <w:spacing w:line="276" w:lineRule="auto"/>
              <w:ind w:left="899"/>
              <w:rPr>
                <w:sz w:val="22"/>
                <w:szCs w:val="22"/>
              </w:rPr>
            </w:pPr>
            <w:r>
              <w:rPr>
                <w:sz w:val="22"/>
                <w:szCs w:val="22"/>
              </w:rPr>
              <w:t xml:space="preserve">Mittlerweile in 80 Ländern nachgewiesen (+10 im Vgl. zur Vorwoche) </w:t>
            </w:r>
          </w:p>
          <w:p>
            <w:pPr>
              <w:pStyle w:val="Listenabsatz"/>
              <w:numPr>
                <w:ilvl w:val="1"/>
                <w:numId w:val="29"/>
              </w:numPr>
              <w:spacing w:line="276" w:lineRule="auto"/>
              <w:ind w:left="899"/>
              <w:rPr>
                <w:sz w:val="22"/>
                <w:szCs w:val="22"/>
              </w:rPr>
            </w:pPr>
            <w:r>
              <w:rPr>
                <w:bCs/>
                <w:sz w:val="22"/>
                <w:szCs w:val="22"/>
              </w:rPr>
              <w:t>Virusvarianten-Risikogebiete:</w:t>
            </w:r>
            <w:r>
              <w:rPr>
                <w:b/>
                <w:bCs/>
                <w:sz w:val="22"/>
                <w:szCs w:val="22"/>
              </w:rPr>
              <w:t xml:space="preserve"> </w:t>
            </w:r>
            <w:r>
              <w:rPr>
                <w:sz w:val="22"/>
                <w:szCs w:val="22"/>
              </w:rPr>
              <w:t>Vereinigtes Königreich, Irland, Portugal</w:t>
            </w:r>
          </w:p>
          <w:p>
            <w:pPr>
              <w:pStyle w:val="Listenabsatz"/>
              <w:numPr>
                <w:ilvl w:val="1"/>
                <w:numId w:val="29"/>
              </w:numPr>
              <w:spacing w:line="276" w:lineRule="auto"/>
              <w:ind w:left="899"/>
              <w:rPr>
                <w:sz w:val="22"/>
                <w:szCs w:val="22"/>
              </w:rPr>
            </w:pPr>
            <w:r>
              <w:rPr>
                <w:bCs/>
                <w:sz w:val="22"/>
                <w:szCs w:val="22"/>
              </w:rPr>
              <w:t>Unter Beobachtung</w:t>
            </w:r>
            <w:r>
              <w:rPr>
                <w:b/>
                <w:bCs/>
                <w:sz w:val="22"/>
                <w:szCs w:val="22"/>
              </w:rPr>
              <w:t xml:space="preserve">: </w:t>
            </w:r>
            <w:r>
              <w:rPr>
                <w:sz w:val="22"/>
                <w:szCs w:val="22"/>
              </w:rPr>
              <w:t>Europa (siehe Einzelländer), Israel, UAE</w:t>
            </w:r>
          </w:p>
          <w:p>
            <w:pPr>
              <w:pStyle w:val="Listenabsatz"/>
              <w:numPr>
                <w:ilvl w:val="1"/>
                <w:numId w:val="29"/>
              </w:numPr>
              <w:spacing w:line="276" w:lineRule="auto"/>
              <w:ind w:left="899"/>
              <w:rPr>
                <w:sz w:val="22"/>
                <w:szCs w:val="22"/>
              </w:rPr>
            </w:pPr>
            <w:r>
              <w:rPr>
                <w:sz w:val="22"/>
                <w:szCs w:val="22"/>
              </w:rPr>
              <w:t xml:space="preserve">Noch keine verlässliche Datenlage, u.a. auch aufgrund unterschiedlicher </w:t>
            </w:r>
            <w:proofErr w:type="spellStart"/>
            <w:r>
              <w:rPr>
                <w:sz w:val="22"/>
                <w:szCs w:val="22"/>
              </w:rPr>
              <w:t>Sequenzierkapazität</w:t>
            </w:r>
            <w:proofErr w:type="spellEnd"/>
            <w:r>
              <w:rPr>
                <w:sz w:val="22"/>
                <w:szCs w:val="22"/>
              </w:rPr>
              <w:t xml:space="preserve"> innerhalb der Länder</w:t>
            </w:r>
          </w:p>
          <w:p>
            <w:pPr>
              <w:pStyle w:val="Listenabsatz"/>
              <w:numPr>
                <w:ilvl w:val="1"/>
                <w:numId w:val="29"/>
              </w:numPr>
              <w:spacing w:line="276" w:lineRule="auto"/>
              <w:ind w:left="899"/>
              <w:rPr>
                <w:sz w:val="22"/>
                <w:szCs w:val="22"/>
              </w:rPr>
            </w:pPr>
            <w:r>
              <w:rPr>
                <w:sz w:val="22"/>
                <w:szCs w:val="22"/>
              </w:rPr>
              <w:t>Sehr unterschiedliche Nachweisraten: Niederlande berichten von Anteil von ca. 1/3, Israel von 80 %, Dänemark von 19 %, trotz erhöhter Übertragbarkeit etwas rückläufiger Trend, vermutlich aufgrund verschärfter Maßnahmen</w:t>
            </w:r>
          </w:p>
          <w:p>
            <w:pPr>
              <w:pStyle w:val="Listenabsatz"/>
              <w:numPr>
                <w:ilvl w:val="0"/>
                <w:numId w:val="29"/>
              </w:numPr>
              <w:spacing w:line="276" w:lineRule="auto"/>
              <w:ind w:left="474"/>
              <w:rPr>
                <w:sz w:val="22"/>
                <w:szCs w:val="22"/>
                <w:lang w:val="en-US"/>
              </w:rPr>
            </w:pPr>
            <w:r>
              <w:rPr>
                <w:sz w:val="22"/>
                <w:szCs w:val="22"/>
                <w:lang w:val="en-US"/>
              </w:rPr>
              <w:t xml:space="preserve">SARS-CoV-2 </w:t>
            </w:r>
            <w:proofErr w:type="spellStart"/>
            <w:r>
              <w:rPr>
                <w:sz w:val="22"/>
                <w:szCs w:val="22"/>
                <w:lang w:val="en-US"/>
              </w:rPr>
              <w:t>Varianten</w:t>
            </w:r>
            <w:proofErr w:type="spellEnd"/>
            <w:r>
              <w:rPr>
                <w:sz w:val="22"/>
                <w:szCs w:val="22"/>
                <w:lang w:val="en-US"/>
              </w:rPr>
              <w:t>: 501Y.V2 (</w:t>
            </w:r>
            <w:proofErr w:type="spellStart"/>
            <w:r>
              <w:rPr>
                <w:sz w:val="22"/>
                <w:szCs w:val="22"/>
                <w:lang w:val="en-US"/>
              </w:rPr>
              <w:t>Linie</w:t>
            </w:r>
            <w:proofErr w:type="spellEnd"/>
            <w:r>
              <w:rPr>
                <w:sz w:val="22"/>
                <w:szCs w:val="22"/>
                <w:lang w:val="en-US"/>
              </w:rPr>
              <w:t xml:space="preserve"> B1.351)</w:t>
            </w:r>
          </w:p>
          <w:p>
            <w:pPr>
              <w:pStyle w:val="Listenabsatz"/>
              <w:numPr>
                <w:ilvl w:val="1"/>
                <w:numId w:val="29"/>
              </w:numPr>
              <w:spacing w:line="276" w:lineRule="auto"/>
              <w:ind w:left="899"/>
              <w:rPr>
                <w:sz w:val="22"/>
                <w:szCs w:val="22"/>
              </w:rPr>
            </w:pPr>
            <w:r>
              <w:rPr>
                <w:sz w:val="22"/>
                <w:szCs w:val="22"/>
              </w:rPr>
              <w:t>In 40 Ländern nachgewiesen (+10 im Vgl. zur Vorwoche)</w:t>
            </w:r>
          </w:p>
          <w:p>
            <w:pPr>
              <w:pStyle w:val="Listenabsatz"/>
              <w:numPr>
                <w:ilvl w:val="1"/>
                <w:numId w:val="29"/>
              </w:numPr>
              <w:spacing w:line="276" w:lineRule="auto"/>
              <w:ind w:left="899"/>
              <w:rPr>
                <w:sz w:val="22"/>
                <w:szCs w:val="22"/>
              </w:rPr>
            </w:pPr>
            <w:r>
              <w:rPr>
                <w:bCs/>
                <w:sz w:val="22"/>
                <w:szCs w:val="22"/>
              </w:rPr>
              <w:t>Virusvarianten-Risikogebiete</w:t>
            </w:r>
            <w:r>
              <w:rPr>
                <w:b/>
                <w:bCs/>
                <w:sz w:val="22"/>
                <w:szCs w:val="22"/>
              </w:rPr>
              <w:t xml:space="preserve">: </w:t>
            </w:r>
            <w:r>
              <w:rPr>
                <w:sz w:val="22"/>
                <w:szCs w:val="22"/>
              </w:rPr>
              <w:t xml:space="preserve">Südafrika, </w:t>
            </w:r>
            <w:proofErr w:type="spellStart"/>
            <w:r>
              <w:rPr>
                <w:sz w:val="22"/>
                <w:szCs w:val="22"/>
              </w:rPr>
              <w:t>Eswatini</w:t>
            </w:r>
            <w:proofErr w:type="spellEnd"/>
            <w:r>
              <w:rPr>
                <w:sz w:val="22"/>
                <w:szCs w:val="22"/>
              </w:rPr>
              <w:t>, Lesotho, Botsuana, Malawi, Mozambik, Sambia, Simbabwe</w:t>
            </w:r>
          </w:p>
          <w:p>
            <w:pPr>
              <w:pStyle w:val="Listenabsatz"/>
              <w:numPr>
                <w:ilvl w:val="1"/>
                <w:numId w:val="29"/>
              </w:numPr>
              <w:spacing w:line="276" w:lineRule="auto"/>
              <w:ind w:left="899"/>
              <w:rPr>
                <w:sz w:val="22"/>
                <w:szCs w:val="22"/>
              </w:rPr>
            </w:pPr>
            <w:r>
              <w:rPr>
                <w:bCs/>
                <w:sz w:val="22"/>
                <w:szCs w:val="22"/>
              </w:rPr>
              <w:lastRenderedPageBreak/>
              <w:t>Unter Beobachtung</w:t>
            </w:r>
            <w:r>
              <w:rPr>
                <w:b/>
                <w:bCs/>
                <w:sz w:val="22"/>
                <w:szCs w:val="22"/>
              </w:rPr>
              <w:t xml:space="preserve">: </w:t>
            </w:r>
            <w:r>
              <w:rPr>
                <w:sz w:val="22"/>
                <w:szCs w:val="22"/>
              </w:rPr>
              <w:t>Länder in (Süd)-Afrika</w:t>
            </w:r>
          </w:p>
          <w:p>
            <w:pPr>
              <w:pStyle w:val="Listenabsatz"/>
              <w:numPr>
                <w:ilvl w:val="0"/>
                <w:numId w:val="29"/>
              </w:numPr>
              <w:spacing w:line="276" w:lineRule="auto"/>
              <w:ind w:left="474"/>
              <w:rPr>
                <w:sz w:val="22"/>
                <w:szCs w:val="22"/>
                <w:lang w:val="en-US"/>
              </w:rPr>
            </w:pPr>
            <w:r>
              <w:rPr>
                <w:sz w:val="22"/>
                <w:szCs w:val="22"/>
                <w:lang w:val="en-US"/>
              </w:rPr>
              <w:t xml:space="preserve">SARS-CoV-2 </w:t>
            </w:r>
            <w:proofErr w:type="spellStart"/>
            <w:r>
              <w:rPr>
                <w:sz w:val="22"/>
                <w:szCs w:val="22"/>
                <w:lang w:val="en-US"/>
              </w:rPr>
              <w:t>Varianten</w:t>
            </w:r>
            <w:proofErr w:type="spellEnd"/>
            <w:r>
              <w:rPr>
                <w:sz w:val="22"/>
                <w:szCs w:val="22"/>
                <w:lang w:val="en-US"/>
              </w:rPr>
              <w:t xml:space="preserve">: P1. </w:t>
            </w:r>
            <w:proofErr w:type="spellStart"/>
            <w:r>
              <w:rPr>
                <w:sz w:val="22"/>
                <w:szCs w:val="22"/>
                <w:lang w:val="en-US"/>
              </w:rPr>
              <w:t>Variante</w:t>
            </w:r>
            <w:proofErr w:type="spellEnd"/>
            <w:r>
              <w:rPr>
                <w:sz w:val="22"/>
                <w:szCs w:val="22"/>
                <w:lang w:val="en-US"/>
              </w:rPr>
              <w:t xml:space="preserve"> (</w:t>
            </w:r>
            <w:proofErr w:type="spellStart"/>
            <w:r>
              <w:rPr>
                <w:sz w:val="22"/>
                <w:szCs w:val="22"/>
                <w:lang w:val="en-US"/>
              </w:rPr>
              <w:t>Linie</w:t>
            </w:r>
            <w:proofErr w:type="spellEnd"/>
            <w:r>
              <w:rPr>
                <w:sz w:val="22"/>
                <w:szCs w:val="22"/>
                <w:lang w:val="en-US"/>
              </w:rPr>
              <w:t xml:space="preserve"> B1.128.1)</w:t>
            </w:r>
          </w:p>
          <w:p>
            <w:pPr>
              <w:pStyle w:val="Listenabsatz"/>
              <w:numPr>
                <w:ilvl w:val="1"/>
                <w:numId w:val="29"/>
              </w:numPr>
              <w:spacing w:line="276" w:lineRule="auto"/>
              <w:ind w:left="899"/>
              <w:rPr>
                <w:sz w:val="22"/>
                <w:szCs w:val="22"/>
              </w:rPr>
            </w:pPr>
            <w:r>
              <w:rPr>
                <w:sz w:val="22"/>
                <w:szCs w:val="22"/>
              </w:rPr>
              <w:t xml:space="preserve">Aktuell 10 Länder (+2 im Vgl. zur Vorwoche) </w:t>
            </w:r>
          </w:p>
          <w:p>
            <w:pPr>
              <w:pStyle w:val="Listenabsatz"/>
              <w:numPr>
                <w:ilvl w:val="1"/>
                <w:numId w:val="29"/>
              </w:numPr>
              <w:spacing w:line="276" w:lineRule="auto"/>
              <w:ind w:left="899"/>
              <w:rPr>
                <w:sz w:val="22"/>
                <w:szCs w:val="22"/>
              </w:rPr>
            </w:pPr>
            <w:r>
              <w:rPr>
                <w:sz w:val="22"/>
                <w:szCs w:val="22"/>
              </w:rPr>
              <w:t>Leichte Zunahme insgesamt</w:t>
            </w:r>
          </w:p>
          <w:p>
            <w:pPr>
              <w:pStyle w:val="Listenabsatz"/>
              <w:numPr>
                <w:ilvl w:val="1"/>
                <w:numId w:val="29"/>
              </w:numPr>
              <w:spacing w:line="276" w:lineRule="auto"/>
              <w:ind w:left="899"/>
              <w:rPr>
                <w:sz w:val="22"/>
                <w:szCs w:val="22"/>
              </w:rPr>
            </w:pPr>
            <w:r>
              <w:rPr>
                <w:bCs/>
                <w:sz w:val="22"/>
                <w:szCs w:val="22"/>
              </w:rPr>
              <w:t>Virusvarianten-Risikogebiete:</w:t>
            </w:r>
            <w:r>
              <w:rPr>
                <w:b/>
                <w:bCs/>
                <w:sz w:val="22"/>
                <w:szCs w:val="22"/>
              </w:rPr>
              <w:t xml:space="preserve"> </w:t>
            </w:r>
            <w:r>
              <w:rPr>
                <w:sz w:val="22"/>
                <w:szCs w:val="22"/>
              </w:rPr>
              <w:t>Brasilien</w:t>
            </w:r>
          </w:p>
          <w:p>
            <w:pPr>
              <w:pStyle w:val="Listenabsatz"/>
              <w:numPr>
                <w:ilvl w:val="0"/>
                <w:numId w:val="29"/>
              </w:numPr>
              <w:spacing w:line="276" w:lineRule="auto"/>
              <w:ind w:left="474"/>
              <w:rPr>
                <w:sz w:val="22"/>
                <w:szCs w:val="22"/>
              </w:rPr>
            </w:pPr>
            <w:r>
              <w:rPr>
                <w:sz w:val="22"/>
                <w:szCs w:val="22"/>
              </w:rPr>
              <w:t>Verabreichte COVID-19-Impfstoffdosen pro 100 Personen</w:t>
            </w:r>
          </w:p>
          <w:p>
            <w:pPr>
              <w:pStyle w:val="Listenabsatz"/>
              <w:numPr>
                <w:ilvl w:val="1"/>
                <w:numId w:val="29"/>
              </w:numPr>
              <w:spacing w:line="276" w:lineRule="auto"/>
              <w:ind w:left="899"/>
              <w:rPr>
                <w:sz w:val="22"/>
                <w:szCs w:val="22"/>
              </w:rPr>
            </w:pPr>
            <w:r>
              <w:rPr>
                <w:sz w:val="22"/>
                <w:szCs w:val="22"/>
              </w:rPr>
              <w:t xml:space="preserve">Israel mit 1,39 Dosen pro 100 </w:t>
            </w:r>
            <w:proofErr w:type="spellStart"/>
            <w:r>
              <w:rPr>
                <w:sz w:val="22"/>
                <w:szCs w:val="22"/>
              </w:rPr>
              <w:t>Einw</w:t>
            </w:r>
            <w:proofErr w:type="spellEnd"/>
            <w:r>
              <w:rPr>
                <w:sz w:val="22"/>
                <w:szCs w:val="22"/>
              </w:rPr>
              <w:t xml:space="preserve">. mit Abstand an erster Stelle (entspricht ca. 22 % der Bevölkerung), </w:t>
            </w:r>
            <w:proofErr w:type="gramStart"/>
            <w:r>
              <w:rPr>
                <w:sz w:val="22"/>
                <w:szCs w:val="22"/>
              </w:rPr>
              <w:t>darauf folgend</w:t>
            </w:r>
            <w:proofErr w:type="gramEnd"/>
            <w:r>
              <w:rPr>
                <w:sz w:val="22"/>
                <w:szCs w:val="22"/>
              </w:rPr>
              <w:t xml:space="preserve"> UAE mit 1,16 Dosen</w:t>
            </w:r>
          </w:p>
          <w:p>
            <w:pPr>
              <w:pStyle w:val="Listenabsatz"/>
              <w:numPr>
                <w:ilvl w:val="1"/>
                <w:numId w:val="29"/>
              </w:numPr>
              <w:spacing w:line="276" w:lineRule="auto"/>
              <w:ind w:left="899"/>
              <w:rPr>
                <w:sz w:val="22"/>
                <w:szCs w:val="22"/>
              </w:rPr>
            </w:pPr>
            <w:r>
              <w:rPr>
                <w:sz w:val="22"/>
                <w:szCs w:val="22"/>
              </w:rPr>
              <w:t>Veröffentlichung der COVAX-Verteilungsprognose, erste Länder sollen in kommender Woche Impfstoffe darüber erhalten</w:t>
            </w:r>
          </w:p>
          <w:p>
            <w:pPr>
              <w:pStyle w:val="Listenabsatz"/>
              <w:numPr>
                <w:ilvl w:val="0"/>
                <w:numId w:val="29"/>
              </w:numPr>
              <w:spacing w:line="276" w:lineRule="auto"/>
              <w:ind w:left="474"/>
              <w:rPr>
                <w:sz w:val="22"/>
                <w:szCs w:val="22"/>
              </w:rPr>
            </w:pPr>
            <w:r>
              <w:rPr>
                <w:sz w:val="22"/>
                <w:szCs w:val="22"/>
              </w:rPr>
              <w:t>Diskussion</w:t>
            </w:r>
          </w:p>
          <w:p>
            <w:pPr>
              <w:pStyle w:val="Listenabsatz"/>
              <w:numPr>
                <w:ilvl w:val="1"/>
                <w:numId w:val="29"/>
              </w:numPr>
              <w:spacing w:line="276" w:lineRule="auto"/>
              <w:ind w:left="899"/>
              <w:rPr>
                <w:sz w:val="22"/>
                <w:szCs w:val="22"/>
              </w:rPr>
            </w:pPr>
            <w:r>
              <w:rPr>
                <w:sz w:val="22"/>
                <w:szCs w:val="22"/>
              </w:rPr>
              <w:t xml:space="preserve">Ausweisung von Virusvariantengebieten: PH </w:t>
            </w:r>
            <w:proofErr w:type="spellStart"/>
            <w:r>
              <w:rPr>
                <w:sz w:val="22"/>
                <w:szCs w:val="22"/>
              </w:rPr>
              <w:t>Intelligence</w:t>
            </w:r>
            <w:proofErr w:type="spellEnd"/>
            <w:r>
              <w:rPr>
                <w:sz w:val="22"/>
                <w:szCs w:val="22"/>
              </w:rPr>
              <w:t xml:space="preserve"> und FG17 wurden um wöchentliche, intensive Recherche zum Vorkommen der Varianten gebeten, auch wenn aufgrund der unterschiedlichen Vorgehensweisen bei Sequenzierung Lage derzeit recht unklar ist</w:t>
            </w:r>
          </w:p>
          <w:p>
            <w:pPr>
              <w:pStyle w:val="Listenabsatz"/>
              <w:numPr>
                <w:ilvl w:val="1"/>
                <w:numId w:val="29"/>
              </w:numPr>
              <w:spacing w:line="276" w:lineRule="auto"/>
              <w:ind w:left="899"/>
              <w:rPr>
                <w:sz w:val="22"/>
                <w:szCs w:val="22"/>
              </w:rPr>
            </w:pPr>
            <w:r>
              <w:rPr>
                <w:sz w:val="22"/>
                <w:szCs w:val="22"/>
              </w:rPr>
              <w:t xml:space="preserve">Momentan Ausweisung von Gebieten für die 3 </w:t>
            </w:r>
            <w:proofErr w:type="spellStart"/>
            <w:r>
              <w:rPr>
                <w:sz w:val="22"/>
                <w:szCs w:val="22"/>
              </w:rPr>
              <w:t>verschie</w:t>
            </w:r>
            <w:proofErr w:type="spellEnd"/>
            <w:r>
              <w:rPr>
                <w:sz w:val="22"/>
                <w:szCs w:val="22"/>
              </w:rPr>
              <w:t xml:space="preserve">-denen Virusvarianten, fast nicht mehr umsetzbar (zzgl. gestriger Erlass zur Recherche zu 30 Ländern) </w:t>
            </w:r>
          </w:p>
          <w:p>
            <w:pPr>
              <w:pStyle w:val="Listenabsatz"/>
              <w:numPr>
                <w:ilvl w:val="1"/>
                <w:numId w:val="29"/>
              </w:numPr>
              <w:spacing w:line="276" w:lineRule="auto"/>
              <w:ind w:left="899"/>
              <w:rPr>
                <w:sz w:val="22"/>
                <w:szCs w:val="22"/>
              </w:rPr>
            </w:pPr>
            <w:r>
              <w:rPr>
                <w:sz w:val="22"/>
                <w:szCs w:val="22"/>
              </w:rPr>
              <w:t>Wie wird ggf. ein Zeitpunkt definiert, an dem es weniger sinnvoll erscheint, Grenzen geschlossen zu halten, da sich diese Varianten global durchsetzen?</w:t>
            </w:r>
          </w:p>
          <w:p>
            <w:pPr>
              <w:pStyle w:val="Listenabsatz"/>
              <w:numPr>
                <w:ilvl w:val="1"/>
                <w:numId w:val="29"/>
              </w:numPr>
              <w:spacing w:line="276" w:lineRule="auto"/>
              <w:ind w:left="899"/>
              <w:rPr>
                <w:sz w:val="22"/>
                <w:szCs w:val="22"/>
              </w:rPr>
            </w:pPr>
            <w:r>
              <w:rPr>
                <w:sz w:val="22"/>
                <w:szCs w:val="22"/>
              </w:rPr>
              <w:t xml:space="preserve">Unterschiedliches Verhalten der Virusvarianten bei Diskussion zu bedenken, auch hinsichtlich immune </w:t>
            </w:r>
            <w:proofErr w:type="spellStart"/>
            <w:r>
              <w:rPr>
                <w:sz w:val="22"/>
                <w:szCs w:val="22"/>
              </w:rPr>
              <w:t>escape</w:t>
            </w:r>
            <w:proofErr w:type="spellEnd"/>
          </w:p>
          <w:p>
            <w:pPr>
              <w:pStyle w:val="Listenabsatz"/>
              <w:numPr>
                <w:ilvl w:val="1"/>
                <w:numId w:val="29"/>
              </w:numPr>
              <w:spacing w:line="276" w:lineRule="auto"/>
              <w:ind w:left="899"/>
              <w:rPr>
                <w:sz w:val="22"/>
                <w:szCs w:val="22"/>
              </w:rPr>
            </w:pPr>
            <w:r>
              <w:rPr>
                <w:sz w:val="22"/>
                <w:szCs w:val="22"/>
              </w:rPr>
              <w:t xml:space="preserve">Nach aktueller Datenlage erfolgen ca. 5 % der Infektionen derzeit mit B.1.1.7 (bei insgesamt ca. 70.000 Neuinfektionen wöchentlich </w:t>
            </w:r>
            <w:r>
              <w:rPr>
                <w:sz w:val="22"/>
                <w:szCs w:val="22"/>
              </w:rPr>
              <w:sym w:font="Wingdings" w:char="F0E0"/>
            </w:r>
            <w:r>
              <w:rPr>
                <w:sz w:val="22"/>
                <w:szCs w:val="22"/>
              </w:rPr>
              <w:t xml:space="preserve"> mutmaßlich ca. 3.5000 inländische Neuinfektionen mit B.1.1.7 denkbar </w:t>
            </w:r>
            <w:r>
              <w:rPr>
                <w:sz w:val="22"/>
                <w:szCs w:val="22"/>
              </w:rPr>
              <w:sym w:font="Wingdings" w:char="F0E0"/>
            </w:r>
            <w:r>
              <w:rPr>
                <w:sz w:val="22"/>
                <w:szCs w:val="22"/>
              </w:rPr>
              <w:t xml:space="preserve"> ggf. mehr als durch Einreise zu erwarten), Grenzschluss als Maßnahme ggf. nicht geeignet, die Ausbreitung in D zu minimieren</w:t>
            </w:r>
          </w:p>
          <w:p>
            <w:pPr>
              <w:pStyle w:val="Listenabsatz"/>
              <w:numPr>
                <w:ilvl w:val="1"/>
                <w:numId w:val="29"/>
              </w:numPr>
              <w:spacing w:line="276" w:lineRule="auto"/>
              <w:ind w:left="899"/>
              <w:rPr>
                <w:sz w:val="22"/>
                <w:szCs w:val="22"/>
              </w:rPr>
            </w:pPr>
            <w:r>
              <w:rPr>
                <w:sz w:val="22"/>
                <w:szCs w:val="22"/>
              </w:rPr>
              <w:t xml:space="preserve">Auslagerung dieser komplexen Grundsatzdiskussion, Anberaumung eines zeitnahen Termins zwischen ZIG1, Abt.3 und </w:t>
            </w:r>
            <w:proofErr w:type="spellStart"/>
            <w:r>
              <w:rPr>
                <w:sz w:val="22"/>
                <w:szCs w:val="22"/>
              </w:rPr>
              <w:t>VPräs</w:t>
            </w:r>
            <w:proofErr w:type="spellEnd"/>
            <w:r>
              <w:rPr>
                <w:sz w:val="22"/>
                <w:szCs w:val="22"/>
              </w:rPr>
              <w:t xml:space="preserve"> durch Frau Hanefeld</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5"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2.264.909 (+12.908), davon 60.597 (+855) Todesfälle, 7-Tage-Inzidenz 80/100.000 </w:t>
            </w:r>
            <w:proofErr w:type="spellStart"/>
            <w:r>
              <w:rPr>
                <w:sz w:val="22"/>
                <w:szCs w:val="22"/>
              </w:rPr>
              <w:t>Einw</w:t>
            </w:r>
            <w:proofErr w:type="spellEnd"/>
            <w:r>
              <w:rPr>
                <w:sz w:val="22"/>
                <w:szCs w:val="22"/>
              </w:rPr>
              <w:t>. (Entspannung der Lage insgesamt, Todesfälle aber weiterhin sehr hoch)</w:t>
            </w:r>
          </w:p>
          <w:p>
            <w:pPr>
              <w:pStyle w:val="Listenabsatz"/>
              <w:numPr>
                <w:ilvl w:val="1"/>
                <w:numId w:val="8"/>
              </w:numPr>
              <w:ind w:left="907" w:hanging="340"/>
              <w:rPr>
                <w:sz w:val="22"/>
                <w:szCs w:val="22"/>
              </w:rPr>
            </w:pPr>
            <w:r>
              <w:rPr>
                <w:sz w:val="22"/>
                <w:szCs w:val="22"/>
              </w:rPr>
              <w:t>4-Tage-R=0,88; 7-Tage-R=0,93</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einer Impfung 2.091.689 (2,5 %), mit 2 Impfungen 756.333</w:t>
            </w:r>
          </w:p>
          <w:p>
            <w:pPr>
              <w:pStyle w:val="Listenabsatz"/>
              <w:numPr>
                <w:ilvl w:val="1"/>
                <w:numId w:val="8"/>
              </w:numPr>
              <w:ind w:left="907" w:hanging="340"/>
              <w:rPr>
                <w:sz w:val="22"/>
                <w:szCs w:val="22"/>
              </w:rPr>
            </w:pPr>
            <w:r>
              <w:rPr>
                <w:sz w:val="22"/>
                <w:szCs w:val="22"/>
              </w:rPr>
              <w:t>DIVI-Intensivregister: 4.178 Fälle in Behandlung (-44)</w:t>
            </w:r>
          </w:p>
          <w:p>
            <w:pPr>
              <w:pStyle w:val="Listenabsatz"/>
              <w:numPr>
                <w:ilvl w:val="1"/>
                <w:numId w:val="8"/>
              </w:numPr>
              <w:ind w:left="907" w:hanging="340"/>
              <w:rPr>
                <w:sz w:val="22"/>
                <w:szCs w:val="22"/>
              </w:rPr>
            </w:pPr>
            <w:r>
              <w:rPr>
                <w:sz w:val="22"/>
                <w:szCs w:val="22"/>
              </w:rPr>
              <w:t xml:space="preserve">Aus </w:t>
            </w:r>
            <w:proofErr w:type="spellStart"/>
            <w:r>
              <w:rPr>
                <w:sz w:val="22"/>
                <w:szCs w:val="22"/>
              </w:rPr>
              <w:t>intensivmed</w:t>
            </w:r>
            <w:proofErr w:type="spellEnd"/>
            <w:r>
              <w:rPr>
                <w:sz w:val="22"/>
                <w:szCs w:val="22"/>
              </w:rPr>
              <w:t>. Behandlung entlassen: +623, davon 27 % verstorben, langsam rückgängige Zahlen</w:t>
            </w:r>
          </w:p>
          <w:p>
            <w:pPr>
              <w:pStyle w:val="Listenabsatz"/>
              <w:numPr>
                <w:ilvl w:val="1"/>
                <w:numId w:val="5"/>
              </w:numPr>
              <w:ind w:left="907" w:hanging="340"/>
              <w:rPr>
                <w:sz w:val="22"/>
                <w:szCs w:val="22"/>
              </w:rPr>
            </w:pPr>
            <w:r>
              <w:rPr>
                <w:sz w:val="22"/>
                <w:szCs w:val="22"/>
              </w:rPr>
              <w:lastRenderedPageBreak/>
              <w:t>7-Tages-Inzidenz der Bundesländer nach Berichtsdatum</w:t>
            </w:r>
          </w:p>
          <w:p>
            <w:pPr>
              <w:pStyle w:val="Listenabsatz"/>
              <w:numPr>
                <w:ilvl w:val="2"/>
                <w:numId w:val="5"/>
              </w:numPr>
              <w:spacing w:after="120"/>
              <w:ind w:left="1491" w:hanging="357"/>
              <w:rPr>
                <w:sz w:val="22"/>
                <w:szCs w:val="22"/>
              </w:rPr>
            </w:pPr>
            <w:r>
              <w:rPr>
                <w:sz w:val="22"/>
                <w:szCs w:val="22"/>
              </w:rPr>
              <w:t xml:space="preserve">Saarland: scheinbare Stabilisierung auf hohem Niveau </w:t>
            </w:r>
          </w:p>
          <w:p>
            <w:pPr>
              <w:pStyle w:val="Listenabsatz"/>
              <w:numPr>
                <w:ilvl w:val="2"/>
                <w:numId w:val="5"/>
              </w:numPr>
              <w:spacing w:after="120"/>
              <w:ind w:left="1491" w:hanging="357"/>
              <w:rPr>
                <w:sz w:val="22"/>
                <w:szCs w:val="22"/>
              </w:rPr>
            </w:pPr>
            <w:r>
              <w:rPr>
                <w:sz w:val="22"/>
                <w:szCs w:val="22"/>
              </w:rPr>
              <w:t xml:space="preserve">Bremen: ggf. einzelne Ausbruchsgeschehen ursächlich aufgrund der geringen Bevölkerungszahl (geringe Bevölkerungszahl im Vergleich zu anderen </w:t>
            </w:r>
            <w:proofErr w:type="spellStart"/>
            <w:r>
              <w:rPr>
                <w:sz w:val="22"/>
                <w:szCs w:val="22"/>
              </w:rPr>
              <w:t>BuLä</w:t>
            </w:r>
            <w:proofErr w:type="spellEnd"/>
            <w:r>
              <w:rPr>
                <w:sz w:val="22"/>
                <w:szCs w:val="22"/>
              </w:rPr>
              <w:t>)</w:t>
            </w:r>
          </w:p>
          <w:p>
            <w:pPr>
              <w:pStyle w:val="Listenabsatz"/>
              <w:numPr>
                <w:ilvl w:val="2"/>
                <w:numId w:val="5"/>
              </w:numPr>
              <w:spacing w:after="120"/>
              <w:ind w:left="1491" w:hanging="357"/>
              <w:rPr>
                <w:sz w:val="22"/>
                <w:szCs w:val="22"/>
              </w:rPr>
            </w:pPr>
            <w:r>
              <w:rPr>
                <w:sz w:val="22"/>
                <w:szCs w:val="22"/>
              </w:rPr>
              <w:t xml:space="preserve">Insgesamt rückläufiger Trend, jedoch noch kein </w:t>
            </w:r>
            <w:proofErr w:type="spellStart"/>
            <w:r>
              <w:rPr>
                <w:sz w:val="22"/>
                <w:szCs w:val="22"/>
              </w:rPr>
              <w:t>BuLa</w:t>
            </w:r>
            <w:proofErr w:type="spellEnd"/>
            <w:r>
              <w:rPr>
                <w:sz w:val="22"/>
                <w:szCs w:val="22"/>
              </w:rPr>
              <w:t xml:space="preserve"> mit Inzidenz &lt; 50/ 100.000 </w:t>
            </w:r>
            <w:proofErr w:type="spellStart"/>
            <w:r>
              <w:rPr>
                <w:sz w:val="22"/>
                <w:szCs w:val="22"/>
              </w:rPr>
              <w:t>Einw</w:t>
            </w:r>
            <w:proofErr w:type="spellEnd"/>
            <w:r>
              <w:rPr>
                <w:sz w:val="22"/>
                <w:szCs w:val="22"/>
              </w:rPr>
              <w:t>.</w:t>
            </w:r>
          </w:p>
          <w:p>
            <w:pPr>
              <w:pStyle w:val="Listenabsatz"/>
              <w:numPr>
                <w:ilvl w:val="1"/>
                <w:numId w:val="5"/>
              </w:numPr>
              <w:spacing w:after="120"/>
              <w:ind w:left="899" w:hanging="283"/>
              <w:rPr>
                <w:sz w:val="22"/>
                <w:szCs w:val="22"/>
              </w:rPr>
            </w:pPr>
            <w:r>
              <w:rPr>
                <w:sz w:val="22"/>
                <w:szCs w:val="22"/>
              </w:rPr>
              <w:t xml:space="preserve">Geographische Verteilung 7-Tage-Inzidenz nach Landkreis (LK): </w:t>
            </w:r>
          </w:p>
          <w:p>
            <w:pPr>
              <w:pStyle w:val="Listenabsatz"/>
              <w:numPr>
                <w:ilvl w:val="2"/>
                <w:numId w:val="5"/>
              </w:numPr>
              <w:spacing w:after="120"/>
              <w:ind w:left="1466" w:hanging="283"/>
              <w:rPr>
                <w:sz w:val="22"/>
                <w:szCs w:val="22"/>
              </w:rPr>
            </w:pPr>
            <w:r>
              <w:rPr>
                <w:sz w:val="22"/>
                <w:szCs w:val="22"/>
              </w:rPr>
              <w:t xml:space="preserve">Schwerpunkt mit höchster Inzidenz nach Osten verlagert, siehe Internationale Lage: v.a. Tschechien betroffen </w:t>
            </w:r>
          </w:p>
          <w:p>
            <w:pPr>
              <w:pStyle w:val="Listenabsatz"/>
              <w:numPr>
                <w:ilvl w:val="2"/>
                <w:numId w:val="5"/>
              </w:numPr>
              <w:spacing w:after="120"/>
              <w:ind w:left="1466" w:hanging="283"/>
              <w:rPr>
                <w:sz w:val="22"/>
                <w:szCs w:val="22"/>
              </w:rPr>
            </w:pPr>
            <w:r>
              <w:rPr>
                <w:sz w:val="22"/>
                <w:szCs w:val="22"/>
              </w:rPr>
              <w:t>Derzeit noch 7 LK mit Inzidenz &gt; 250, 74 LK &lt; 50</w:t>
            </w:r>
          </w:p>
          <w:p>
            <w:pPr>
              <w:pStyle w:val="Listenabsatz"/>
              <w:numPr>
                <w:ilvl w:val="1"/>
                <w:numId w:val="5"/>
              </w:numPr>
              <w:ind w:left="907" w:hanging="340"/>
              <w:rPr>
                <w:sz w:val="22"/>
                <w:szCs w:val="22"/>
              </w:rPr>
            </w:pPr>
            <w:r>
              <w:rPr>
                <w:sz w:val="22"/>
                <w:szCs w:val="22"/>
              </w:rPr>
              <w:t xml:space="preserve">Wöchentliche Sterbefallzahlen </w:t>
            </w:r>
          </w:p>
          <w:p>
            <w:pPr>
              <w:pStyle w:val="Listenabsatz"/>
              <w:numPr>
                <w:ilvl w:val="2"/>
                <w:numId w:val="5"/>
              </w:numPr>
              <w:ind w:left="1466" w:hanging="283"/>
              <w:rPr>
                <w:sz w:val="22"/>
                <w:szCs w:val="22"/>
              </w:rPr>
            </w:pPr>
            <w:r>
              <w:rPr>
                <w:sz w:val="22"/>
                <w:szCs w:val="22"/>
              </w:rPr>
              <w:t>Heute noch nicht aktualisiert, Stand 29.01.2021</w:t>
            </w:r>
          </w:p>
          <w:p>
            <w:pPr>
              <w:pStyle w:val="Listenabsatz"/>
              <w:numPr>
                <w:ilvl w:val="2"/>
                <w:numId w:val="5"/>
              </w:numPr>
              <w:ind w:left="1466" w:hanging="283"/>
              <w:rPr>
                <w:sz w:val="22"/>
                <w:szCs w:val="22"/>
              </w:rPr>
            </w:pPr>
            <w:r>
              <w:rPr>
                <w:sz w:val="22"/>
                <w:szCs w:val="22"/>
              </w:rPr>
              <w:t>Pro Woche ca. 1/3 aller Sterbefälle auf Covid-19 zurückzuführen (= Anteil der Übersterblichkeit im Vergleich zu den Vorjahren (blau)), Untererfassung mutmaßlich recht gering</w:t>
            </w:r>
          </w:p>
          <w:p>
            <w:pPr>
              <w:pStyle w:val="Listenabsatz"/>
              <w:numPr>
                <w:ilvl w:val="2"/>
                <w:numId w:val="5"/>
              </w:numPr>
              <w:ind w:left="1466" w:hanging="283"/>
              <w:rPr>
                <w:sz w:val="22"/>
                <w:szCs w:val="22"/>
              </w:rPr>
            </w:pPr>
            <w:r>
              <w:rPr>
                <w:sz w:val="22"/>
                <w:szCs w:val="22"/>
              </w:rPr>
              <w:t>Vergleich erste</w:t>
            </w:r>
            <w:r>
              <w:rPr>
                <w:i/>
                <w:sz w:val="22"/>
                <w:szCs w:val="22"/>
              </w:rPr>
              <w:t xml:space="preserve"> versus</w:t>
            </w:r>
            <w:r>
              <w:rPr>
                <w:sz w:val="22"/>
                <w:szCs w:val="22"/>
              </w:rPr>
              <w:t xml:space="preserve"> zweite Welle: zweite Welle insgesamt viel stärker, euromomo.eu: Gesamtkurve 1. Welle europaweit mit ca. 90.000 Todesfälle pro Woche stärker ausgeprägt, derzeitige 2. Welle jedoch deutlich verlängert </w:t>
            </w:r>
          </w:p>
          <w:p>
            <w:pPr>
              <w:pStyle w:val="Listenabsatz"/>
              <w:numPr>
                <w:ilvl w:val="1"/>
                <w:numId w:val="5"/>
              </w:numPr>
              <w:ind w:left="1041" w:hanging="425"/>
              <w:rPr>
                <w:sz w:val="22"/>
                <w:szCs w:val="22"/>
              </w:rPr>
            </w:pPr>
            <w:r>
              <w:rPr>
                <w:sz w:val="22"/>
                <w:szCs w:val="22"/>
              </w:rPr>
              <w:t>Diskussion:</w:t>
            </w:r>
          </w:p>
          <w:p>
            <w:pPr>
              <w:pStyle w:val="Listenabsatz"/>
              <w:numPr>
                <w:ilvl w:val="2"/>
                <w:numId w:val="5"/>
              </w:numPr>
              <w:ind w:left="1466" w:hanging="283"/>
              <w:rPr>
                <w:sz w:val="22"/>
                <w:szCs w:val="22"/>
              </w:rPr>
            </w:pPr>
            <w:r>
              <w:rPr>
                <w:sz w:val="22"/>
                <w:szCs w:val="22"/>
              </w:rPr>
              <w:t>Inzidenzkarte, Nationale Lage: viele Stadtkreise deutlich geringere Inzidenz als umgebende LK (v.a. in Bayern) trotz stärkerer Testung in Stadtbereichen, Ursache bedarf weiterer Klärung</w:t>
            </w:r>
          </w:p>
          <w:p>
            <w:pPr>
              <w:pStyle w:val="Listenabsatz"/>
              <w:numPr>
                <w:ilvl w:val="2"/>
                <w:numId w:val="5"/>
              </w:numPr>
              <w:ind w:left="1466" w:hanging="283"/>
              <w:rPr>
                <w:sz w:val="22"/>
                <w:szCs w:val="22"/>
              </w:rPr>
            </w:pPr>
            <w:r>
              <w:rPr>
                <w:sz w:val="22"/>
                <w:szCs w:val="22"/>
              </w:rPr>
              <w:t xml:space="preserve">Transmission (siehe aktuelle Publikation aus den USA in Science) weniger von älteren Altersgruppen ausgehend, sondern vielmehr von AG der 20- bis 40-Jährigen (siehe Folie 6, ausgeblendet) </w:t>
            </w:r>
          </w:p>
          <w:p>
            <w:pPr>
              <w:pStyle w:val="Listenabsatz"/>
              <w:numPr>
                <w:ilvl w:val="2"/>
                <w:numId w:val="5"/>
              </w:numPr>
              <w:ind w:left="1466" w:hanging="283"/>
              <w:rPr>
                <w:sz w:val="22"/>
                <w:szCs w:val="22"/>
              </w:rPr>
            </w:pPr>
            <w:r>
              <w:rPr>
                <w:sz w:val="22"/>
                <w:szCs w:val="22"/>
              </w:rPr>
              <w:t>Ggf. sollte dieser Sachverhalt auch in der öffentlichen Kommunikation nochmals aufgegriffen und vermittelt werden</w:t>
            </w:r>
          </w:p>
          <w:p>
            <w:pPr>
              <w:rPr>
                <w:sz w:val="22"/>
                <w:szCs w:val="22"/>
              </w:rPr>
            </w:pPr>
          </w:p>
          <w:p>
            <w:pPr>
              <w:rPr>
                <w:sz w:val="22"/>
                <w:szCs w:val="22"/>
              </w:rPr>
            </w:pPr>
            <w:r>
              <w:rPr>
                <w:b/>
                <w:sz w:val="22"/>
                <w:szCs w:val="22"/>
              </w:rPr>
              <w:t xml:space="preserve">Kurzer Bericht zum Ausbruchsgeschehen mit B.1.1.7 im HUK </w:t>
            </w:r>
            <w:r>
              <w:rPr>
                <w:sz w:val="22"/>
                <w:szCs w:val="22"/>
              </w:rPr>
              <w:t xml:space="preserve">(Folien </w:t>
            </w:r>
            <w:hyperlink r:id="rId16" w:history="1">
              <w:r>
                <w:rPr>
                  <w:rStyle w:val="Hyperlink"/>
                  <w:sz w:val="22"/>
                  <w:szCs w:val="22"/>
                </w:rPr>
                <w:t>hier</w:t>
              </w:r>
            </w:hyperlink>
            <w:r>
              <w:rPr>
                <w:sz w:val="22"/>
                <w:szCs w:val="22"/>
              </w:rPr>
              <w:t>)</w:t>
            </w:r>
          </w:p>
          <w:p>
            <w:pPr>
              <w:pStyle w:val="Listenabsatz"/>
              <w:numPr>
                <w:ilvl w:val="1"/>
                <w:numId w:val="5"/>
              </w:numPr>
              <w:ind w:left="1041"/>
              <w:rPr>
                <w:sz w:val="22"/>
                <w:szCs w:val="22"/>
              </w:rPr>
            </w:pPr>
            <w:r>
              <w:rPr>
                <w:sz w:val="22"/>
                <w:szCs w:val="22"/>
              </w:rPr>
              <w:t>Komplexes und über das HUK hinausgehendes Geschehen, u.U. mit Verbindungen zu Reinickendorf und anderen Bezirken</w:t>
            </w:r>
          </w:p>
          <w:p>
            <w:pPr>
              <w:pStyle w:val="Listenabsatz"/>
              <w:numPr>
                <w:ilvl w:val="1"/>
                <w:numId w:val="5"/>
              </w:numPr>
              <w:ind w:left="1041"/>
              <w:rPr>
                <w:sz w:val="22"/>
                <w:szCs w:val="22"/>
              </w:rPr>
            </w:pPr>
            <w:r>
              <w:rPr>
                <w:sz w:val="22"/>
                <w:szCs w:val="22"/>
              </w:rPr>
              <w:t xml:space="preserve">Aktuell bestätigte Fälle: 17 Personal, 16 Patienten (darunter 6 Todesfälle), 15 sekundäre Fälle (u.a. </w:t>
            </w:r>
            <w:proofErr w:type="spellStart"/>
            <w:r>
              <w:rPr>
                <w:sz w:val="22"/>
                <w:szCs w:val="22"/>
              </w:rPr>
              <w:t>Ent-lassene</w:t>
            </w:r>
            <w:proofErr w:type="spellEnd"/>
            <w:r>
              <w:rPr>
                <w:sz w:val="22"/>
                <w:szCs w:val="22"/>
              </w:rPr>
              <w:t xml:space="preserve"> mit Wiederaufnahme bspw. in Spandauer Krankenhaus)</w:t>
            </w:r>
          </w:p>
          <w:p>
            <w:pPr>
              <w:pStyle w:val="Listenabsatz"/>
              <w:numPr>
                <w:ilvl w:val="1"/>
                <w:numId w:val="5"/>
              </w:numPr>
              <w:ind w:left="1041"/>
              <w:rPr>
                <w:sz w:val="22"/>
                <w:szCs w:val="22"/>
              </w:rPr>
            </w:pPr>
            <w:r>
              <w:rPr>
                <w:sz w:val="22"/>
                <w:szCs w:val="22"/>
              </w:rPr>
              <w:t xml:space="preserve">Eintrag vermutlich über Leiharbeitskraft </w:t>
            </w:r>
          </w:p>
          <w:p>
            <w:pPr>
              <w:pStyle w:val="Listenabsatz"/>
              <w:numPr>
                <w:ilvl w:val="1"/>
                <w:numId w:val="5"/>
              </w:numPr>
              <w:ind w:left="1041"/>
              <w:rPr>
                <w:sz w:val="22"/>
                <w:szCs w:val="22"/>
              </w:rPr>
            </w:pPr>
            <w:r>
              <w:rPr>
                <w:sz w:val="22"/>
                <w:szCs w:val="22"/>
              </w:rPr>
              <w:t xml:space="preserve">Screening in Invalidensiedlung (Reinickendorf): 3 </w:t>
            </w:r>
            <w:proofErr w:type="spellStart"/>
            <w:r>
              <w:rPr>
                <w:sz w:val="22"/>
                <w:szCs w:val="22"/>
              </w:rPr>
              <w:t>Patien-ten</w:t>
            </w:r>
            <w:proofErr w:type="spellEnd"/>
            <w:r>
              <w:rPr>
                <w:sz w:val="22"/>
                <w:szCs w:val="22"/>
              </w:rPr>
              <w:t xml:space="preserve"> dort positiv </w:t>
            </w:r>
          </w:p>
          <w:p>
            <w:pPr>
              <w:pStyle w:val="Listenabsatz"/>
              <w:numPr>
                <w:ilvl w:val="1"/>
                <w:numId w:val="5"/>
              </w:numPr>
              <w:ind w:left="1041"/>
              <w:rPr>
                <w:sz w:val="22"/>
                <w:szCs w:val="22"/>
              </w:rPr>
            </w:pPr>
            <w:r>
              <w:rPr>
                <w:sz w:val="22"/>
                <w:szCs w:val="22"/>
              </w:rPr>
              <w:t xml:space="preserve">Gynäkologische Praxis mit vielen Fällen mit möglichem Link zum HUK-Geschehen derzeit in Abklärung </w:t>
            </w:r>
          </w:p>
          <w:p>
            <w:pPr>
              <w:pStyle w:val="Listenabsatz"/>
              <w:numPr>
                <w:ilvl w:val="1"/>
                <w:numId w:val="5"/>
              </w:numPr>
              <w:ind w:left="1041"/>
              <w:rPr>
                <w:sz w:val="22"/>
                <w:szCs w:val="22"/>
              </w:rPr>
            </w:pPr>
            <w:r>
              <w:rPr>
                <w:sz w:val="22"/>
                <w:szCs w:val="22"/>
              </w:rPr>
              <w:t>Weitere Fälle in einem Altenheim über Personallink zu HUK</w:t>
            </w:r>
          </w:p>
          <w:p>
            <w:pPr>
              <w:pStyle w:val="Listenabsatz"/>
              <w:numPr>
                <w:ilvl w:val="1"/>
                <w:numId w:val="5"/>
              </w:numPr>
              <w:ind w:left="1041"/>
              <w:rPr>
                <w:sz w:val="22"/>
                <w:szCs w:val="22"/>
              </w:rPr>
            </w:pPr>
            <w:r>
              <w:rPr>
                <w:sz w:val="22"/>
                <w:szCs w:val="22"/>
              </w:rPr>
              <w:lastRenderedPageBreak/>
              <w:t xml:space="preserve">Weitere Fälle in Reinickendorfer Firma mit B1.1.7-Nachweis (Eintrag über Familie mit Link zu HUK-Personal) </w:t>
            </w:r>
          </w:p>
          <w:p>
            <w:pPr>
              <w:pStyle w:val="Listenabsatz"/>
              <w:numPr>
                <w:ilvl w:val="1"/>
                <w:numId w:val="5"/>
              </w:numPr>
              <w:ind w:left="1041"/>
              <w:rPr>
                <w:sz w:val="22"/>
                <w:szCs w:val="22"/>
              </w:rPr>
            </w:pPr>
            <w:r>
              <w:rPr>
                <w:sz w:val="22"/>
                <w:szCs w:val="22"/>
              </w:rPr>
              <w:t xml:space="preserve">Expositions- und Erkrankungszeiträume teilweise nicht stimmig, hier jedoch derzeit viele </w:t>
            </w:r>
            <w:proofErr w:type="spellStart"/>
            <w:r>
              <w:rPr>
                <w:sz w:val="22"/>
                <w:szCs w:val="22"/>
              </w:rPr>
              <w:t>missing</w:t>
            </w:r>
            <w:proofErr w:type="spellEnd"/>
            <w:r>
              <w:rPr>
                <w:sz w:val="22"/>
                <w:szCs w:val="22"/>
              </w:rPr>
              <w:t xml:space="preserve"> links vorhanden</w:t>
            </w:r>
          </w:p>
          <w:p>
            <w:pPr>
              <w:pStyle w:val="Listenabsatz"/>
              <w:numPr>
                <w:ilvl w:val="1"/>
                <w:numId w:val="5"/>
              </w:numPr>
              <w:ind w:left="1041"/>
              <w:rPr>
                <w:sz w:val="22"/>
                <w:szCs w:val="22"/>
              </w:rPr>
            </w:pPr>
            <w:r>
              <w:rPr>
                <w:sz w:val="22"/>
                <w:szCs w:val="22"/>
              </w:rPr>
              <w:t>Epidemische Kurve nach Exposition (Folie 2) im zeitlichen Verlauf: insgesamt 47 Fälle</w:t>
            </w:r>
          </w:p>
          <w:p>
            <w:pPr>
              <w:pStyle w:val="Listenabsatz"/>
              <w:numPr>
                <w:ilvl w:val="1"/>
                <w:numId w:val="5"/>
              </w:numPr>
              <w:ind w:left="1041"/>
              <w:rPr>
                <w:sz w:val="22"/>
                <w:szCs w:val="22"/>
              </w:rPr>
            </w:pPr>
            <w:r>
              <w:rPr>
                <w:sz w:val="22"/>
                <w:szCs w:val="22"/>
              </w:rPr>
              <w:t>HUK seit gestern wieder unter Auflagen in Betrieb (u.a. zweimal wöchentlich Screening, Kontaktnachverfolgung)</w:t>
            </w:r>
          </w:p>
          <w:p>
            <w:pPr>
              <w:pStyle w:val="Listenabsatz"/>
              <w:numPr>
                <w:ilvl w:val="1"/>
                <w:numId w:val="5"/>
              </w:numPr>
              <w:ind w:left="1041"/>
              <w:rPr>
                <w:sz w:val="22"/>
                <w:szCs w:val="22"/>
              </w:rPr>
            </w:pPr>
            <w:r>
              <w:rPr>
                <w:sz w:val="22"/>
                <w:szCs w:val="22"/>
              </w:rPr>
              <w:t xml:space="preserve">Ende des Ausbruchsgeschehen derzeit definiert auf den 28.02. (= 2 Inkubationszeiten), sporadisches Auftreten neuer Fälle (aktuell 2 neue Fälle über Screening identifiziert) </w:t>
            </w:r>
          </w:p>
          <w:p>
            <w:pPr>
              <w:pStyle w:val="Listenabsatz"/>
              <w:numPr>
                <w:ilvl w:val="1"/>
                <w:numId w:val="5"/>
              </w:numPr>
              <w:ind w:left="1041"/>
              <w:rPr>
                <w:sz w:val="22"/>
                <w:szCs w:val="22"/>
              </w:rPr>
            </w:pPr>
            <w:r>
              <w:rPr>
                <w:sz w:val="22"/>
                <w:szCs w:val="22"/>
              </w:rPr>
              <w:t>Epidemische Kurve B.1.1.7 nach Fallkategorie (Folie 3): mögliche Eintragsfälle über Aufnahmestation, Proben von Anfang Januar (Anfang des Ausbruchsgeschehens) können nicht mehr auf B.1.1.7 untersucht werden, Link zu Patienten mit Erkrankung am 06.01. und einem weiteren parallelen Fall unter Mitbeteiligung von B.1.1.7</w:t>
            </w:r>
          </w:p>
          <w:p>
            <w:pPr>
              <w:pStyle w:val="Listenabsatz"/>
              <w:numPr>
                <w:ilvl w:val="1"/>
                <w:numId w:val="5"/>
              </w:numPr>
              <w:ind w:left="1041"/>
              <w:rPr>
                <w:sz w:val="22"/>
                <w:szCs w:val="22"/>
              </w:rPr>
            </w:pPr>
            <w:r>
              <w:rPr>
                <w:sz w:val="22"/>
                <w:szCs w:val="22"/>
              </w:rPr>
              <w:t>Zeitschiene stationärer Verlauf HUK - bestätigte Fälle (Folie 4): 5 Patienten aus erstem Ausbruchsgeschehen in zweites involviert, massive Ausbreitung um den 10./11.01. vermutet</w:t>
            </w:r>
          </w:p>
          <w:p>
            <w:pPr>
              <w:pStyle w:val="Listenabsatz"/>
              <w:numPr>
                <w:ilvl w:val="1"/>
                <w:numId w:val="5"/>
              </w:numPr>
              <w:ind w:left="1041"/>
              <w:rPr>
                <w:sz w:val="22"/>
                <w:szCs w:val="22"/>
              </w:rPr>
            </w:pPr>
            <w:r>
              <w:rPr>
                <w:sz w:val="22"/>
                <w:szCs w:val="22"/>
              </w:rPr>
              <w:t xml:space="preserve">Einige Patienten kurz nach Aufnahme positiv, andere erst im späteren Verlauf entsprechend Inkubationszeit </w:t>
            </w:r>
          </w:p>
          <w:p>
            <w:pPr>
              <w:pStyle w:val="Listenabsatz"/>
              <w:numPr>
                <w:ilvl w:val="1"/>
                <w:numId w:val="5"/>
              </w:numPr>
              <w:ind w:left="1041"/>
              <w:rPr>
                <w:sz w:val="22"/>
                <w:szCs w:val="22"/>
              </w:rPr>
            </w:pPr>
            <w:r>
              <w:rPr>
                <w:sz w:val="22"/>
                <w:szCs w:val="22"/>
              </w:rPr>
              <w:t>Stand 02.02.2021: 6 Todesfälle (Altersgruppe &gt; 75 Jahre), aber auch einige Folgefälle mit schwerer Erkrankung bei jüngeren AG mit derzeit unklarem Ausgang</w:t>
            </w:r>
          </w:p>
          <w:p>
            <w:pPr>
              <w:pStyle w:val="Listenabsatz"/>
              <w:numPr>
                <w:ilvl w:val="1"/>
                <w:numId w:val="5"/>
              </w:numPr>
              <w:ind w:left="1041"/>
              <w:rPr>
                <w:sz w:val="22"/>
                <w:szCs w:val="22"/>
              </w:rPr>
            </w:pPr>
            <w:r>
              <w:rPr>
                <w:sz w:val="22"/>
                <w:szCs w:val="22"/>
              </w:rPr>
              <w:t>Zusammenfassung:</w:t>
            </w:r>
          </w:p>
          <w:p>
            <w:pPr>
              <w:pStyle w:val="Listenabsatz"/>
              <w:numPr>
                <w:ilvl w:val="1"/>
                <w:numId w:val="33"/>
              </w:numPr>
              <w:rPr>
                <w:sz w:val="22"/>
                <w:szCs w:val="22"/>
              </w:rPr>
            </w:pPr>
            <w:r>
              <w:rPr>
                <w:sz w:val="22"/>
                <w:szCs w:val="22"/>
              </w:rPr>
              <w:t>Möglicher Eintrag am 09./10.01. (kann nicht alle Fälle erklären) über Station CD</w:t>
            </w:r>
          </w:p>
          <w:p>
            <w:pPr>
              <w:pStyle w:val="Listenabsatz"/>
              <w:numPr>
                <w:ilvl w:val="1"/>
                <w:numId w:val="33"/>
              </w:numPr>
              <w:rPr>
                <w:sz w:val="22"/>
                <w:szCs w:val="22"/>
              </w:rPr>
            </w:pPr>
            <w:r>
              <w:rPr>
                <w:sz w:val="22"/>
                <w:szCs w:val="22"/>
              </w:rPr>
              <w:t>Möglicher Link zu einer Patientin/Personal Station 13 mit Erstnachweis am 06.01.2021 (Ausbruch Anfang Januar)</w:t>
            </w:r>
          </w:p>
          <w:p>
            <w:pPr>
              <w:pStyle w:val="Listenabsatz"/>
              <w:numPr>
                <w:ilvl w:val="1"/>
                <w:numId w:val="33"/>
              </w:numPr>
              <w:rPr>
                <w:sz w:val="22"/>
                <w:szCs w:val="22"/>
              </w:rPr>
            </w:pPr>
            <w:r>
              <w:rPr>
                <w:sz w:val="22"/>
                <w:szCs w:val="22"/>
              </w:rPr>
              <w:t>Weiterverbreitung schwerpunktmäßig auf Station 13 mit hohem Anteil an Fällen unter Personal</w:t>
            </w:r>
          </w:p>
          <w:p>
            <w:pPr>
              <w:pStyle w:val="Listenabsatz"/>
              <w:numPr>
                <w:ilvl w:val="1"/>
                <w:numId w:val="33"/>
              </w:numPr>
              <w:rPr>
                <w:sz w:val="22"/>
                <w:szCs w:val="22"/>
              </w:rPr>
            </w:pPr>
            <w:r>
              <w:rPr>
                <w:sz w:val="22"/>
                <w:szCs w:val="22"/>
              </w:rPr>
              <w:t>Hoher Anteil an Leiharbeitskräften</w:t>
            </w:r>
          </w:p>
          <w:p>
            <w:pPr>
              <w:pStyle w:val="Listenabsatz"/>
              <w:numPr>
                <w:ilvl w:val="1"/>
                <w:numId w:val="33"/>
              </w:numPr>
              <w:rPr>
                <w:sz w:val="22"/>
                <w:szCs w:val="22"/>
              </w:rPr>
            </w:pPr>
            <w:r>
              <w:rPr>
                <w:sz w:val="22"/>
                <w:szCs w:val="22"/>
              </w:rPr>
              <w:t>Hoher Anteil an Sekundärfällen in Haushalten und Aufnahme von Fällen und Sekundärfällen in andere Krankenhäuser</w:t>
            </w:r>
          </w:p>
          <w:p>
            <w:pPr>
              <w:pStyle w:val="Listenabsatz"/>
              <w:numPr>
                <w:ilvl w:val="1"/>
                <w:numId w:val="33"/>
              </w:numPr>
              <w:rPr>
                <w:sz w:val="22"/>
                <w:szCs w:val="22"/>
              </w:rPr>
            </w:pPr>
            <w:r>
              <w:rPr>
                <w:sz w:val="22"/>
                <w:szCs w:val="22"/>
              </w:rPr>
              <w:t>Wiedereröffnung HUK am 04.02.2021, weiterhin wöchentliches Screening aller Patient*innen und Personal bis mindestens zum 28.02.2021</w:t>
            </w:r>
          </w:p>
          <w:p>
            <w:pPr>
              <w:pStyle w:val="Listenabsatz"/>
              <w:numPr>
                <w:ilvl w:val="1"/>
                <w:numId w:val="33"/>
              </w:numPr>
              <w:rPr>
                <w:sz w:val="22"/>
                <w:szCs w:val="22"/>
              </w:rPr>
            </w:pPr>
            <w:r>
              <w:rPr>
                <w:sz w:val="22"/>
                <w:szCs w:val="22"/>
              </w:rPr>
              <w:t>Befundübermittlung im laufenden Geschehen etabliert</w:t>
            </w:r>
          </w:p>
          <w:p>
            <w:pPr>
              <w:pStyle w:val="Listenabsatz"/>
              <w:numPr>
                <w:ilvl w:val="1"/>
                <w:numId w:val="33"/>
              </w:numPr>
              <w:rPr>
                <w:sz w:val="22"/>
                <w:szCs w:val="22"/>
              </w:rPr>
            </w:pPr>
            <w:r>
              <w:rPr>
                <w:sz w:val="22"/>
                <w:szCs w:val="22"/>
              </w:rPr>
              <w:t xml:space="preserve">Auswertung Sequenzierung und </w:t>
            </w:r>
            <w:proofErr w:type="spellStart"/>
            <w:r>
              <w:rPr>
                <w:sz w:val="22"/>
                <w:szCs w:val="22"/>
              </w:rPr>
              <w:t>Epi</w:t>
            </w:r>
            <w:proofErr w:type="spellEnd"/>
            <w:r>
              <w:rPr>
                <w:sz w:val="22"/>
                <w:szCs w:val="22"/>
              </w:rPr>
              <w:t xml:space="preserve"> Daten zur Überprüfung der Hypothesen</w:t>
            </w:r>
          </w:p>
          <w:p>
            <w:pPr>
              <w:pStyle w:val="Listenabsatz"/>
              <w:numPr>
                <w:ilvl w:val="1"/>
                <w:numId w:val="5"/>
              </w:numPr>
              <w:ind w:left="1041"/>
              <w:rPr>
                <w:sz w:val="22"/>
                <w:szCs w:val="22"/>
              </w:rPr>
            </w:pPr>
            <w:r>
              <w:rPr>
                <w:sz w:val="22"/>
                <w:szCs w:val="22"/>
              </w:rPr>
              <w:t xml:space="preserve">Herausforderungen: </w:t>
            </w:r>
          </w:p>
          <w:p>
            <w:pPr>
              <w:pStyle w:val="Listenabsatz"/>
              <w:numPr>
                <w:ilvl w:val="2"/>
                <w:numId w:val="5"/>
              </w:numPr>
              <w:ind w:left="1750" w:hanging="284"/>
              <w:rPr>
                <w:sz w:val="22"/>
                <w:szCs w:val="22"/>
              </w:rPr>
            </w:pPr>
            <w:r>
              <w:rPr>
                <w:sz w:val="22"/>
                <w:szCs w:val="22"/>
              </w:rPr>
              <w:t>Befundmitteilung in Kommunikation erheblich erschwert (teils verschiedene Wege der Übermittlung)</w:t>
            </w:r>
          </w:p>
          <w:p>
            <w:pPr>
              <w:pStyle w:val="Listenabsatz"/>
              <w:numPr>
                <w:ilvl w:val="2"/>
                <w:numId w:val="5"/>
              </w:numPr>
              <w:ind w:left="1750" w:hanging="284"/>
              <w:rPr>
                <w:sz w:val="22"/>
                <w:szCs w:val="22"/>
              </w:rPr>
            </w:pPr>
            <w:r>
              <w:rPr>
                <w:sz w:val="22"/>
                <w:szCs w:val="22"/>
              </w:rPr>
              <w:t xml:space="preserve">Aufgrund von Datenschutz musste auf herkömmliche Tools der Datenerfassung zurückgegriffen werden </w:t>
            </w:r>
          </w:p>
          <w:p>
            <w:pPr>
              <w:pStyle w:val="Listenabsatz"/>
              <w:numPr>
                <w:ilvl w:val="2"/>
                <w:numId w:val="5"/>
              </w:numPr>
              <w:ind w:left="1750" w:hanging="284"/>
              <w:rPr>
                <w:sz w:val="22"/>
                <w:szCs w:val="22"/>
              </w:rPr>
            </w:pPr>
            <w:r>
              <w:rPr>
                <w:sz w:val="22"/>
                <w:szCs w:val="22"/>
              </w:rPr>
              <w:lastRenderedPageBreak/>
              <w:t>Kommunikation mit Gesundheitsamt sehr gut, mit Landesstelle teils schwierig</w:t>
            </w:r>
          </w:p>
          <w:p>
            <w:pPr>
              <w:pStyle w:val="Listenabsatz"/>
              <w:numPr>
                <w:ilvl w:val="2"/>
                <w:numId w:val="5"/>
              </w:numPr>
              <w:ind w:left="1750" w:hanging="284"/>
              <w:rPr>
                <w:sz w:val="22"/>
                <w:szCs w:val="22"/>
              </w:rPr>
            </w:pPr>
            <w:r>
              <w:rPr>
                <w:sz w:val="22"/>
                <w:szCs w:val="22"/>
              </w:rPr>
              <w:t>Teils Kontaktdaten nicht bekannt oder mit erheblicher Zeitverzögerung von bis zu einer Woche bei Leiharbeitskraft</w:t>
            </w:r>
          </w:p>
          <w:p>
            <w:pPr>
              <w:pStyle w:val="Listenabsatz"/>
              <w:numPr>
                <w:ilvl w:val="2"/>
                <w:numId w:val="5"/>
              </w:numPr>
              <w:ind w:left="1750" w:hanging="284"/>
              <w:rPr>
                <w:sz w:val="22"/>
                <w:szCs w:val="22"/>
              </w:rPr>
            </w:pPr>
            <w:r>
              <w:rPr>
                <w:sz w:val="22"/>
                <w:szCs w:val="22"/>
              </w:rPr>
              <w:t>Hohe Sekundärfallzahl in Haushalten</w:t>
            </w:r>
          </w:p>
          <w:p>
            <w:pPr>
              <w:pStyle w:val="Listenabsatz"/>
              <w:numPr>
                <w:ilvl w:val="2"/>
                <w:numId w:val="5"/>
              </w:numPr>
              <w:ind w:left="1750" w:hanging="284"/>
              <w:rPr>
                <w:sz w:val="22"/>
                <w:szCs w:val="22"/>
              </w:rPr>
            </w:pPr>
            <w:r>
              <w:rPr>
                <w:sz w:val="22"/>
                <w:szCs w:val="22"/>
              </w:rPr>
              <w:t xml:space="preserve">Etablierung von </w:t>
            </w:r>
            <w:proofErr w:type="spellStart"/>
            <w:r>
              <w:rPr>
                <w:sz w:val="22"/>
                <w:szCs w:val="22"/>
              </w:rPr>
              <w:t>Entlassmanagement</w:t>
            </w:r>
            <w:proofErr w:type="spellEnd"/>
            <w:r>
              <w:rPr>
                <w:sz w:val="22"/>
                <w:szCs w:val="22"/>
              </w:rPr>
              <w:t xml:space="preserve"> war im Routinebetrieb nicht erfolgt</w:t>
            </w:r>
          </w:p>
          <w:p>
            <w:pPr>
              <w:pStyle w:val="Listenabsatz"/>
              <w:numPr>
                <w:ilvl w:val="2"/>
                <w:numId w:val="5"/>
              </w:numPr>
              <w:ind w:left="1750" w:hanging="284"/>
              <w:rPr>
                <w:sz w:val="22"/>
                <w:szCs w:val="22"/>
              </w:rPr>
            </w:pPr>
            <w:r>
              <w:rPr>
                <w:sz w:val="22"/>
                <w:szCs w:val="22"/>
              </w:rPr>
              <w:t xml:space="preserve">Leiharbeitskräfte z.T. nicht im Personalscreening inbegriffen </w:t>
            </w:r>
          </w:p>
          <w:p>
            <w:pPr>
              <w:pStyle w:val="Listenabsatz"/>
              <w:numPr>
                <w:ilvl w:val="2"/>
                <w:numId w:val="5"/>
              </w:numPr>
              <w:ind w:left="1750" w:hanging="284"/>
              <w:rPr>
                <w:sz w:val="22"/>
                <w:szCs w:val="22"/>
              </w:rPr>
            </w:pPr>
            <w:r>
              <w:rPr>
                <w:sz w:val="22"/>
                <w:szCs w:val="22"/>
              </w:rPr>
              <w:t>Personal-AG-Testung großzügig angeboten aber nicht Routine</w:t>
            </w:r>
          </w:p>
          <w:p>
            <w:pPr>
              <w:pStyle w:val="Listenabsatz"/>
              <w:numPr>
                <w:ilvl w:val="1"/>
                <w:numId w:val="5"/>
              </w:numPr>
              <w:ind w:left="1041"/>
              <w:rPr>
                <w:sz w:val="22"/>
                <w:szCs w:val="22"/>
              </w:rPr>
            </w:pPr>
            <w:r>
              <w:rPr>
                <w:sz w:val="22"/>
                <w:szCs w:val="22"/>
              </w:rPr>
              <w:t xml:space="preserve">Sekundäre </w:t>
            </w:r>
            <w:proofErr w:type="spellStart"/>
            <w:r>
              <w:rPr>
                <w:sz w:val="22"/>
                <w:szCs w:val="22"/>
              </w:rPr>
              <w:t>Attack</w:t>
            </w:r>
            <w:proofErr w:type="spellEnd"/>
            <w:r>
              <w:rPr>
                <w:sz w:val="22"/>
                <w:szCs w:val="22"/>
              </w:rPr>
              <w:t xml:space="preserve"> Rate und Länge der Inkubationszeit: recht unscharf und teils mit Doppelinfektion mit Wildtyp und B.1.1.7 </w:t>
            </w:r>
            <w:r>
              <w:rPr>
                <w:sz w:val="22"/>
                <w:szCs w:val="22"/>
              </w:rPr>
              <w:sym w:font="Wingdings" w:char="F0E0"/>
            </w:r>
            <w:r>
              <w:rPr>
                <w:sz w:val="22"/>
                <w:szCs w:val="22"/>
              </w:rPr>
              <w:t xml:space="preserve"> mehr Informationen dazu mutmaßlich </w:t>
            </w:r>
            <w:proofErr w:type="gramStart"/>
            <w:r>
              <w:rPr>
                <w:sz w:val="22"/>
                <w:szCs w:val="22"/>
              </w:rPr>
              <w:t>aus folgender</w:t>
            </w:r>
            <w:proofErr w:type="gramEnd"/>
            <w:r>
              <w:rPr>
                <w:sz w:val="22"/>
                <w:szCs w:val="22"/>
              </w:rPr>
              <w:t xml:space="preserve"> Sequenzierung, bislang bekannt: bei erstem und zweiten Ausbruchsgeschehen fast alle 4-Bett-Zimmer betroffen und sehr rasche Infektion nach soweit postulierter Exposition</w:t>
            </w:r>
          </w:p>
          <w:p>
            <w:pPr>
              <w:pStyle w:val="Listenabsatz"/>
              <w:numPr>
                <w:ilvl w:val="1"/>
                <w:numId w:val="5"/>
              </w:numPr>
              <w:ind w:left="1041"/>
              <w:rPr>
                <w:sz w:val="22"/>
                <w:szCs w:val="22"/>
              </w:rPr>
            </w:pPr>
            <w:r>
              <w:rPr>
                <w:sz w:val="22"/>
                <w:szCs w:val="22"/>
              </w:rPr>
              <w:t>Es sollte in einem Dokument angemerkt werden, dass auch Leiharbeitskräfte in Personalscreenings miteinzubeziehen sind</w:t>
            </w:r>
          </w:p>
          <w:p>
            <w:pPr>
              <w:pStyle w:val="Listenabsatz"/>
              <w:ind w:left="1041"/>
              <w:rPr>
                <w:sz w:val="22"/>
                <w:szCs w:val="22"/>
              </w:rPr>
            </w:pPr>
          </w:p>
          <w:p>
            <w:pPr>
              <w:rPr>
                <w:sz w:val="22"/>
                <w:szCs w:val="22"/>
              </w:rPr>
            </w:pPr>
            <w:r>
              <w:rPr>
                <w:sz w:val="22"/>
                <w:szCs w:val="22"/>
              </w:rPr>
              <w:t>Missionen EU-Ausland</w:t>
            </w:r>
          </w:p>
          <w:p>
            <w:pPr>
              <w:pStyle w:val="Listenabsatz"/>
              <w:numPr>
                <w:ilvl w:val="1"/>
                <w:numId w:val="5"/>
              </w:numPr>
              <w:ind w:left="1041"/>
              <w:rPr>
                <w:sz w:val="22"/>
                <w:szCs w:val="22"/>
              </w:rPr>
            </w:pPr>
            <w:r>
              <w:rPr>
                <w:sz w:val="22"/>
                <w:szCs w:val="22"/>
              </w:rPr>
              <w:t>Mission aus Kosovo zurückgekehrt</w:t>
            </w:r>
          </w:p>
          <w:p>
            <w:pPr>
              <w:pStyle w:val="Listenabsatz"/>
              <w:numPr>
                <w:ilvl w:val="1"/>
                <w:numId w:val="5"/>
              </w:numPr>
              <w:ind w:left="1041"/>
              <w:rPr>
                <w:sz w:val="22"/>
                <w:szCs w:val="22"/>
              </w:rPr>
            </w:pPr>
            <w:r>
              <w:rPr>
                <w:sz w:val="22"/>
                <w:szCs w:val="22"/>
              </w:rPr>
              <w:t>Weitere Anfrage seitens Auswärtigem Amt zu weiterer Labor-Unterstützung (Montenegro, vor allem zu dort vorhandener B.1.1.7), derzeit dazu in Abstimmung mit WHO</w:t>
            </w:r>
          </w:p>
          <w:p>
            <w:pPr>
              <w:rPr>
                <w:sz w:val="22"/>
                <w:szCs w:val="22"/>
              </w:rPr>
            </w:pPr>
            <w:r>
              <w:rPr>
                <w:sz w:val="22"/>
                <w:szCs w:val="22"/>
              </w:rPr>
              <w:t xml:space="preserve">Sprachregelung </w:t>
            </w:r>
            <w:proofErr w:type="gramStart"/>
            <w:r>
              <w:rPr>
                <w:sz w:val="22"/>
                <w:szCs w:val="22"/>
              </w:rPr>
              <w:t>zu Vakzine</w:t>
            </w:r>
            <w:proofErr w:type="gramEnd"/>
          </w:p>
          <w:p>
            <w:pPr>
              <w:pStyle w:val="Listenabsatz"/>
              <w:numPr>
                <w:ilvl w:val="1"/>
                <w:numId w:val="5"/>
              </w:numPr>
              <w:ind w:left="1041"/>
              <w:rPr>
                <w:sz w:val="22"/>
                <w:szCs w:val="22"/>
              </w:rPr>
            </w:pPr>
            <w:r>
              <w:rPr>
                <w:sz w:val="22"/>
                <w:szCs w:val="22"/>
              </w:rPr>
              <w:t>Bitte an das BMG um Sprachregelung zu Vakzinen erfolgt</w:t>
            </w:r>
          </w:p>
          <w:p>
            <w:pPr>
              <w:pStyle w:val="Listenabsatz"/>
              <w:numPr>
                <w:ilvl w:val="1"/>
                <w:numId w:val="5"/>
              </w:numPr>
              <w:ind w:left="1041"/>
              <w:rPr>
                <w:sz w:val="22"/>
                <w:szCs w:val="22"/>
              </w:rPr>
            </w:pPr>
            <w:r>
              <w:rPr>
                <w:sz w:val="22"/>
                <w:szCs w:val="22"/>
              </w:rPr>
              <w:t xml:space="preserve">Bereits mehrere Anfragen an das RKI mit der Bitte um Mithilfe bei </w:t>
            </w:r>
            <w:proofErr w:type="spellStart"/>
            <w:r>
              <w:rPr>
                <w:sz w:val="22"/>
                <w:szCs w:val="22"/>
              </w:rPr>
              <w:t>Vakzinebeschaffung</w:t>
            </w:r>
            <w:proofErr w:type="spellEnd"/>
          </w:p>
          <w:p>
            <w:pPr>
              <w:pStyle w:val="Listenabsatz"/>
              <w:numPr>
                <w:ilvl w:val="1"/>
                <w:numId w:val="5"/>
              </w:numPr>
              <w:ind w:left="1041"/>
              <w:rPr>
                <w:sz w:val="22"/>
                <w:szCs w:val="22"/>
              </w:rPr>
            </w:pPr>
            <w:r>
              <w:rPr>
                <w:sz w:val="22"/>
                <w:szCs w:val="22"/>
              </w:rPr>
              <w:t>Corona-Global-Anträge kommen voraussichtlich im Laufe des Tages aus externer Begutachtung zurück, gehen dann ans BMG, Prozesslänge der Entscheidung dort noch nicht einschätzbar</w:t>
            </w:r>
          </w:p>
          <w:p>
            <w:pPr>
              <w:rPr>
                <w:sz w:val="22"/>
                <w:szCs w:val="22"/>
              </w:rPr>
            </w:pPr>
          </w:p>
        </w:tc>
        <w:tc>
          <w:tcPr>
            <w:tcW w:w="1492" w:type="dxa"/>
          </w:tcPr>
          <w:p>
            <w:pPr>
              <w:rPr>
                <w:sz w:val="22"/>
                <w:szCs w:val="22"/>
              </w:rPr>
            </w:pPr>
          </w:p>
          <w:p>
            <w:pPr>
              <w:rPr>
                <w:sz w:val="22"/>
                <w:szCs w:val="22"/>
              </w:rPr>
            </w:pPr>
            <w:r>
              <w:rPr>
                <w:sz w:val="22"/>
                <w:szCs w:val="22"/>
              </w:rPr>
              <w:t xml:space="preserve">ZIG1 </w:t>
            </w:r>
            <w:r>
              <w:rPr>
                <w:sz w:val="22"/>
                <w:szCs w:val="22"/>
              </w:rPr>
              <w:br/>
              <w:t>(Singer)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r>
              <w:rPr>
                <w:sz w:val="22"/>
                <w:szCs w:val="22"/>
              </w:rPr>
              <w:t>(Hanefeld)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Abt.1</w:t>
            </w:r>
          </w:p>
          <w:p>
            <w:pPr>
              <w:rPr>
                <w:sz w:val="22"/>
                <w:szCs w:val="22"/>
              </w:rPr>
            </w:pPr>
            <w:r>
              <w:rPr>
                <w:sz w:val="22"/>
                <w:szCs w:val="22"/>
              </w:rPr>
              <w:t>(Mielke)</w:t>
            </w:r>
          </w:p>
          <w:p>
            <w:pPr>
              <w:rPr>
                <w:sz w:val="22"/>
                <w:szCs w:val="22"/>
              </w:rPr>
            </w:pPr>
          </w:p>
          <w:p>
            <w:pPr>
              <w:rPr>
                <w:sz w:val="22"/>
                <w:szCs w:val="22"/>
              </w:rPr>
            </w:pPr>
            <w:r>
              <w:rPr>
                <w:sz w:val="22"/>
                <w:szCs w:val="22"/>
              </w:rPr>
              <w:t>Abt.3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rPr>
            </w:pPr>
            <w:r>
              <w:rPr>
                <w:sz w:val="22"/>
                <w:szCs w:val="22"/>
              </w:rPr>
              <w:t>(Diercke</w:t>
            </w:r>
            <w:r>
              <w:rPr>
                <w:sz w:val="22"/>
              </w:rPr>
              <w:t>)</w:t>
            </w: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r>
              <w:rPr>
                <w:sz w:val="22"/>
              </w:rPr>
              <w:t>FG37</w:t>
            </w:r>
          </w:p>
          <w:p>
            <w:pPr>
              <w:rPr>
                <w:sz w:val="22"/>
              </w:rPr>
            </w:pPr>
            <w:r>
              <w:rPr>
                <w:sz w:val="22"/>
              </w:rPr>
              <w:t>(Abu Sin)</w:t>
            </w: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r>
              <w:rPr>
                <w:sz w:val="22"/>
              </w:rPr>
              <w:t>ZIG</w:t>
            </w:r>
          </w:p>
          <w:p>
            <w:pPr>
              <w:rPr>
                <w:sz w:val="22"/>
              </w:rPr>
            </w:pPr>
            <w:r>
              <w:rPr>
                <w:sz w:val="22"/>
              </w:rPr>
              <w:t>(Hanefeld)</w:t>
            </w: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p>
            <w:pPr>
              <w:pStyle w:val="Listenabsatz"/>
              <w:ind w:left="453"/>
              <w:rPr>
                <w:b/>
                <w:sz w:val="22"/>
                <w:szCs w:val="22"/>
              </w:rPr>
            </w:pPr>
          </w:p>
        </w:tc>
        <w:tc>
          <w:tcPr>
            <w:tcW w:w="1492" w:type="dxa"/>
          </w:tcPr>
          <w:p>
            <w:pPr>
              <w:rPr>
                <w:sz w:val="22"/>
                <w:szCs w:val="22"/>
              </w:rPr>
            </w:pPr>
          </w:p>
          <w:p>
            <w:pPr>
              <w:rPr>
                <w:sz w:val="22"/>
                <w:szCs w:val="22"/>
              </w:rPr>
            </w:pPr>
            <w:r>
              <w:rPr>
                <w:sz w:val="22"/>
                <w:szCs w:val="22"/>
              </w:rPr>
              <w:t xml:space="preserve">ZIG </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commentRangeStart w:id="1"/>
            <w:r>
              <w:rPr>
                <w:b/>
                <w:sz w:val="28"/>
              </w:rPr>
              <w:t>Aktuelle Risikobewertung</w:t>
            </w:r>
          </w:p>
          <w:p>
            <w:pPr>
              <w:pStyle w:val="Listenabsatz"/>
              <w:numPr>
                <w:ilvl w:val="0"/>
                <w:numId w:val="5"/>
              </w:numPr>
              <w:ind w:left="453" w:hanging="340"/>
              <w:rPr>
                <w:sz w:val="22"/>
                <w:szCs w:val="22"/>
              </w:rPr>
            </w:pPr>
            <w:r>
              <w:rPr>
                <w:sz w:val="22"/>
                <w:szCs w:val="22"/>
              </w:rPr>
              <w:t>Wurde aktuell neu eingestellt</w:t>
            </w:r>
          </w:p>
          <w:p>
            <w:pPr>
              <w:ind w:left="113"/>
              <w:rPr>
                <w:i/>
                <w:sz w:val="22"/>
                <w:szCs w:val="22"/>
              </w:rPr>
            </w:pPr>
            <w:r>
              <w:rPr>
                <w:i/>
                <w:sz w:val="22"/>
                <w:szCs w:val="22"/>
              </w:rPr>
              <w:t>ToDo: Bitte an Herrn Wichmann um einen Vorschlag zur Integration des Impfens in der kommenden Woche</w:t>
            </w:r>
            <w:commentRangeEnd w:id="1"/>
            <w:r>
              <w:rPr>
                <w:rStyle w:val="Kommentarzeichen"/>
                <w:rFonts w:ascii="Scala Sans OT" w:hAnsi="Scala Sans OT"/>
                <w:lang w:eastAsia="de-DE"/>
              </w:rPr>
              <w:commentReference w:id="1"/>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Nicht besprochen</w:t>
            </w:r>
          </w:p>
          <w:p>
            <w:pPr>
              <w:spacing w:before="120"/>
              <w:rPr>
                <w:b/>
                <w:sz w:val="22"/>
                <w:szCs w:val="22"/>
              </w:rPr>
            </w:pPr>
            <w:r>
              <w:rPr>
                <w:b/>
                <w:sz w:val="22"/>
                <w:szCs w:val="22"/>
              </w:rPr>
              <w:lastRenderedPageBreak/>
              <w:t>Presse</w:t>
            </w:r>
          </w:p>
          <w:p>
            <w:pPr>
              <w:pStyle w:val="Listenabsatz"/>
              <w:numPr>
                <w:ilvl w:val="0"/>
                <w:numId w:val="5"/>
              </w:numPr>
              <w:spacing w:after="120"/>
              <w:ind w:left="453" w:hanging="340"/>
              <w:rPr>
                <w:sz w:val="22"/>
                <w:szCs w:val="22"/>
              </w:rPr>
            </w:pPr>
            <w:r>
              <w:rPr>
                <w:sz w:val="22"/>
                <w:szCs w:val="22"/>
              </w:rPr>
              <w:t>Papier zu Virusvarianten veröffentlicht</w:t>
            </w:r>
          </w:p>
          <w:p>
            <w:pPr>
              <w:spacing w:after="120"/>
              <w:rPr>
                <w:b/>
                <w:sz w:val="22"/>
                <w:szCs w:val="22"/>
              </w:rPr>
            </w:pPr>
            <w:r>
              <w:rPr>
                <w:b/>
                <w:sz w:val="22"/>
                <w:szCs w:val="22"/>
              </w:rPr>
              <w:t>P1</w:t>
            </w:r>
          </w:p>
          <w:p>
            <w:pPr>
              <w:pStyle w:val="Listenabsatz"/>
              <w:numPr>
                <w:ilvl w:val="0"/>
                <w:numId w:val="5"/>
              </w:numPr>
              <w:spacing w:after="120"/>
              <w:ind w:left="453" w:hanging="340"/>
              <w:rPr>
                <w:sz w:val="22"/>
                <w:szCs w:val="22"/>
              </w:rPr>
            </w:pPr>
            <w:r>
              <w:rPr>
                <w:sz w:val="22"/>
                <w:szCs w:val="22"/>
              </w:rPr>
              <w:t>Grafik zu integrierter molekularer Surveillance ist online, ebenso der Bericht zu VOCs</w:t>
            </w:r>
          </w:p>
          <w:p>
            <w:pPr>
              <w:spacing w:after="120"/>
              <w:rPr>
                <w:b/>
                <w:sz w:val="22"/>
                <w:szCs w:val="22"/>
              </w:rPr>
            </w:pPr>
            <w:r>
              <w:rPr>
                <w:b/>
                <w:sz w:val="22"/>
                <w:szCs w:val="22"/>
              </w:rPr>
              <w:t xml:space="preserve">FG14 </w:t>
            </w:r>
          </w:p>
          <w:p>
            <w:pPr>
              <w:pStyle w:val="Listenabsatz"/>
              <w:numPr>
                <w:ilvl w:val="0"/>
                <w:numId w:val="5"/>
              </w:numPr>
              <w:spacing w:after="120"/>
              <w:ind w:left="453" w:hanging="340"/>
              <w:rPr>
                <w:sz w:val="22"/>
                <w:szCs w:val="22"/>
              </w:rPr>
            </w:pPr>
            <w:bookmarkStart w:id="2" w:name="_Hlk63596663"/>
            <w:r>
              <w:rPr>
                <w:sz w:val="22"/>
                <w:szCs w:val="22"/>
              </w:rPr>
              <w:t>Dokument von Gesundbund (Gesundheitsportal) erhalten mit der Bitte um Kommentar, RKI hier als Partner aufgeführt, Bericht wurde dem RKI jedoch nicht vor Veröffentlichung vorgelegt</w:t>
            </w:r>
          </w:p>
          <w:bookmarkEnd w:id="2"/>
          <w:p>
            <w:pPr>
              <w:pStyle w:val="Listenabsatz"/>
              <w:numPr>
                <w:ilvl w:val="0"/>
                <w:numId w:val="5"/>
              </w:numPr>
              <w:spacing w:after="120"/>
              <w:ind w:left="453" w:hanging="340"/>
              <w:rPr>
                <w:sz w:val="22"/>
                <w:szCs w:val="22"/>
              </w:rPr>
            </w:pPr>
            <w:r>
              <w:rPr>
                <w:sz w:val="22"/>
                <w:szCs w:val="22"/>
              </w:rPr>
              <w:t>Es müssen klare Strukturen für eine Sichtung existieren sowie eine klare Definition der Verantwortlichkeit für die Inhalte</w:t>
            </w:r>
          </w:p>
          <w:p>
            <w:pPr>
              <w:pStyle w:val="Listenabsatz"/>
              <w:numPr>
                <w:ilvl w:val="0"/>
                <w:numId w:val="5"/>
              </w:numPr>
              <w:spacing w:after="120"/>
              <w:ind w:left="453" w:hanging="340"/>
              <w:rPr>
                <w:sz w:val="22"/>
                <w:szCs w:val="22"/>
              </w:rPr>
            </w:pPr>
            <w:r>
              <w:rPr>
                <w:sz w:val="22"/>
                <w:szCs w:val="22"/>
              </w:rPr>
              <w:t>Unabhängige Klärung für die Betroffenen außerhalb des Krisenstabs auch zur Vermeidung der Mehrbelastung erforderlich</w:t>
            </w:r>
          </w:p>
          <w:p>
            <w:pPr>
              <w:pStyle w:val="Listenabsatz"/>
              <w:rPr>
                <w:sz w:val="22"/>
                <w:szCs w:val="22"/>
              </w:rPr>
            </w:pPr>
          </w:p>
          <w:p>
            <w:pPr>
              <w:spacing w:after="120"/>
              <w:rPr>
                <w:i/>
                <w:sz w:val="22"/>
                <w:szCs w:val="22"/>
              </w:rPr>
            </w:pPr>
            <w:bookmarkStart w:id="3" w:name="_Hlk63596685"/>
            <w:commentRangeStart w:id="4"/>
            <w:proofErr w:type="spellStart"/>
            <w:r>
              <w:rPr>
                <w:i/>
                <w:sz w:val="22"/>
                <w:szCs w:val="22"/>
              </w:rPr>
              <w:t>To</w:t>
            </w:r>
            <w:proofErr w:type="spellEnd"/>
            <w:r>
              <w:rPr>
                <w:i/>
                <w:sz w:val="22"/>
                <w:szCs w:val="22"/>
              </w:rPr>
              <w:t xml:space="preserve"> Do: Bitte an Herrn Ziese um Klärung der Sachlage zu dieser Anfrage seitens Gesundbund</w:t>
            </w:r>
            <w:commentRangeEnd w:id="4"/>
            <w:r>
              <w:rPr>
                <w:rStyle w:val="Kommentarzeichen"/>
                <w:rFonts w:ascii="Scala Sans OT" w:hAnsi="Scala Sans OT"/>
                <w:lang w:eastAsia="de-DE"/>
              </w:rPr>
              <w:commentReference w:id="4"/>
            </w:r>
            <w:bookmarkEnd w:id="3"/>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r>
              <w:rPr>
                <w:sz w:val="22"/>
                <w:szCs w:val="22"/>
              </w:rPr>
              <w:lastRenderedPageBreak/>
              <w:t>Presse</w:t>
            </w:r>
          </w:p>
          <w:p>
            <w:pPr>
              <w:rPr>
                <w:sz w:val="22"/>
                <w:szCs w:val="22"/>
              </w:rPr>
            </w:pPr>
            <w:r>
              <w:rPr>
                <w:sz w:val="22"/>
                <w:szCs w:val="22"/>
              </w:rPr>
              <w:t>(Wenchel)</w:t>
            </w:r>
          </w:p>
          <w:p>
            <w:pPr>
              <w:rPr>
                <w:sz w:val="22"/>
                <w:szCs w:val="22"/>
              </w:rPr>
            </w:pPr>
          </w:p>
          <w:p>
            <w:pPr>
              <w:rPr>
                <w:sz w:val="22"/>
                <w:szCs w:val="22"/>
              </w:rPr>
            </w:pPr>
            <w:r>
              <w:rPr>
                <w:sz w:val="22"/>
                <w:szCs w:val="22"/>
              </w:rPr>
              <w:t>P1</w:t>
            </w:r>
          </w:p>
          <w:p>
            <w:pPr>
              <w:rPr>
                <w:sz w:val="22"/>
                <w:szCs w:val="22"/>
              </w:rPr>
            </w:pPr>
            <w:r>
              <w:rPr>
                <w:sz w:val="22"/>
                <w:szCs w:val="22"/>
              </w:rPr>
              <w:t>(Antao)</w:t>
            </w:r>
          </w:p>
          <w:p>
            <w:pPr>
              <w:rPr>
                <w:sz w:val="22"/>
                <w:szCs w:val="22"/>
              </w:rPr>
            </w:pPr>
          </w:p>
          <w:p>
            <w:pPr>
              <w:rPr>
                <w:sz w:val="22"/>
                <w:szCs w:val="22"/>
              </w:rPr>
            </w:pPr>
          </w:p>
          <w:p>
            <w:pPr>
              <w:rPr>
                <w:sz w:val="22"/>
                <w:szCs w:val="22"/>
              </w:rPr>
            </w:pPr>
            <w:r>
              <w:rPr>
                <w:sz w:val="22"/>
                <w:szCs w:val="22"/>
              </w:rPr>
              <w:t>FG14</w:t>
            </w:r>
          </w:p>
          <w:p>
            <w:pPr>
              <w:rPr>
                <w:sz w:val="22"/>
                <w:szCs w:val="22"/>
              </w:rPr>
            </w:pPr>
            <w:r>
              <w:rPr>
                <w:sz w:val="22"/>
                <w:szCs w:val="22"/>
              </w:rPr>
              <w:t>(Brunke)</w:t>
            </w:r>
          </w:p>
          <w:p>
            <w:pPr>
              <w:rPr>
                <w:sz w:val="22"/>
                <w:szCs w:val="22"/>
              </w:rPr>
            </w:pPr>
          </w:p>
          <w:p>
            <w:pPr>
              <w:rPr>
                <w:sz w:val="22"/>
                <w:szCs w:val="22"/>
              </w:rPr>
            </w:pPr>
          </w:p>
          <w:p>
            <w:pPr>
              <w:rPr>
                <w:sz w:val="22"/>
                <w:szCs w:val="22"/>
              </w:rPr>
            </w:pPr>
            <w:r>
              <w:rPr>
                <w:sz w:val="22"/>
                <w:szCs w:val="22"/>
              </w:rPr>
              <w:t>Abt.1</w:t>
            </w:r>
          </w:p>
          <w:p>
            <w:pPr>
              <w:rPr>
                <w:sz w:val="22"/>
                <w:szCs w:val="22"/>
              </w:rPr>
            </w:pPr>
            <w:r>
              <w:rPr>
                <w:sz w:val="22"/>
                <w:szCs w:val="22"/>
              </w:rPr>
              <w:t>(Mielke)</w:t>
            </w: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after="120" w:line="276" w:lineRule="auto"/>
              <w:ind w:left="340" w:hanging="340"/>
              <w:rPr>
                <w:i/>
                <w:sz w:val="22"/>
                <w:szCs w:val="22"/>
              </w:rPr>
            </w:pPr>
            <w:r>
              <w:rPr>
                <w:b/>
                <w:sz w:val="22"/>
              </w:rPr>
              <w:t>Allgemein</w:t>
            </w:r>
          </w:p>
          <w:p>
            <w:pPr>
              <w:pStyle w:val="Listenabsatz"/>
              <w:numPr>
                <w:ilvl w:val="0"/>
                <w:numId w:val="32"/>
              </w:numPr>
              <w:spacing w:after="120" w:line="276" w:lineRule="auto"/>
              <w:ind w:left="476"/>
              <w:rPr>
                <w:sz w:val="22"/>
                <w:szCs w:val="22"/>
              </w:rPr>
            </w:pPr>
            <w:r>
              <w:rPr>
                <w:sz w:val="22"/>
                <w:szCs w:val="22"/>
              </w:rPr>
              <w:t>Modellierungsstudie (mittwochs)</w:t>
            </w:r>
          </w:p>
          <w:p>
            <w:pPr>
              <w:pStyle w:val="Listenabsatz"/>
              <w:spacing w:after="120" w:line="276" w:lineRule="auto"/>
              <w:ind w:left="476"/>
              <w:rPr>
                <w:sz w:val="22"/>
                <w:szCs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32"/>
              </w:numPr>
              <w:spacing w:after="120" w:line="276" w:lineRule="auto"/>
              <w:ind w:left="476"/>
              <w:rPr>
                <w:sz w:val="22"/>
                <w:szCs w:val="22"/>
              </w:rPr>
            </w:pPr>
            <w:r>
              <w:rPr>
                <w:sz w:val="22"/>
                <w:szCs w:val="22"/>
              </w:rPr>
              <w:t xml:space="preserve">Fortsetzung Diskussion zu Testung und diesbezüglicher Kommunikation: siehe nachfolgender Punkt </w:t>
            </w:r>
          </w:p>
          <w:p>
            <w:pPr>
              <w:spacing w:after="120" w:line="276" w:lineRule="auto"/>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spacing w:after="120"/>
              <w:rPr>
                <w:sz w:val="22"/>
                <w:szCs w:val="22"/>
              </w:rPr>
            </w:pPr>
            <w:bookmarkStart w:id="5" w:name="_Hlk63597240"/>
            <w:r>
              <w:rPr>
                <w:b/>
                <w:sz w:val="22"/>
                <w:szCs w:val="22"/>
              </w:rPr>
              <w:t xml:space="preserve">Behebung Logikfehler im Flussschema für Ärzte </w:t>
            </w:r>
            <w:r>
              <w:rPr>
                <w:sz w:val="22"/>
                <w:szCs w:val="22"/>
              </w:rPr>
              <w:t>(ID 107_4)</w:t>
            </w:r>
          </w:p>
          <w:bookmarkEnd w:id="5"/>
          <w:p>
            <w:pPr>
              <w:pStyle w:val="Listenabsatz"/>
              <w:numPr>
                <w:ilvl w:val="0"/>
                <w:numId w:val="5"/>
              </w:numPr>
              <w:spacing w:after="120"/>
              <w:ind w:left="453" w:hanging="340"/>
              <w:rPr>
                <w:sz w:val="22"/>
                <w:szCs w:val="22"/>
              </w:rPr>
            </w:pPr>
            <w:r>
              <w:rPr>
                <w:sz w:val="22"/>
                <w:szCs w:val="22"/>
              </w:rPr>
              <w:t>Problem: Handlungskonsequenz nicht eindeutig (Änderungen ggf. auch im Begleittext anzupassen)</w:t>
            </w:r>
          </w:p>
          <w:p>
            <w:pPr>
              <w:pStyle w:val="Listenabsatz"/>
              <w:numPr>
                <w:ilvl w:val="0"/>
                <w:numId w:val="5"/>
              </w:numPr>
              <w:spacing w:after="120"/>
              <w:ind w:left="453" w:hanging="340"/>
              <w:rPr>
                <w:sz w:val="22"/>
                <w:szCs w:val="22"/>
              </w:rPr>
            </w:pPr>
            <w:r>
              <w:rPr>
                <w:sz w:val="22"/>
                <w:szCs w:val="22"/>
              </w:rPr>
              <w:t xml:space="preserve">Gabelung: </w:t>
            </w:r>
          </w:p>
          <w:p>
            <w:pPr>
              <w:pStyle w:val="Listenabsatz"/>
              <w:numPr>
                <w:ilvl w:val="1"/>
                <w:numId w:val="5"/>
              </w:numPr>
              <w:spacing w:after="120"/>
              <w:ind w:left="1183" w:hanging="284"/>
              <w:rPr>
                <w:sz w:val="22"/>
                <w:szCs w:val="22"/>
              </w:rPr>
            </w:pPr>
            <w:r>
              <w:rPr>
                <w:sz w:val="22"/>
                <w:szCs w:val="22"/>
              </w:rPr>
              <w:t>Alt: „Testkriterien nicht erfüllt, keine SARS-CoV-2-Testung“</w:t>
            </w:r>
          </w:p>
          <w:p>
            <w:pPr>
              <w:pStyle w:val="Listenabsatz"/>
              <w:numPr>
                <w:ilvl w:val="1"/>
                <w:numId w:val="5"/>
              </w:numPr>
              <w:spacing w:after="120"/>
              <w:ind w:left="1183" w:hanging="284"/>
              <w:rPr>
                <w:sz w:val="22"/>
                <w:szCs w:val="22"/>
              </w:rPr>
            </w:pPr>
            <w:r>
              <w:rPr>
                <w:sz w:val="22"/>
                <w:szCs w:val="22"/>
              </w:rPr>
              <w:t xml:space="preserve">Neu: statt Komma „oder“ </w:t>
            </w:r>
          </w:p>
          <w:p>
            <w:pPr>
              <w:pStyle w:val="Listenabsatz"/>
              <w:numPr>
                <w:ilvl w:val="1"/>
                <w:numId w:val="5"/>
              </w:numPr>
              <w:spacing w:after="120"/>
              <w:ind w:left="1183" w:hanging="284"/>
              <w:rPr>
                <w:sz w:val="22"/>
                <w:szCs w:val="22"/>
              </w:rPr>
            </w:pPr>
            <w:r>
              <w:rPr>
                <w:sz w:val="22"/>
                <w:szCs w:val="22"/>
              </w:rPr>
              <w:t xml:space="preserve">Vorteil: bezieht sich somit auf Personen, die die Kriterien nicht erfüllen aber auch diejenigen, die aus </w:t>
            </w:r>
            <w:proofErr w:type="spellStart"/>
            <w:r>
              <w:rPr>
                <w:sz w:val="22"/>
                <w:szCs w:val="22"/>
              </w:rPr>
              <w:t>ander-weitigen</w:t>
            </w:r>
            <w:proofErr w:type="spellEnd"/>
            <w:r>
              <w:rPr>
                <w:sz w:val="22"/>
                <w:szCs w:val="22"/>
              </w:rPr>
              <w:t xml:space="preserve"> Gründen nicht getestet werden – klarer formuliert und lässt beide Möglichkeiten offen</w:t>
            </w:r>
          </w:p>
          <w:p>
            <w:pPr>
              <w:pStyle w:val="Listenabsatz"/>
              <w:numPr>
                <w:ilvl w:val="0"/>
                <w:numId w:val="5"/>
              </w:numPr>
              <w:spacing w:after="120"/>
              <w:ind w:left="453" w:hanging="340"/>
              <w:rPr>
                <w:sz w:val="22"/>
                <w:szCs w:val="22"/>
              </w:rPr>
            </w:pPr>
            <w:r>
              <w:rPr>
                <w:sz w:val="22"/>
                <w:szCs w:val="22"/>
              </w:rPr>
              <w:t xml:space="preserve">Box: Überschrift und </w:t>
            </w:r>
            <w:proofErr w:type="spellStart"/>
            <w:r>
              <w:rPr>
                <w:sz w:val="22"/>
                <w:szCs w:val="22"/>
              </w:rPr>
              <w:t>Subtitel</w:t>
            </w:r>
            <w:proofErr w:type="spellEnd"/>
            <w:r>
              <w:rPr>
                <w:sz w:val="22"/>
                <w:szCs w:val="22"/>
              </w:rPr>
              <w:t xml:space="preserve"> - ALT: </w:t>
            </w:r>
          </w:p>
          <w:p>
            <w:pPr>
              <w:pStyle w:val="Listenabsatz"/>
              <w:numPr>
                <w:ilvl w:val="1"/>
                <w:numId w:val="5"/>
              </w:numPr>
              <w:spacing w:after="120"/>
              <w:ind w:left="1183" w:hanging="284"/>
              <w:rPr>
                <w:sz w:val="22"/>
                <w:szCs w:val="22"/>
              </w:rPr>
            </w:pPr>
            <w:r>
              <w:rPr>
                <w:sz w:val="22"/>
                <w:szCs w:val="22"/>
              </w:rPr>
              <w:t>Titel: „Maßnahmen bei sonstigen akuten respiratorischen Symptomen“</w:t>
            </w:r>
          </w:p>
          <w:p>
            <w:pPr>
              <w:pStyle w:val="Listenabsatz"/>
              <w:numPr>
                <w:ilvl w:val="1"/>
                <w:numId w:val="5"/>
              </w:numPr>
              <w:spacing w:after="120"/>
              <w:ind w:left="1183" w:hanging="284"/>
              <w:rPr>
                <w:sz w:val="22"/>
                <w:szCs w:val="22"/>
              </w:rPr>
            </w:pPr>
            <w:proofErr w:type="spellStart"/>
            <w:r>
              <w:rPr>
                <w:sz w:val="22"/>
                <w:szCs w:val="22"/>
              </w:rPr>
              <w:t>Subtitel</w:t>
            </w:r>
            <w:proofErr w:type="spellEnd"/>
            <w:r>
              <w:rPr>
                <w:sz w:val="22"/>
                <w:szCs w:val="22"/>
              </w:rPr>
              <w:t>: „Zur Verhinderung von Übertragungen an Dritte, falls eine COVID-19-Erkrankung vorliegt“</w:t>
            </w:r>
          </w:p>
          <w:p>
            <w:pPr>
              <w:pStyle w:val="Listenabsatz"/>
              <w:numPr>
                <w:ilvl w:val="0"/>
                <w:numId w:val="5"/>
              </w:numPr>
              <w:spacing w:after="120"/>
              <w:ind w:left="453" w:hanging="340"/>
              <w:rPr>
                <w:sz w:val="22"/>
                <w:szCs w:val="22"/>
              </w:rPr>
            </w:pPr>
            <w:r>
              <w:rPr>
                <w:sz w:val="22"/>
                <w:szCs w:val="22"/>
              </w:rPr>
              <w:t xml:space="preserve">Box: Überschrift und </w:t>
            </w:r>
            <w:proofErr w:type="spellStart"/>
            <w:r>
              <w:rPr>
                <w:sz w:val="22"/>
                <w:szCs w:val="22"/>
              </w:rPr>
              <w:t>Subtitel</w:t>
            </w:r>
            <w:proofErr w:type="spellEnd"/>
            <w:r>
              <w:rPr>
                <w:sz w:val="22"/>
                <w:szCs w:val="22"/>
              </w:rPr>
              <w:t xml:space="preserve"> - NEU:</w:t>
            </w:r>
          </w:p>
          <w:p>
            <w:pPr>
              <w:pStyle w:val="Listenabsatz"/>
              <w:numPr>
                <w:ilvl w:val="1"/>
                <w:numId w:val="5"/>
              </w:numPr>
              <w:spacing w:after="120"/>
              <w:ind w:left="1183" w:hanging="284"/>
              <w:rPr>
                <w:sz w:val="22"/>
                <w:szCs w:val="22"/>
              </w:rPr>
            </w:pPr>
            <w:r>
              <w:rPr>
                <w:sz w:val="22"/>
                <w:szCs w:val="22"/>
              </w:rPr>
              <w:t xml:space="preserve">Titel: "Maßnahmen zur Verhinderung von Übertragungen </w:t>
            </w:r>
            <w:r>
              <w:rPr>
                <w:strike/>
                <w:sz w:val="22"/>
                <w:szCs w:val="22"/>
              </w:rPr>
              <w:t>an Dritte</w:t>
            </w:r>
            <w:r>
              <w:rPr>
                <w:sz w:val="22"/>
                <w:szCs w:val="22"/>
              </w:rPr>
              <w:t xml:space="preserve">, </w:t>
            </w:r>
            <w:r>
              <w:rPr>
                <w:i/>
                <w:sz w:val="22"/>
                <w:szCs w:val="22"/>
              </w:rPr>
              <w:t>z.B. bei atypischen Symptomen</w:t>
            </w:r>
            <w:r>
              <w:rPr>
                <w:sz w:val="22"/>
                <w:szCs w:val="22"/>
              </w:rPr>
              <w:t xml:space="preserve"> </w:t>
            </w:r>
            <w:r>
              <w:rPr>
                <w:strike/>
                <w:sz w:val="22"/>
                <w:szCs w:val="22"/>
              </w:rPr>
              <w:t>falls eine unerkannte COVID-19-Erkrankung vorliegt</w:t>
            </w:r>
            <w:r>
              <w:rPr>
                <w:sz w:val="22"/>
                <w:szCs w:val="22"/>
              </w:rPr>
              <w:t xml:space="preserve">" </w:t>
            </w:r>
          </w:p>
          <w:p>
            <w:pPr>
              <w:pStyle w:val="Listenabsatz"/>
              <w:numPr>
                <w:ilvl w:val="1"/>
                <w:numId w:val="5"/>
              </w:numPr>
              <w:spacing w:after="120"/>
              <w:ind w:left="1183" w:hanging="284"/>
              <w:rPr>
                <w:sz w:val="22"/>
                <w:szCs w:val="22"/>
              </w:rPr>
            </w:pPr>
            <w:proofErr w:type="spellStart"/>
            <w:r>
              <w:rPr>
                <w:sz w:val="22"/>
                <w:szCs w:val="22"/>
              </w:rPr>
              <w:lastRenderedPageBreak/>
              <w:t>Subtitel</w:t>
            </w:r>
            <w:proofErr w:type="spellEnd"/>
            <w:r>
              <w:rPr>
                <w:sz w:val="22"/>
                <w:szCs w:val="22"/>
              </w:rPr>
              <w:t xml:space="preserve"> </w:t>
            </w:r>
            <w:r>
              <w:rPr>
                <w:strike/>
                <w:sz w:val="22"/>
                <w:szCs w:val="22"/>
              </w:rPr>
              <w:t>„Zur Verhinderung von Übertragungen an Dritte, falls eine COVID-19-Erkrankung vorliegt“</w:t>
            </w:r>
            <w:r>
              <w:rPr>
                <w:sz w:val="22"/>
                <w:szCs w:val="22"/>
              </w:rPr>
              <w:t xml:space="preserve"> (entfällt, nun in Titel integriert)</w:t>
            </w:r>
          </w:p>
          <w:p>
            <w:pPr>
              <w:pStyle w:val="Listenabsatz"/>
              <w:numPr>
                <w:ilvl w:val="1"/>
                <w:numId w:val="5"/>
              </w:numPr>
              <w:spacing w:after="120"/>
              <w:ind w:left="1183" w:hanging="284"/>
              <w:rPr>
                <w:sz w:val="22"/>
                <w:szCs w:val="22"/>
              </w:rPr>
            </w:pPr>
            <w:r>
              <w:rPr>
                <w:sz w:val="22"/>
                <w:szCs w:val="22"/>
              </w:rPr>
              <w:t>Diskutierte Alternativen hier:</w:t>
            </w:r>
          </w:p>
          <w:p>
            <w:pPr>
              <w:pStyle w:val="Listenabsatz"/>
              <w:numPr>
                <w:ilvl w:val="2"/>
                <w:numId w:val="5"/>
              </w:numPr>
              <w:spacing w:after="120"/>
              <w:ind w:left="1892" w:hanging="284"/>
              <w:rPr>
                <w:sz w:val="22"/>
                <w:szCs w:val="22"/>
              </w:rPr>
            </w:pPr>
            <w:r>
              <w:rPr>
                <w:sz w:val="22"/>
                <w:szCs w:val="22"/>
              </w:rPr>
              <w:t xml:space="preserve">„unerkannt“ </w:t>
            </w:r>
          </w:p>
          <w:p>
            <w:pPr>
              <w:pStyle w:val="Listenabsatz"/>
              <w:numPr>
                <w:ilvl w:val="2"/>
                <w:numId w:val="5"/>
              </w:numPr>
              <w:spacing w:after="120"/>
              <w:ind w:left="1892" w:hanging="284"/>
              <w:rPr>
                <w:sz w:val="22"/>
                <w:szCs w:val="22"/>
              </w:rPr>
            </w:pPr>
            <w:r>
              <w:rPr>
                <w:sz w:val="22"/>
                <w:szCs w:val="22"/>
              </w:rPr>
              <w:t xml:space="preserve">„bei anhaltendem“ </w:t>
            </w:r>
          </w:p>
          <w:p>
            <w:pPr>
              <w:pStyle w:val="Listenabsatz"/>
              <w:numPr>
                <w:ilvl w:val="2"/>
                <w:numId w:val="5"/>
              </w:numPr>
              <w:spacing w:after="120"/>
              <w:ind w:left="1892" w:hanging="284"/>
              <w:rPr>
                <w:sz w:val="22"/>
                <w:szCs w:val="22"/>
              </w:rPr>
            </w:pPr>
            <w:r>
              <w:rPr>
                <w:sz w:val="22"/>
                <w:szCs w:val="22"/>
              </w:rPr>
              <w:t xml:space="preserve">„bei bestehendem COVID-19-Verdacht“ </w:t>
            </w:r>
          </w:p>
          <w:p>
            <w:pPr>
              <w:pStyle w:val="Listenabsatz"/>
              <w:numPr>
                <w:ilvl w:val="2"/>
                <w:numId w:val="5"/>
              </w:numPr>
              <w:spacing w:after="120"/>
              <w:ind w:left="1892" w:hanging="284"/>
              <w:rPr>
                <w:sz w:val="22"/>
                <w:szCs w:val="22"/>
              </w:rPr>
            </w:pPr>
            <w:r>
              <w:rPr>
                <w:sz w:val="22"/>
                <w:szCs w:val="22"/>
              </w:rPr>
              <w:t>Jeweils problematisch, da Definition Rückfragen aufwerfen könnte</w:t>
            </w:r>
          </w:p>
          <w:p>
            <w:pPr>
              <w:pStyle w:val="Listenabsatz"/>
              <w:numPr>
                <w:ilvl w:val="0"/>
                <w:numId w:val="5"/>
              </w:numPr>
              <w:spacing w:after="120"/>
              <w:ind w:left="453" w:hanging="340"/>
              <w:rPr>
                <w:sz w:val="22"/>
                <w:szCs w:val="22"/>
              </w:rPr>
            </w:pPr>
            <w:r>
              <w:rPr>
                <w:sz w:val="22"/>
                <w:szCs w:val="22"/>
              </w:rPr>
              <w:t>Möglichst geringinvasive Änderung basierend auf dem Vorschlag von Herrn Haas von Donnerstagabend</w:t>
            </w:r>
          </w:p>
          <w:p>
            <w:pPr>
              <w:spacing w:after="120"/>
              <w:rPr>
                <w:i/>
                <w:sz w:val="22"/>
                <w:szCs w:val="22"/>
              </w:rPr>
            </w:pPr>
            <w:bookmarkStart w:id="6" w:name="_Hlk63597252"/>
            <w:commentRangeStart w:id="7"/>
            <w:proofErr w:type="spellStart"/>
            <w:r>
              <w:rPr>
                <w:i/>
                <w:sz w:val="22"/>
                <w:szCs w:val="22"/>
              </w:rPr>
              <w:t>ToDo</w:t>
            </w:r>
            <w:proofErr w:type="spellEnd"/>
            <w:r>
              <w:rPr>
                <w:i/>
                <w:sz w:val="22"/>
                <w:szCs w:val="22"/>
              </w:rPr>
              <w:t>: sprachliche Überarbeitung in Abstimmung mit IBBS, Herrn Mielke und Herrn Haas, finale Sichtung am Montag mit nachfolgender Veröffentlichung</w:t>
            </w:r>
            <w:commentRangeEnd w:id="7"/>
            <w:r>
              <w:rPr>
                <w:rStyle w:val="Kommentarzeichen"/>
                <w:rFonts w:ascii="Scala Sans OT" w:hAnsi="Scala Sans OT"/>
                <w:lang w:eastAsia="de-DE"/>
              </w:rPr>
              <w:commentReference w:id="7"/>
            </w:r>
            <w:bookmarkEnd w:id="6"/>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roofErr w:type="spellStart"/>
            <w:r>
              <w:rPr>
                <w:sz w:val="22"/>
                <w:szCs w:val="22"/>
              </w:rPr>
              <w:t>VPräs</w:t>
            </w:r>
            <w:proofErr w:type="spellEnd"/>
          </w:p>
          <w:p>
            <w:pPr>
              <w:rPr>
                <w:sz w:val="22"/>
                <w:szCs w:val="22"/>
              </w:rPr>
            </w:pPr>
            <w:r>
              <w:rPr>
                <w:sz w:val="22"/>
                <w:szCs w:val="22"/>
              </w:rPr>
              <w:t>Abt.1</w:t>
            </w:r>
          </w:p>
          <w:p>
            <w:pPr>
              <w:rPr>
                <w:sz w:val="22"/>
                <w:szCs w:val="22"/>
              </w:rPr>
            </w:pPr>
            <w:r>
              <w:rPr>
                <w:sz w:val="22"/>
                <w:szCs w:val="22"/>
              </w:rPr>
              <w:t>(Mielke)</w:t>
            </w:r>
          </w:p>
          <w:p>
            <w:pPr>
              <w:rPr>
                <w:sz w:val="22"/>
                <w:szCs w:val="22"/>
              </w:rPr>
            </w:pPr>
            <w:r>
              <w:rPr>
                <w:sz w:val="22"/>
                <w:szCs w:val="22"/>
              </w:rPr>
              <w:t>IBBS</w:t>
            </w:r>
          </w:p>
          <w:p>
            <w:pPr>
              <w:rPr>
                <w:sz w:val="22"/>
                <w:szCs w:val="22"/>
              </w:rPr>
            </w:pPr>
            <w:r>
              <w:rPr>
                <w:sz w:val="22"/>
                <w:szCs w:val="22"/>
              </w:rPr>
              <w:t>(Herzog)</w:t>
            </w:r>
          </w:p>
          <w:p>
            <w:pPr>
              <w:rPr>
                <w:sz w:val="22"/>
                <w:szCs w:val="22"/>
              </w:rPr>
            </w:pPr>
            <w:r>
              <w:rPr>
                <w:sz w:val="22"/>
                <w:szCs w:val="22"/>
              </w:rPr>
              <w:t>FG36</w:t>
            </w:r>
          </w:p>
          <w:p>
            <w:pPr>
              <w:rPr>
                <w:sz w:val="22"/>
                <w:szCs w:val="22"/>
              </w:rPr>
            </w:pPr>
            <w:r>
              <w:rPr>
                <w:sz w:val="22"/>
                <w:szCs w:val="22"/>
              </w:rPr>
              <w:t>(Buda, Haas)</w:t>
            </w: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spacing w:after="120"/>
              <w:ind w:left="453" w:hanging="340"/>
              <w:rPr>
                <w:sz w:val="22"/>
                <w:szCs w:val="22"/>
              </w:rPr>
            </w:pPr>
            <w:r>
              <w:rPr>
                <w:sz w:val="22"/>
                <w:szCs w:val="22"/>
              </w:rPr>
              <w:t>In Altersheimen derzeit insgesamt ca. 620.000 Impfdosen verabreicht, somit ca. 60 % dieser Personengruppe mit mind. erster Dosis geimpft</w:t>
            </w:r>
          </w:p>
          <w:p>
            <w:pPr>
              <w:pStyle w:val="Listenabsatz"/>
              <w:numPr>
                <w:ilvl w:val="0"/>
                <w:numId w:val="5"/>
              </w:numPr>
              <w:spacing w:after="120"/>
              <w:ind w:left="453" w:hanging="340"/>
              <w:rPr>
                <w:sz w:val="22"/>
                <w:szCs w:val="22"/>
              </w:rPr>
            </w:pPr>
            <w:r>
              <w:rPr>
                <w:sz w:val="22"/>
                <w:szCs w:val="22"/>
              </w:rPr>
              <w:t>Erste Daten aus Israel: nach erster Dosis bis Tag 14 kein signifikanter Effekt, danach starker Anstieg auf bis zu 90 % –Zeitverzug bis zum „Wirkungseintritt“ kann Berichte von Ausbrüchen im Anschluss an eine Impfung erklären</w:t>
            </w:r>
          </w:p>
          <w:p>
            <w:pPr>
              <w:pStyle w:val="Listenabsatz"/>
              <w:numPr>
                <w:ilvl w:val="0"/>
                <w:numId w:val="5"/>
              </w:numPr>
              <w:spacing w:after="120"/>
              <w:ind w:left="453" w:hanging="340"/>
              <w:rPr>
                <w:sz w:val="22"/>
                <w:szCs w:val="22"/>
              </w:rPr>
            </w:pPr>
            <w:r>
              <w:rPr>
                <w:sz w:val="22"/>
                <w:szCs w:val="22"/>
              </w:rPr>
              <w:t>Neue Phase-3-Studien auch zu Sputnik V publiziert: heterologer prime-boost-Impfstoff mit zwei verschiedenen Vektoren, zeigt gute Ergebnisse</w:t>
            </w:r>
          </w:p>
          <w:p>
            <w:pPr>
              <w:pStyle w:val="Listenabsatz"/>
              <w:numPr>
                <w:ilvl w:val="0"/>
                <w:numId w:val="5"/>
              </w:numPr>
              <w:spacing w:after="120"/>
              <w:ind w:left="453" w:hanging="340"/>
              <w:rPr>
                <w:sz w:val="22"/>
                <w:szCs w:val="22"/>
              </w:rPr>
            </w:pPr>
            <w:r>
              <w:rPr>
                <w:sz w:val="22"/>
                <w:szCs w:val="22"/>
              </w:rPr>
              <w:t xml:space="preserve">Studien zu </w:t>
            </w:r>
            <w:proofErr w:type="spellStart"/>
            <w:r>
              <w:rPr>
                <w:sz w:val="22"/>
                <w:szCs w:val="22"/>
              </w:rPr>
              <w:t>Novavax</w:t>
            </w:r>
            <w:proofErr w:type="spellEnd"/>
            <w:r>
              <w:rPr>
                <w:sz w:val="22"/>
                <w:szCs w:val="22"/>
              </w:rPr>
              <w:t xml:space="preserve"> und J&amp;J-Impfstoffen noch nicht peer-</w:t>
            </w:r>
            <w:proofErr w:type="spellStart"/>
            <w:r>
              <w:rPr>
                <w:sz w:val="22"/>
                <w:szCs w:val="22"/>
              </w:rPr>
              <w:t>reviewed</w:t>
            </w:r>
            <w:proofErr w:type="spellEnd"/>
            <w:r>
              <w:rPr>
                <w:sz w:val="22"/>
                <w:szCs w:val="22"/>
              </w:rPr>
              <w:t xml:space="preserve"> </w:t>
            </w:r>
          </w:p>
          <w:p>
            <w:pPr>
              <w:pStyle w:val="Listenabsatz"/>
              <w:numPr>
                <w:ilvl w:val="0"/>
                <w:numId w:val="5"/>
              </w:numPr>
              <w:spacing w:after="120"/>
              <w:ind w:left="453" w:hanging="340"/>
              <w:rPr>
                <w:sz w:val="22"/>
                <w:szCs w:val="22"/>
              </w:rPr>
            </w:pPr>
            <w:r>
              <w:rPr>
                <w:sz w:val="22"/>
                <w:szCs w:val="22"/>
              </w:rPr>
              <w:t xml:space="preserve">STIKO wird im Anschluss an die Empfehlung zum Astra </w:t>
            </w:r>
            <w:proofErr w:type="spellStart"/>
            <w:r>
              <w:rPr>
                <w:sz w:val="22"/>
                <w:szCs w:val="22"/>
              </w:rPr>
              <w:t>Zeneca</w:t>
            </w:r>
            <w:proofErr w:type="spellEnd"/>
            <w:r>
              <w:rPr>
                <w:sz w:val="22"/>
                <w:szCs w:val="22"/>
              </w:rPr>
              <w:t>-Impfstoff eine Empfehlung für den J&amp;J-Impfstoff vorbereiten</w:t>
            </w:r>
          </w:p>
          <w:p>
            <w:pPr>
              <w:pStyle w:val="Listenabsatz"/>
              <w:numPr>
                <w:ilvl w:val="0"/>
                <w:numId w:val="5"/>
              </w:numPr>
              <w:spacing w:after="120"/>
              <w:ind w:left="453" w:hanging="340"/>
              <w:rPr>
                <w:sz w:val="22"/>
                <w:szCs w:val="22"/>
              </w:rPr>
            </w:pPr>
            <w:r>
              <w:rPr>
                <w:sz w:val="22"/>
                <w:szCs w:val="22"/>
              </w:rPr>
              <w:t xml:space="preserve">Aktuell viele Anfragen zur Empfehlung des Astra </w:t>
            </w:r>
            <w:proofErr w:type="spellStart"/>
            <w:r>
              <w:rPr>
                <w:sz w:val="22"/>
                <w:szCs w:val="22"/>
              </w:rPr>
              <w:t>Zeneca</w:t>
            </w:r>
            <w:proofErr w:type="spellEnd"/>
            <w:r>
              <w:rPr>
                <w:sz w:val="22"/>
                <w:szCs w:val="22"/>
              </w:rPr>
              <w:t>-Impfstoffes: FAQ dazu wird erstellt, Kommunikation des BMG sollte jedoch etwas gebremst werden, da bei diesem Impfstoff durchaus gewisse Unterschiede vorliegen</w:t>
            </w:r>
          </w:p>
          <w:p>
            <w:pPr>
              <w:pStyle w:val="Listenabsatz"/>
              <w:numPr>
                <w:ilvl w:val="0"/>
                <w:numId w:val="5"/>
              </w:numPr>
              <w:spacing w:after="120"/>
              <w:ind w:left="453" w:hanging="340"/>
              <w:rPr>
                <w:sz w:val="22"/>
                <w:szCs w:val="22"/>
              </w:rPr>
            </w:pPr>
            <w:r>
              <w:rPr>
                <w:sz w:val="22"/>
                <w:szCs w:val="22"/>
              </w:rPr>
              <w:t>FG 33 wurde in Literaturscreening zu Wirksamkeit der Impfstoffe hinsichtlich VOC miteinbezogen, FAQs werden dazu erstellt, ggf. mit anderen FGs abzustimmen</w:t>
            </w:r>
          </w:p>
          <w:p>
            <w:pPr>
              <w:pStyle w:val="Listenabsatz"/>
              <w:numPr>
                <w:ilvl w:val="0"/>
                <w:numId w:val="5"/>
              </w:numPr>
              <w:spacing w:after="120"/>
              <w:ind w:left="453" w:hanging="340"/>
              <w:rPr>
                <w:sz w:val="22"/>
                <w:szCs w:val="22"/>
              </w:rPr>
            </w:pPr>
            <w:r>
              <w:rPr>
                <w:sz w:val="22"/>
                <w:szCs w:val="22"/>
              </w:rPr>
              <w:t xml:space="preserve">Publikation zu Astra </w:t>
            </w:r>
            <w:proofErr w:type="spellStart"/>
            <w:r>
              <w:rPr>
                <w:sz w:val="22"/>
                <w:szCs w:val="22"/>
              </w:rPr>
              <w:t>Zeneca</w:t>
            </w:r>
            <w:proofErr w:type="spellEnd"/>
            <w:r>
              <w:rPr>
                <w:sz w:val="22"/>
                <w:szCs w:val="22"/>
              </w:rPr>
              <w:t>-Impfstoff von letzter Woche: Schwierigkeit der Interpretation der nicht ganz optimal durchgeführten Studie</w:t>
            </w:r>
          </w:p>
          <w:p>
            <w:pPr>
              <w:pStyle w:val="Listenabsatz"/>
              <w:numPr>
                <w:ilvl w:val="0"/>
                <w:numId w:val="5"/>
              </w:numPr>
              <w:spacing w:after="120"/>
              <w:ind w:left="453" w:hanging="340"/>
              <w:rPr>
                <w:sz w:val="22"/>
                <w:szCs w:val="22"/>
              </w:rPr>
            </w:pPr>
            <w:r>
              <w:rPr>
                <w:sz w:val="22"/>
                <w:szCs w:val="22"/>
              </w:rPr>
              <w:t xml:space="preserve">Astra </w:t>
            </w:r>
            <w:proofErr w:type="spellStart"/>
            <w:r>
              <w:rPr>
                <w:sz w:val="22"/>
                <w:szCs w:val="22"/>
              </w:rPr>
              <w:t>Zeneca</w:t>
            </w:r>
            <w:proofErr w:type="spellEnd"/>
            <w:r>
              <w:rPr>
                <w:sz w:val="22"/>
                <w:szCs w:val="22"/>
              </w:rPr>
              <w:t xml:space="preserve">: Effekt auf asymptomatische Situation in nur 10 % der Fälle </w:t>
            </w:r>
            <w:r>
              <w:rPr>
                <w:sz w:val="22"/>
                <w:szCs w:val="22"/>
              </w:rPr>
              <w:sym w:font="Wingdings" w:char="F0E0"/>
            </w:r>
            <w:r>
              <w:rPr>
                <w:sz w:val="22"/>
                <w:szCs w:val="22"/>
              </w:rPr>
              <w:t xml:space="preserve"> im Trial wurde aber </w:t>
            </w:r>
            <w:proofErr w:type="spellStart"/>
            <w:r>
              <w:rPr>
                <w:sz w:val="22"/>
                <w:szCs w:val="22"/>
              </w:rPr>
              <w:t>Gesamtprositivenrate</w:t>
            </w:r>
            <w:proofErr w:type="spellEnd"/>
            <w:r>
              <w:rPr>
                <w:sz w:val="22"/>
                <w:szCs w:val="22"/>
              </w:rPr>
              <w:t xml:space="preserve"> auf 50 % reduziert </w:t>
            </w:r>
            <w:r>
              <w:rPr>
                <w:sz w:val="22"/>
                <w:szCs w:val="22"/>
              </w:rPr>
              <w:sym w:font="Wingdings" w:char="F0E0"/>
            </w:r>
            <w:r>
              <w:rPr>
                <w:sz w:val="22"/>
                <w:szCs w:val="22"/>
              </w:rPr>
              <w:t xml:space="preserve"> Effekt auf Transmission, Effekt der Verhinderung schwerer Verläufe </w:t>
            </w:r>
            <w:r>
              <w:rPr>
                <w:sz w:val="22"/>
                <w:szCs w:val="22"/>
              </w:rPr>
              <w:sym w:font="Wingdings" w:char="F0E0"/>
            </w:r>
            <w:r>
              <w:rPr>
                <w:sz w:val="22"/>
                <w:szCs w:val="22"/>
              </w:rPr>
              <w:t xml:space="preserve"> es sollte nicht nur die asymptomatische Situation als Bewertungskriterium herangezogen werden</w:t>
            </w:r>
          </w:p>
          <w:p>
            <w:pPr>
              <w:pStyle w:val="Listenabsatz"/>
              <w:numPr>
                <w:ilvl w:val="0"/>
                <w:numId w:val="5"/>
              </w:numPr>
              <w:spacing w:after="120"/>
              <w:ind w:left="453" w:hanging="340"/>
              <w:rPr>
                <w:sz w:val="22"/>
                <w:szCs w:val="22"/>
              </w:rPr>
            </w:pPr>
            <w:r>
              <w:rPr>
                <w:sz w:val="22"/>
                <w:szCs w:val="22"/>
              </w:rPr>
              <w:t xml:space="preserve">Umgang mit Genesenen hinsichtlich Impfung: </w:t>
            </w:r>
          </w:p>
          <w:p>
            <w:pPr>
              <w:pStyle w:val="Listenabsatz"/>
              <w:numPr>
                <w:ilvl w:val="1"/>
                <w:numId w:val="5"/>
              </w:numPr>
              <w:spacing w:after="120"/>
              <w:ind w:left="1041" w:hanging="283"/>
              <w:rPr>
                <w:sz w:val="22"/>
                <w:szCs w:val="22"/>
              </w:rPr>
            </w:pPr>
            <w:r>
              <w:rPr>
                <w:sz w:val="22"/>
                <w:szCs w:val="22"/>
              </w:rPr>
              <w:t>AG-Test im Vorfeld laut Modellierungen zu aufwendig und Ressourcen-verbrauchend</w:t>
            </w:r>
          </w:p>
          <w:p>
            <w:pPr>
              <w:pStyle w:val="Listenabsatz"/>
              <w:numPr>
                <w:ilvl w:val="1"/>
                <w:numId w:val="5"/>
              </w:numPr>
              <w:spacing w:after="120"/>
              <w:ind w:left="1041" w:hanging="283"/>
              <w:rPr>
                <w:sz w:val="22"/>
                <w:szCs w:val="22"/>
              </w:rPr>
            </w:pPr>
            <w:r>
              <w:rPr>
                <w:sz w:val="22"/>
                <w:szCs w:val="22"/>
              </w:rPr>
              <w:t xml:space="preserve">Laut STIKO Erhebung des </w:t>
            </w:r>
            <w:proofErr w:type="spellStart"/>
            <w:r>
              <w:rPr>
                <w:sz w:val="22"/>
                <w:szCs w:val="22"/>
              </w:rPr>
              <w:t>Serostatus</w:t>
            </w:r>
            <w:proofErr w:type="spellEnd"/>
            <w:r>
              <w:rPr>
                <w:sz w:val="22"/>
                <w:szCs w:val="22"/>
              </w:rPr>
              <w:t xml:space="preserve"> und des Ausschlusses einer asymptomatischen Situation nicht erforderlich</w:t>
            </w:r>
          </w:p>
          <w:p>
            <w:pPr>
              <w:pStyle w:val="Listenabsatz"/>
              <w:numPr>
                <w:ilvl w:val="1"/>
                <w:numId w:val="5"/>
              </w:numPr>
              <w:spacing w:after="120"/>
              <w:ind w:left="1041" w:hanging="283"/>
              <w:rPr>
                <w:sz w:val="22"/>
                <w:szCs w:val="22"/>
              </w:rPr>
            </w:pPr>
            <w:r>
              <w:rPr>
                <w:sz w:val="22"/>
                <w:szCs w:val="22"/>
              </w:rPr>
              <w:t>STIKO sieht keine Sicherheitsbedenken der Impfung von Genesenen</w:t>
            </w:r>
          </w:p>
          <w:p>
            <w:pPr>
              <w:pStyle w:val="Listenabsatz"/>
              <w:numPr>
                <w:ilvl w:val="1"/>
                <w:numId w:val="5"/>
              </w:numPr>
              <w:spacing w:after="120"/>
              <w:ind w:left="1041" w:hanging="283"/>
              <w:rPr>
                <w:sz w:val="22"/>
                <w:szCs w:val="22"/>
              </w:rPr>
            </w:pPr>
            <w:r>
              <w:rPr>
                <w:sz w:val="22"/>
                <w:szCs w:val="22"/>
              </w:rPr>
              <w:lastRenderedPageBreak/>
              <w:t>6-Monats-Frist begründet sich darauf, dass zuvor keine Notwendigkeit einer Impfung besteht und vermieden werden sollte, bspw. 2-3 Tage nach schwerem Verlauf zu impfen (wie auch bei anderen Impfungen)</w:t>
            </w:r>
          </w:p>
          <w:p>
            <w:pPr>
              <w:pStyle w:val="Listenabsatz"/>
              <w:numPr>
                <w:ilvl w:val="0"/>
                <w:numId w:val="5"/>
              </w:numPr>
              <w:spacing w:after="120"/>
              <w:ind w:left="453" w:hanging="340"/>
              <w:rPr>
                <w:sz w:val="22"/>
                <w:szCs w:val="22"/>
              </w:rPr>
            </w:pPr>
            <w:r>
              <w:rPr>
                <w:sz w:val="22"/>
                <w:szCs w:val="22"/>
              </w:rPr>
              <w:t>Sputnik V</w:t>
            </w:r>
          </w:p>
          <w:p>
            <w:pPr>
              <w:pStyle w:val="Listenabsatz"/>
              <w:numPr>
                <w:ilvl w:val="1"/>
                <w:numId w:val="5"/>
              </w:numPr>
              <w:spacing w:after="120"/>
              <w:ind w:left="1041" w:hanging="283"/>
              <w:rPr>
                <w:sz w:val="22"/>
                <w:szCs w:val="22"/>
              </w:rPr>
            </w:pPr>
            <w:r>
              <w:rPr>
                <w:sz w:val="22"/>
                <w:szCs w:val="22"/>
              </w:rPr>
              <w:t>Bewertung der Daten UND Bewertung der Validität der Daten relevant, jedoch ist mit ausführlichen Postmarketingstudien zu rechnen, entsprechend sollte man zunächst von der Validität der Daten ausgehen</w:t>
            </w:r>
          </w:p>
          <w:p>
            <w:pPr>
              <w:pStyle w:val="Listenabsatz"/>
              <w:numPr>
                <w:ilvl w:val="1"/>
                <w:numId w:val="5"/>
              </w:numPr>
              <w:spacing w:after="120"/>
              <w:ind w:left="1041" w:hanging="283"/>
              <w:rPr>
                <w:sz w:val="22"/>
                <w:szCs w:val="22"/>
              </w:rPr>
            </w:pPr>
            <w:r>
              <w:rPr>
                <w:sz w:val="22"/>
                <w:szCs w:val="22"/>
              </w:rPr>
              <w:t>Impfstoff-Studienergebnisse werden derzeit von der EMA bewertet</w:t>
            </w:r>
          </w:p>
          <w:p>
            <w:pPr>
              <w:pStyle w:val="Listenabsatz"/>
              <w:numPr>
                <w:ilvl w:val="1"/>
                <w:numId w:val="5"/>
              </w:numPr>
              <w:spacing w:after="120"/>
              <w:ind w:left="1041" w:hanging="283"/>
              <w:rPr>
                <w:sz w:val="22"/>
                <w:szCs w:val="22"/>
              </w:rPr>
            </w:pPr>
            <w:r>
              <w:rPr>
                <w:sz w:val="22"/>
                <w:szCs w:val="22"/>
              </w:rPr>
              <w:t>Derzeit unbekannt, ob Sputnik V auf den deutschen Markt kommen soll</w:t>
            </w:r>
          </w:p>
          <w:p>
            <w:pPr>
              <w:pStyle w:val="Listenabsatz"/>
              <w:numPr>
                <w:ilvl w:val="1"/>
                <w:numId w:val="5"/>
              </w:numPr>
              <w:spacing w:after="120"/>
              <w:ind w:left="1041" w:hanging="283"/>
              <w:rPr>
                <w:sz w:val="22"/>
                <w:szCs w:val="22"/>
              </w:rPr>
            </w:pPr>
            <w:r>
              <w:rPr>
                <w:sz w:val="22"/>
                <w:szCs w:val="22"/>
              </w:rPr>
              <w:t>Heterologer</w:t>
            </w:r>
            <w:r>
              <w:t xml:space="preserve"> </w:t>
            </w:r>
            <w:r>
              <w:rPr>
                <w:sz w:val="22"/>
                <w:szCs w:val="22"/>
              </w:rPr>
              <w:t xml:space="preserve">prime-boost-Impfstoff: zwei verschiedene Adenoviren bei erster und zweiter Impfung verwendet, um Bildung </w:t>
            </w:r>
            <w:proofErr w:type="spellStart"/>
            <w:r>
              <w:rPr>
                <w:sz w:val="22"/>
                <w:szCs w:val="22"/>
              </w:rPr>
              <w:t>antivektorialer</w:t>
            </w:r>
            <w:proofErr w:type="spellEnd"/>
            <w:r>
              <w:rPr>
                <w:sz w:val="22"/>
                <w:szCs w:val="22"/>
              </w:rPr>
              <w:t xml:space="preserve"> AK (wie bei homologen Impfstoffen ggf. möglich) zu umgehen, daher möglicherweise in Kombination mit anderen Impfstoffen sinnvoll einsetzbar</w:t>
            </w:r>
          </w:p>
          <w:p>
            <w:pPr>
              <w:spacing w:after="120"/>
              <w:ind w:left="113"/>
              <w:rPr>
                <w:i/>
                <w:sz w:val="22"/>
                <w:szCs w:val="22"/>
              </w:rPr>
            </w:pPr>
            <w:proofErr w:type="spellStart"/>
            <w:r>
              <w:rPr>
                <w:i/>
                <w:sz w:val="22"/>
                <w:szCs w:val="22"/>
              </w:rPr>
              <w:t>ToDo</w:t>
            </w:r>
            <w:proofErr w:type="spellEnd"/>
            <w:r>
              <w:rPr>
                <w:i/>
                <w:sz w:val="22"/>
                <w:szCs w:val="22"/>
              </w:rPr>
              <w:t xml:space="preserve">: Bitte an Herrn Wichmann um die Mitteilung der Effektivität der Aktivierung des CD8-Arms durch </w:t>
            </w:r>
            <w:proofErr w:type="spellStart"/>
            <w:r>
              <w:rPr>
                <w:i/>
                <w:sz w:val="22"/>
                <w:szCs w:val="22"/>
              </w:rPr>
              <w:t>mRNA</w:t>
            </w:r>
            <w:proofErr w:type="spellEnd"/>
            <w:r>
              <w:rPr>
                <w:i/>
                <w:sz w:val="22"/>
                <w:szCs w:val="22"/>
              </w:rPr>
              <w:t xml:space="preserve">-Impfstoffe  </w:t>
            </w:r>
          </w:p>
        </w:tc>
        <w:tc>
          <w:tcPr>
            <w:tcW w:w="1492" w:type="dxa"/>
          </w:tcPr>
          <w:p>
            <w:pPr>
              <w:rPr>
                <w:sz w:val="22"/>
                <w:szCs w:val="22"/>
              </w:rPr>
            </w:pPr>
          </w:p>
          <w:p>
            <w:pPr>
              <w:rPr>
                <w:sz w:val="22"/>
                <w:szCs w:val="22"/>
              </w:rPr>
            </w:pPr>
            <w:r>
              <w:rPr>
                <w:sz w:val="22"/>
                <w:szCs w:val="22"/>
              </w:rPr>
              <w:t>FG33 (Wichmann)</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899"/>
              <w:rPr>
                <w:sz w:val="22"/>
              </w:rPr>
            </w:pPr>
            <w:r>
              <w:rPr>
                <w:sz w:val="22"/>
              </w:rPr>
              <w:t xml:space="preserve">576 Proben eingegangen, davon </w:t>
            </w:r>
          </w:p>
          <w:p>
            <w:pPr>
              <w:pStyle w:val="Listenabsatz"/>
              <w:numPr>
                <w:ilvl w:val="1"/>
                <w:numId w:val="5"/>
              </w:numPr>
              <w:ind w:left="899"/>
              <w:rPr>
                <w:sz w:val="22"/>
                <w:lang w:val="en-US"/>
              </w:rPr>
            </w:pPr>
            <w:r>
              <w:rPr>
                <w:sz w:val="22"/>
                <w:lang w:val="en-US"/>
              </w:rPr>
              <w:t xml:space="preserve">50 SARS-CoV-2- (9 %), 51 Rhinovirus-, 10 </w:t>
            </w:r>
            <w:proofErr w:type="spellStart"/>
            <w:r>
              <w:rPr>
                <w:sz w:val="22"/>
                <w:lang w:val="en-US"/>
              </w:rPr>
              <w:t>saisonales</w:t>
            </w:r>
            <w:proofErr w:type="spellEnd"/>
            <w:r>
              <w:rPr>
                <w:sz w:val="22"/>
                <w:lang w:val="en-US"/>
              </w:rPr>
              <w:t xml:space="preserve"> Coronavirus (NL63)-, 2 </w:t>
            </w:r>
            <w:proofErr w:type="spellStart"/>
            <w:r>
              <w:rPr>
                <w:sz w:val="22"/>
                <w:lang w:val="en-US"/>
              </w:rPr>
              <w:t>Parainfluenzavirus</w:t>
            </w:r>
            <w:proofErr w:type="spellEnd"/>
            <w:r>
              <w:rPr>
                <w:sz w:val="22"/>
                <w:lang w:val="en-US"/>
              </w:rPr>
              <w:t xml:space="preserve"> (Typ3)- </w:t>
            </w:r>
            <w:proofErr w:type="spellStart"/>
            <w:r>
              <w:rPr>
                <w:sz w:val="22"/>
                <w:lang w:val="en-US"/>
              </w:rPr>
              <w:t>positiv</w:t>
            </w:r>
            <w:proofErr w:type="spellEnd"/>
          </w:p>
          <w:p>
            <w:pPr>
              <w:pStyle w:val="Listenabsatz"/>
              <w:numPr>
                <w:ilvl w:val="1"/>
                <w:numId w:val="5"/>
              </w:numPr>
              <w:ind w:left="899"/>
              <w:rPr>
                <w:sz w:val="22"/>
              </w:rPr>
            </w:pPr>
            <w:r>
              <w:rPr>
                <w:sz w:val="22"/>
              </w:rPr>
              <w:t>Bislang weiterhin noch kein Nachweis von Influenza im Sentinel (somit muss die Testprävalenz bei unter 2,5 % liegen, da sonst im Sentinel nachweisbar), Vergleich zu Vorsaisons: ca. 50 % Influenza-positiv</w:t>
            </w:r>
          </w:p>
          <w:p>
            <w:pPr>
              <w:rPr>
                <w:sz w:val="22"/>
              </w:rPr>
            </w:pPr>
          </w:p>
          <w:p>
            <w:pPr>
              <w:rPr>
                <w:sz w:val="22"/>
              </w:rPr>
            </w:pPr>
            <w:r>
              <w:rPr>
                <w:sz w:val="22"/>
              </w:rPr>
              <w:t xml:space="preserve">Wirksamkeit monoklonaler Antikörper gegen VOCs (Folien </w:t>
            </w:r>
            <w:hyperlink r:id="rId18" w:history="1">
              <w:r>
                <w:rPr>
                  <w:rStyle w:val="Hyperlink"/>
                  <w:sz w:val="22"/>
                </w:rPr>
                <w:t>hier</w:t>
              </w:r>
            </w:hyperlink>
            <w:r>
              <w:rPr>
                <w:sz w:val="22"/>
              </w:rPr>
              <w:t>)</w:t>
            </w:r>
          </w:p>
          <w:p>
            <w:pPr>
              <w:pStyle w:val="Listenabsatz"/>
              <w:numPr>
                <w:ilvl w:val="1"/>
                <w:numId w:val="5"/>
              </w:numPr>
              <w:ind w:left="899"/>
              <w:rPr>
                <w:sz w:val="22"/>
              </w:rPr>
            </w:pPr>
            <w:r>
              <w:rPr>
                <w:sz w:val="22"/>
              </w:rPr>
              <w:t xml:space="preserve">FDA-zugelassen sind </w:t>
            </w:r>
            <w:proofErr w:type="spellStart"/>
            <w:r>
              <w:rPr>
                <w:sz w:val="22"/>
              </w:rPr>
              <w:t>Bamlanivimab</w:t>
            </w:r>
            <w:proofErr w:type="spellEnd"/>
            <w:r>
              <w:rPr>
                <w:sz w:val="22"/>
              </w:rPr>
              <w:t xml:space="preserve"> (Eli Lilly) und </w:t>
            </w:r>
            <w:proofErr w:type="spellStart"/>
            <w:r>
              <w:rPr>
                <w:sz w:val="22"/>
              </w:rPr>
              <w:t>Casirivimab</w:t>
            </w:r>
            <w:proofErr w:type="spellEnd"/>
            <w:r>
              <w:rPr>
                <w:sz w:val="22"/>
              </w:rPr>
              <w:t xml:space="preserve"> + </w:t>
            </w:r>
            <w:proofErr w:type="spellStart"/>
            <w:r>
              <w:rPr>
                <w:sz w:val="22"/>
              </w:rPr>
              <w:t>Imdevimab</w:t>
            </w:r>
            <w:proofErr w:type="spellEnd"/>
            <w:r>
              <w:rPr>
                <w:sz w:val="22"/>
              </w:rPr>
              <w:t xml:space="preserve"> (</w:t>
            </w:r>
            <w:proofErr w:type="spellStart"/>
            <w:r>
              <w:rPr>
                <w:sz w:val="22"/>
              </w:rPr>
              <w:t>Regeneron</w:t>
            </w:r>
            <w:proofErr w:type="spellEnd"/>
            <w:r>
              <w:rPr>
                <w:sz w:val="22"/>
              </w:rPr>
              <w:t xml:space="preserve">) </w:t>
            </w:r>
          </w:p>
          <w:p>
            <w:pPr>
              <w:pStyle w:val="Listenabsatz"/>
              <w:numPr>
                <w:ilvl w:val="1"/>
                <w:numId w:val="5"/>
              </w:numPr>
              <w:ind w:left="899"/>
              <w:rPr>
                <w:sz w:val="22"/>
              </w:rPr>
            </w:pPr>
            <w:r>
              <w:rPr>
                <w:sz w:val="22"/>
              </w:rPr>
              <w:t>Therapeutischer oder prä-/</w:t>
            </w:r>
            <w:proofErr w:type="spellStart"/>
            <w:r>
              <w:rPr>
                <w:sz w:val="22"/>
              </w:rPr>
              <w:t>postexpositioneller</w:t>
            </w:r>
            <w:proofErr w:type="spellEnd"/>
            <w:r>
              <w:rPr>
                <w:sz w:val="22"/>
              </w:rPr>
              <w:t xml:space="preserve"> Einsatz als einmalige Gabe</w:t>
            </w:r>
          </w:p>
          <w:p>
            <w:pPr>
              <w:pStyle w:val="Listenabsatz"/>
              <w:numPr>
                <w:ilvl w:val="1"/>
                <w:numId w:val="5"/>
              </w:numPr>
              <w:ind w:left="899"/>
              <w:rPr>
                <w:sz w:val="22"/>
              </w:rPr>
            </w:pPr>
            <w:proofErr w:type="spellStart"/>
            <w:r>
              <w:rPr>
                <w:sz w:val="22"/>
              </w:rPr>
              <w:t>Neutralisierungsassays</w:t>
            </w:r>
            <w:proofErr w:type="spellEnd"/>
            <w:r>
              <w:rPr>
                <w:sz w:val="22"/>
              </w:rPr>
              <w:t xml:space="preserve"> (Folie 5):</w:t>
            </w:r>
          </w:p>
          <w:p>
            <w:pPr>
              <w:pStyle w:val="Listenabsatz"/>
              <w:numPr>
                <w:ilvl w:val="2"/>
                <w:numId w:val="5"/>
              </w:numPr>
              <w:ind w:left="1325"/>
              <w:rPr>
                <w:sz w:val="22"/>
              </w:rPr>
            </w:pPr>
            <w:r>
              <w:rPr>
                <w:sz w:val="22"/>
              </w:rPr>
              <w:t>Jedes Panel: 1 AK gegen konventionelles Coronavirus (WT, schwarz), UK-Variante (UK, pink) und südafrikanische (SA) Variante (ZK, orange)</w:t>
            </w:r>
          </w:p>
          <w:p>
            <w:pPr>
              <w:pStyle w:val="Listenabsatz"/>
              <w:numPr>
                <w:ilvl w:val="2"/>
                <w:numId w:val="5"/>
              </w:numPr>
              <w:ind w:left="1325"/>
              <w:rPr>
                <w:sz w:val="22"/>
              </w:rPr>
            </w:pPr>
            <w:r>
              <w:rPr>
                <w:sz w:val="22"/>
              </w:rPr>
              <w:t xml:space="preserve"> y-Achse: Neutralisierungsaktivität </w:t>
            </w:r>
            <w:r>
              <w:rPr>
                <w:sz w:val="22"/>
              </w:rPr>
              <w:sym w:font="Wingdings" w:char="F0E0"/>
            </w:r>
            <w:r>
              <w:rPr>
                <w:sz w:val="22"/>
              </w:rPr>
              <w:t xml:space="preserve"> je weiter links sich der Kurvenverlauf befindet, desto wirksamer ist der jeweilige AK</w:t>
            </w:r>
          </w:p>
          <w:p>
            <w:pPr>
              <w:pStyle w:val="Listenabsatz"/>
              <w:numPr>
                <w:ilvl w:val="2"/>
                <w:numId w:val="5"/>
              </w:numPr>
              <w:ind w:left="1325"/>
              <w:rPr>
                <w:sz w:val="22"/>
              </w:rPr>
            </w:pPr>
            <w:r>
              <w:rPr>
                <w:sz w:val="22"/>
              </w:rPr>
              <w:t>Alle 3 AK sind gegen den WT und die UK-Variante gut wirksam</w:t>
            </w:r>
          </w:p>
          <w:p>
            <w:pPr>
              <w:pStyle w:val="Listenabsatz"/>
              <w:numPr>
                <w:ilvl w:val="2"/>
                <w:numId w:val="5"/>
              </w:numPr>
              <w:ind w:left="1325"/>
              <w:rPr>
                <w:sz w:val="22"/>
              </w:rPr>
            </w:pPr>
            <w:r>
              <w:rPr>
                <w:sz w:val="22"/>
              </w:rPr>
              <w:t xml:space="preserve">SA-Variante: AK von Eli Lilly nicht wirksam, </w:t>
            </w:r>
            <w:proofErr w:type="spellStart"/>
            <w:r>
              <w:rPr>
                <w:sz w:val="22"/>
              </w:rPr>
              <w:t>Regeneron</w:t>
            </w:r>
            <w:proofErr w:type="spellEnd"/>
            <w:r>
              <w:rPr>
                <w:sz w:val="22"/>
              </w:rPr>
              <w:t xml:space="preserve">: </w:t>
            </w:r>
            <w:proofErr w:type="spellStart"/>
            <w:r>
              <w:rPr>
                <w:sz w:val="22"/>
              </w:rPr>
              <w:t>Casirivimab</w:t>
            </w:r>
            <w:proofErr w:type="spellEnd"/>
            <w:r>
              <w:rPr>
                <w:sz w:val="22"/>
              </w:rPr>
              <w:t xml:space="preserve"> mäßig wirksam, </w:t>
            </w:r>
            <w:proofErr w:type="spellStart"/>
            <w:r>
              <w:rPr>
                <w:sz w:val="22"/>
              </w:rPr>
              <w:t>Imdevimab</w:t>
            </w:r>
            <w:proofErr w:type="spellEnd"/>
            <w:r>
              <w:rPr>
                <w:sz w:val="22"/>
              </w:rPr>
              <w:t xml:space="preserve"> gut wirksam</w:t>
            </w:r>
          </w:p>
          <w:p>
            <w:pPr>
              <w:pStyle w:val="Listenabsatz"/>
              <w:numPr>
                <w:ilvl w:val="2"/>
                <w:numId w:val="5"/>
              </w:numPr>
              <w:ind w:left="1325"/>
              <w:rPr>
                <w:sz w:val="22"/>
              </w:rPr>
            </w:pPr>
            <w:r>
              <w:rPr>
                <w:sz w:val="22"/>
              </w:rPr>
              <w:t xml:space="preserve">Weitere monoklonale AK (Folie 6): weiterer AK von Eli Lilly gegen UK-Variante wirksam, AK von Astra </w:t>
            </w:r>
            <w:proofErr w:type="spellStart"/>
            <w:r>
              <w:rPr>
                <w:sz w:val="22"/>
              </w:rPr>
              <w:t>Zeneca</w:t>
            </w:r>
            <w:proofErr w:type="spellEnd"/>
            <w:r>
              <w:rPr>
                <w:sz w:val="22"/>
              </w:rPr>
              <w:t xml:space="preserve"> und GSK gegen UK- aber auch gegen SA-Variante</w:t>
            </w:r>
          </w:p>
          <w:p>
            <w:pPr>
              <w:pStyle w:val="Listenabsatz"/>
              <w:numPr>
                <w:ilvl w:val="2"/>
                <w:numId w:val="5"/>
              </w:numPr>
              <w:ind w:left="1325"/>
              <w:rPr>
                <w:sz w:val="22"/>
              </w:rPr>
            </w:pPr>
            <w:r>
              <w:rPr>
                <w:sz w:val="22"/>
              </w:rPr>
              <w:lastRenderedPageBreak/>
              <w:t xml:space="preserve">Cave hierbei: </w:t>
            </w:r>
            <w:r>
              <w:rPr>
                <w:i/>
                <w:sz w:val="22"/>
              </w:rPr>
              <w:t>in vitro</w:t>
            </w:r>
            <w:r>
              <w:rPr>
                <w:sz w:val="22"/>
              </w:rPr>
              <w:t xml:space="preserve"> Daten aus einem einzigen Labor (Wang </w:t>
            </w:r>
            <w:r>
              <w:rPr>
                <w:i/>
                <w:sz w:val="22"/>
              </w:rPr>
              <w:t>et al.</w:t>
            </w:r>
            <w:r>
              <w:rPr>
                <w:sz w:val="22"/>
              </w:rPr>
              <w:t xml:space="preserve"> 2020, </w:t>
            </w:r>
            <w:proofErr w:type="spellStart"/>
            <w:r>
              <w:rPr>
                <w:sz w:val="22"/>
              </w:rPr>
              <w:t>medRxiv</w:t>
            </w:r>
            <w:proofErr w:type="spellEnd"/>
            <w:r>
              <w:rPr>
                <w:sz w:val="22"/>
              </w:rPr>
              <w:t>), decken sich aber soweit gut mit anderen Studien</w:t>
            </w:r>
          </w:p>
          <w:p>
            <w:pPr>
              <w:pStyle w:val="Listenabsatz"/>
              <w:numPr>
                <w:ilvl w:val="2"/>
                <w:numId w:val="5"/>
              </w:numPr>
              <w:ind w:left="1325"/>
              <w:rPr>
                <w:sz w:val="22"/>
              </w:rPr>
            </w:pPr>
            <w:r>
              <w:rPr>
                <w:sz w:val="22"/>
              </w:rPr>
              <w:t>B.1.1.7 mit 484 Mutation: höchstwahrscheinlich keine Wirksamkeit, da das Epitop über der Mutation liegt</w:t>
            </w:r>
          </w:p>
          <w:p>
            <w:pPr>
              <w:pStyle w:val="Listenabsatz"/>
              <w:numPr>
                <w:ilvl w:val="0"/>
                <w:numId w:val="5"/>
              </w:numPr>
              <w:ind w:left="474"/>
              <w:rPr>
                <w:sz w:val="22"/>
              </w:rPr>
            </w:pPr>
            <w:r>
              <w:rPr>
                <w:sz w:val="22"/>
              </w:rPr>
              <w:t>ZBS1</w:t>
            </w:r>
          </w:p>
          <w:p>
            <w:pPr>
              <w:pStyle w:val="Listenabsatz"/>
              <w:numPr>
                <w:ilvl w:val="1"/>
                <w:numId w:val="5"/>
              </w:numPr>
              <w:ind w:left="899"/>
              <w:rPr>
                <w:sz w:val="22"/>
              </w:rPr>
            </w:pPr>
            <w:r>
              <w:rPr>
                <w:sz w:val="22"/>
              </w:rPr>
              <w:t xml:space="preserve">689 Einsendungen, davon 171 Proben SARS-CoV-2-positiv (ca. 24,8 %) </w:t>
            </w:r>
          </w:p>
          <w:p>
            <w:pPr>
              <w:pStyle w:val="Listenabsatz"/>
              <w:numPr>
                <w:ilvl w:val="1"/>
                <w:numId w:val="5"/>
              </w:numPr>
              <w:ind w:left="899"/>
              <w:rPr>
                <w:sz w:val="22"/>
              </w:rPr>
            </w:pPr>
            <w:r>
              <w:rPr>
                <w:sz w:val="22"/>
              </w:rPr>
              <w:t>Insgesamt ca. 500 Proben aus mehreren Studien (COALA etc.) und Ausbrüchen eingegangen, davon in diverse Proben Variante B.1.1.7 identifiziert</w:t>
            </w:r>
          </w:p>
          <w:p>
            <w:pPr>
              <w:pStyle w:val="Listenabsatz"/>
              <w:numPr>
                <w:ilvl w:val="1"/>
                <w:numId w:val="5"/>
              </w:numPr>
              <w:ind w:left="899"/>
              <w:rPr>
                <w:sz w:val="22"/>
              </w:rPr>
            </w:pPr>
            <w:r>
              <w:rPr>
                <w:sz w:val="22"/>
              </w:rPr>
              <w:t xml:space="preserve">Dem Ringversuch wurde zugestimmt, Proben bereits eingetroffen </w:t>
            </w:r>
          </w:p>
          <w:p>
            <w:pPr>
              <w:pStyle w:val="Listenabsatz"/>
              <w:numPr>
                <w:ilvl w:val="1"/>
                <w:numId w:val="5"/>
              </w:numPr>
              <w:ind w:left="899"/>
              <w:rPr>
                <w:sz w:val="22"/>
              </w:rPr>
            </w:pPr>
            <w:proofErr w:type="spellStart"/>
            <w:r>
              <w:rPr>
                <w:sz w:val="22"/>
              </w:rPr>
              <w:t>Medinzinprodukte-AbgabeVO</w:t>
            </w:r>
            <w:proofErr w:type="spellEnd"/>
            <w:r>
              <w:rPr>
                <w:sz w:val="22"/>
              </w:rPr>
              <w:t xml:space="preserve"> zu Heimtests vermutlich derzeit noch beim BMG in Diskussion mit Juristen</w:t>
            </w:r>
          </w:p>
          <w:p>
            <w:pPr>
              <w:pStyle w:val="Listenabsatz"/>
              <w:numPr>
                <w:ilvl w:val="1"/>
                <w:numId w:val="5"/>
              </w:numPr>
              <w:ind w:left="899"/>
              <w:rPr>
                <w:sz w:val="22"/>
              </w:rPr>
            </w:pPr>
            <w:r>
              <w:rPr>
                <w:sz w:val="22"/>
              </w:rPr>
              <w:t>Änderung § 8 IfSG (bzw. zur Selbstanzeige im Portal) noch nicht beschlossen</w:t>
            </w:r>
          </w:p>
          <w:p>
            <w:pPr>
              <w:pStyle w:val="Listenabsatz"/>
              <w:ind w:left="899"/>
              <w:rPr>
                <w:sz w:val="22"/>
              </w:rPr>
            </w:pPr>
          </w:p>
        </w:tc>
        <w:tc>
          <w:tcPr>
            <w:tcW w:w="1492"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FG12/FG17 </w:t>
            </w: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ZBS1 </w:t>
            </w:r>
          </w:p>
          <w:p>
            <w:pPr>
              <w:rPr>
                <w:sz w:val="22"/>
                <w:szCs w:val="22"/>
              </w:rPr>
            </w:pPr>
            <w:r>
              <w:rPr>
                <w:sz w:val="22"/>
                <w:szCs w:val="22"/>
              </w:rPr>
              <w:t>(Michel)</w:t>
            </w: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Derzeit keine strategische Patientenverlegung aus Portugal oder Tschechien zu uns, Status quo bleibt bestehen</w:t>
            </w:r>
          </w:p>
          <w:p>
            <w:pPr>
              <w:pStyle w:val="Listenabsatz"/>
              <w:numPr>
                <w:ilvl w:val="0"/>
                <w:numId w:val="5"/>
              </w:numPr>
              <w:ind w:left="453" w:hanging="340"/>
              <w:rPr>
                <w:sz w:val="22"/>
                <w:szCs w:val="22"/>
              </w:rPr>
            </w:pPr>
            <w:r>
              <w:rPr>
                <w:sz w:val="22"/>
                <w:szCs w:val="22"/>
              </w:rPr>
              <w:t>Kapazitäten-Evaluation: geringfügige Erleichterung, aber Bedenken aufgrund neuer Varianten</w:t>
            </w:r>
          </w:p>
          <w:p>
            <w:pPr>
              <w:pStyle w:val="Listenabsatz"/>
              <w:ind w:left="453"/>
              <w:rPr>
                <w:i/>
                <w:sz w:val="22"/>
                <w:szCs w:val="22"/>
              </w:rPr>
            </w:pPr>
          </w:p>
        </w:tc>
        <w:tc>
          <w:tcPr>
            <w:tcW w:w="1492" w:type="dxa"/>
          </w:tcPr>
          <w:p>
            <w:pPr>
              <w:rPr>
                <w:sz w:val="22"/>
                <w:szCs w:val="22"/>
              </w:rPr>
            </w:pPr>
          </w:p>
          <w:p>
            <w:pPr>
              <w:rPr>
                <w:sz w:val="22"/>
                <w:szCs w:val="22"/>
              </w:rPr>
            </w:pPr>
            <w:r>
              <w:rPr>
                <w:sz w:val="22"/>
                <w:szCs w:val="22"/>
              </w:rPr>
              <w:t xml:space="preserve">IBBS </w:t>
            </w:r>
          </w:p>
          <w:p>
            <w:pPr>
              <w:rPr>
                <w:sz w:val="22"/>
                <w:szCs w:val="22"/>
              </w:rPr>
            </w:pPr>
            <w:r>
              <w:rPr>
                <w:sz w:val="22"/>
                <w:szCs w:val="22"/>
              </w:rPr>
              <w:t xml:space="preserve">(Herzog)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 </w:t>
            </w: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sz w:val="22"/>
              </w:rPr>
              <w:t>BMG forciert Inbetriebnahme von SORMAS</w:t>
            </w:r>
          </w:p>
          <w:p>
            <w:pPr>
              <w:pStyle w:val="Listenabsatz"/>
              <w:numPr>
                <w:ilvl w:val="0"/>
                <w:numId w:val="5"/>
              </w:numPr>
              <w:ind w:left="453" w:hanging="340"/>
              <w:rPr>
                <w:sz w:val="22"/>
              </w:rPr>
            </w:pPr>
            <w:r>
              <w:rPr>
                <w:sz w:val="22"/>
              </w:rPr>
              <w:t xml:space="preserve">Auf Arbeitsebene bereits entsprechende Anfragen </w:t>
            </w:r>
          </w:p>
          <w:p>
            <w:pPr>
              <w:pStyle w:val="Listenabsatz"/>
              <w:numPr>
                <w:ilvl w:val="0"/>
                <w:numId w:val="5"/>
              </w:numPr>
              <w:ind w:left="453" w:hanging="340"/>
              <w:rPr>
                <w:sz w:val="22"/>
              </w:rPr>
            </w:pPr>
            <w:r>
              <w:rPr>
                <w:sz w:val="22"/>
              </w:rPr>
              <w:t>SORMAS jedoch weiterhin in Testphase, derzeit noch fehlerhaft, könnte Surveillance-Aktivität maßgeblich beeinflussen</w:t>
            </w:r>
          </w:p>
          <w:p>
            <w:pPr>
              <w:pStyle w:val="Listenabsatz"/>
              <w:numPr>
                <w:ilvl w:val="0"/>
                <w:numId w:val="5"/>
              </w:numPr>
              <w:ind w:left="453" w:hanging="340"/>
              <w:rPr>
                <w:sz w:val="22"/>
              </w:rPr>
            </w:pPr>
            <w:r>
              <w:rPr>
                <w:sz w:val="22"/>
              </w:rPr>
              <w:t>Zusage der Leitung von Abt. 5, dass SORMAS nur dann ausgerollt werden kann, wenn Probleme beseitigt sind</w:t>
            </w:r>
          </w:p>
          <w:p>
            <w:pPr>
              <w:pStyle w:val="Listenabsatz"/>
              <w:numPr>
                <w:ilvl w:val="0"/>
                <w:numId w:val="5"/>
              </w:numPr>
              <w:ind w:left="453" w:hanging="340"/>
              <w:rPr>
                <w:sz w:val="22"/>
              </w:rPr>
            </w:pPr>
            <w:r>
              <w:rPr>
                <w:sz w:val="22"/>
              </w:rPr>
              <w:t>Funktionalität muss gewährleistet sein</w:t>
            </w:r>
          </w:p>
          <w:p>
            <w:pPr>
              <w:pStyle w:val="Listenabsatz"/>
              <w:numPr>
                <w:ilvl w:val="0"/>
                <w:numId w:val="5"/>
              </w:numPr>
              <w:ind w:left="453" w:hanging="340"/>
              <w:rPr>
                <w:sz w:val="22"/>
              </w:rPr>
            </w:pPr>
            <w:r>
              <w:rPr>
                <w:sz w:val="22"/>
              </w:rPr>
              <w:t>Aufgrund bereits aufgefallener Fehler liegt Vermutung nahe, dass weitere, bislang unentdeckte Fehler existieren</w:t>
            </w:r>
          </w:p>
          <w:p>
            <w:pPr>
              <w:pStyle w:val="Listenabsatz"/>
              <w:numPr>
                <w:ilvl w:val="0"/>
                <w:numId w:val="5"/>
              </w:numPr>
              <w:ind w:left="453" w:hanging="340"/>
              <w:rPr>
                <w:sz w:val="22"/>
              </w:rPr>
            </w:pPr>
            <w:r>
              <w:rPr>
                <w:sz w:val="22"/>
              </w:rPr>
              <w:t xml:space="preserve">Auch vor dem Hintergrund ist ein nicht ausreichend getestetes Produkt mit zu hohem Risiko behaftet </w:t>
            </w:r>
          </w:p>
          <w:p>
            <w:pPr>
              <w:pStyle w:val="Listenabsatz"/>
              <w:numPr>
                <w:ilvl w:val="0"/>
                <w:numId w:val="5"/>
              </w:numPr>
              <w:ind w:left="453" w:hanging="340"/>
              <w:rPr>
                <w:sz w:val="22"/>
              </w:rPr>
            </w:pPr>
            <w:r>
              <w:rPr>
                <w:sz w:val="22"/>
              </w:rPr>
              <w:t>Verschriftlichung der Kommunikation erforderlich, auch hinsichtlich möglicher Auswirkungen bei derzeit bestehenden Funktionalitätsbeeinträchtigungen</w:t>
            </w:r>
          </w:p>
          <w:p>
            <w:pPr>
              <w:pStyle w:val="Listenabsatz"/>
              <w:numPr>
                <w:ilvl w:val="0"/>
                <w:numId w:val="5"/>
              </w:numPr>
              <w:ind w:left="453" w:hanging="340"/>
              <w:rPr>
                <w:sz w:val="22"/>
              </w:rPr>
            </w:pPr>
            <w:r>
              <w:rPr>
                <w:sz w:val="22"/>
              </w:rPr>
              <w:t>Rückendeckung seitens Leitung vorhanden, auch seitens Leitung Abt. 5 erforderlich</w:t>
            </w:r>
          </w:p>
        </w:tc>
        <w:tc>
          <w:tcPr>
            <w:tcW w:w="1492" w:type="dxa"/>
          </w:tcPr>
          <w:p>
            <w:pPr>
              <w:rPr>
                <w:sz w:val="22"/>
                <w:szCs w:val="22"/>
              </w:rPr>
            </w:pPr>
          </w:p>
          <w:p>
            <w:pPr>
              <w:rPr>
                <w:sz w:val="22"/>
                <w:szCs w:val="22"/>
              </w:rPr>
            </w:pPr>
            <w:r>
              <w:rPr>
                <w:sz w:val="22"/>
                <w:szCs w:val="22"/>
              </w:rPr>
              <w:t>FG32</w:t>
            </w:r>
          </w:p>
          <w:p>
            <w:pPr>
              <w:rPr>
                <w:sz w:val="22"/>
                <w:szCs w:val="22"/>
              </w:rPr>
            </w:pPr>
            <w:r>
              <w:rPr>
                <w:sz w:val="22"/>
                <w:szCs w:val="22"/>
              </w:rPr>
              <w:t>(Diercke)</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szCs w:val="22"/>
              </w:rPr>
            </w:pPr>
            <w:r>
              <w:rPr>
                <w:sz w:val="22"/>
              </w:rPr>
              <w:t>Derzeit viele Anfragen zur Ausweisung von VOC-Gebieten</w:t>
            </w:r>
          </w:p>
          <w:p>
            <w:pPr>
              <w:pStyle w:val="Listenabsatz"/>
              <w:numPr>
                <w:ilvl w:val="0"/>
                <w:numId w:val="5"/>
              </w:numPr>
              <w:ind w:left="453" w:hanging="340"/>
              <w:rPr>
                <w:sz w:val="22"/>
                <w:szCs w:val="22"/>
              </w:rPr>
            </w:pPr>
            <w:r>
              <w:rPr>
                <w:sz w:val="22"/>
                <w:szCs w:val="22"/>
              </w:rPr>
              <w:t xml:space="preserve">Es existieren bereits Mutmaßungen, dass Erntehelfer von sämtlichen Maßnahmen grundsätzlich ausgenommen seien, dies wird äußert kritisch gesehen, hierbei muss – sowie auch grundsätzlich – darauf geachtet werden, dass das RKI nicht </w:t>
            </w:r>
            <w:r>
              <w:rPr>
                <w:sz w:val="22"/>
                <w:szCs w:val="22"/>
              </w:rPr>
              <w:lastRenderedPageBreak/>
              <w:t xml:space="preserve">peripher in Diskussionen eingebunden und schlussendlich als Mitzeichner geführt wird </w:t>
            </w:r>
          </w:p>
          <w:p>
            <w:pPr>
              <w:pStyle w:val="Listenabsatz"/>
              <w:numPr>
                <w:ilvl w:val="0"/>
                <w:numId w:val="5"/>
              </w:numPr>
              <w:ind w:left="453" w:hanging="340"/>
              <w:rPr>
                <w:sz w:val="22"/>
                <w:szCs w:val="22"/>
              </w:rPr>
            </w:pPr>
            <w:r>
              <w:rPr>
                <w:sz w:val="22"/>
                <w:szCs w:val="22"/>
              </w:rPr>
              <w:t>Laufende Bußgeld-Diskussion zu fehlendenden DEA-Anmeldungen, Compliance-Missachtung, Beförderung von Passagieren ohne Test bei Fluglinien</w:t>
            </w:r>
          </w:p>
          <w:p>
            <w:pPr>
              <w:spacing w:after="120"/>
              <w:rPr>
                <w:sz w:val="22"/>
                <w:szCs w:val="22"/>
              </w:rPr>
            </w:pPr>
          </w:p>
        </w:tc>
        <w:tc>
          <w:tcPr>
            <w:tcW w:w="1492" w:type="dxa"/>
          </w:tcPr>
          <w:p>
            <w:pPr>
              <w:rPr>
                <w:sz w:val="22"/>
                <w:szCs w:val="22"/>
              </w:rPr>
            </w:pPr>
          </w:p>
          <w:p>
            <w:pPr>
              <w:rPr>
                <w:sz w:val="22"/>
                <w:szCs w:val="22"/>
              </w:rPr>
            </w:pPr>
            <w:r>
              <w:rPr>
                <w:sz w:val="22"/>
                <w:szCs w:val="22"/>
              </w:rPr>
              <w:t xml:space="preserve">FG38 </w:t>
            </w:r>
          </w:p>
          <w:p>
            <w:pPr>
              <w:rPr>
                <w:sz w:val="22"/>
                <w:szCs w:val="22"/>
              </w:rPr>
            </w:pPr>
            <w:r>
              <w:rPr>
                <w:sz w:val="22"/>
                <w:szCs w:val="22"/>
              </w:rPr>
              <w:t>(Rexroth)</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spacing w:after="120"/>
              <w:ind w:left="453" w:hanging="340"/>
              <w:rPr>
                <w:sz w:val="22"/>
                <w:szCs w:val="22"/>
              </w:rPr>
            </w:pPr>
            <w:r>
              <w:rPr>
                <w:sz w:val="22"/>
                <w:szCs w:val="22"/>
              </w:rPr>
              <w:t>Die Federführung für Dokumente liegt nicht im Lagezentrum, sondern in fachlicher Verantwortlichkeit der Fachgebiete</w:t>
            </w:r>
          </w:p>
          <w:p>
            <w:pPr>
              <w:pStyle w:val="Listenabsatz"/>
              <w:numPr>
                <w:ilvl w:val="0"/>
                <w:numId w:val="5"/>
              </w:numPr>
              <w:spacing w:after="120"/>
              <w:ind w:left="453" w:hanging="340"/>
              <w:rPr>
                <w:sz w:val="22"/>
                <w:szCs w:val="22"/>
              </w:rPr>
            </w:pPr>
            <w:r>
              <w:rPr>
                <w:sz w:val="22"/>
                <w:szCs w:val="22"/>
              </w:rPr>
              <w:t>Diese Fachgebiete übernehmen auch die Koordinierung der Abstimmungsschritte mit anderen Partnern</w:t>
            </w:r>
          </w:p>
          <w:p>
            <w:pPr>
              <w:pStyle w:val="Listenabsatz"/>
              <w:numPr>
                <w:ilvl w:val="0"/>
                <w:numId w:val="5"/>
              </w:numPr>
              <w:spacing w:after="120"/>
              <w:ind w:left="453" w:hanging="340"/>
              <w:rPr>
                <w:sz w:val="22"/>
                <w:szCs w:val="22"/>
              </w:rPr>
            </w:pPr>
            <w:r>
              <w:rPr>
                <w:sz w:val="22"/>
                <w:szCs w:val="22"/>
              </w:rPr>
              <w:t>Aufträge sind über das Lagezentrum explizit als solche zu kennzeichnen und mitzuteilen</w:t>
            </w:r>
          </w:p>
          <w:p>
            <w:pPr>
              <w:pStyle w:val="Listenabsatz"/>
              <w:numPr>
                <w:ilvl w:val="0"/>
                <w:numId w:val="5"/>
              </w:numPr>
              <w:spacing w:after="120"/>
              <w:ind w:left="453" w:hanging="340"/>
              <w:rPr>
                <w:sz w:val="22"/>
                <w:szCs w:val="22"/>
              </w:rPr>
            </w:pPr>
            <w:r>
              <w:rPr>
                <w:sz w:val="22"/>
                <w:szCs w:val="22"/>
              </w:rPr>
              <w:t>Das Ergebnis der im Herbst stattgefundenen Befragung wird kommende Woche vorgestellt</w:t>
            </w:r>
          </w:p>
          <w:p>
            <w:pPr>
              <w:pStyle w:val="Listenabsatz"/>
              <w:numPr>
                <w:ilvl w:val="0"/>
                <w:numId w:val="5"/>
              </w:numPr>
              <w:spacing w:after="120"/>
              <w:ind w:left="453" w:hanging="340"/>
              <w:rPr>
                <w:sz w:val="22"/>
                <w:szCs w:val="22"/>
              </w:rPr>
            </w:pPr>
            <w:r>
              <w:rPr>
                <w:sz w:val="22"/>
                <w:szCs w:val="22"/>
              </w:rPr>
              <w:t>Feiertag 08.03.2021: Lagezentrum besetzt, aber keine Krisen-</w:t>
            </w:r>
            <w:proofErr w:type="spellStart"/>
            <w:r>
              <w:rPr>
                <w:sz w:val="22"/>
                <w:szCs w:val="22"/>
              </w:rPr>
              <w:t>stabssitzung</w:t>
            </w:r>
            <w:proofErr w:type="spellEnd"/>
          </w:p>
          <w:p>
            <w:pPr>
              <w:pStyle w:val="Listenabsatz"/>
              <w:numPr>
                <w:ilvl w:val="0"/>
                <w:numId w:val="5"/>
              </w:numPr>
              <w:spacing w:after="120"/>
              <w:ind w:left="453" w:hanging="340"/>
              <w:rPr>
                <w:sz w:val="22"/>
                <w:szCs w:val="22"/>
              </w:rPr>
            </w:pPr>
            <w:r>
              <w:rPr>
                <w:sz w:val="22"/>
                <w:szCs w:val="22"/>
              </w:rPr>
              <w:t>Bericht des BMG zu Ende März: das BMG wird auf das RKI zukommen, derzeit seitens RKI kein proaktiver Handlungsbedarf</w:t>
            </w:r>
          </w:p>
          <w:p>
            <w:pPr>
              <w:pStyle w:val="Listenabsatz"/>
              <w:numPr>
                <w:ilvl w:val="0"/>
                <w:numId w:val="5"/>
              </w:numPr>
              <w:spacing w:after="120"/>
              <w:ind w:left="453" w:hanging="340"/>
              <w:rPr>
                <w:sz w:val="22"/>
                <w:szCs w:val="22"/>
              </w:rPr>
            </w:pPr>
            <w:r>
              <w:rPr>
                <w:sz w:val="22"/>
                <w:szCs w:val="22"/>
              </w:rPr>
              <w:t xml:space="preserve">Minister Spahn wird das „Control </w:t>
            </w:r>
            <w:proofErr w:type="spellStart"/>
            <w:r>
              <w:rPr>
                <w:sz w:val="22"/>
                <w:szCs w:val="22"/>
              </w:rPr>
              <w:t>Covid</w:t>
            </w:r>
            <w:proofErr w:type="spellEnd"/>
            <w:r>
              <w:rPr>
                <w:sz w:val="22"/>
                <w:szCs w:val="22"/>
              </w:rPr>
              <w:t>“-Dokument am Montag in das Kabinett geben</w:t>
            </w:r>
          </w:p>
        </w:tc>
        <w:tc>
          <w:tcPr>
            <w:tcW w:w="1492" w:type="dxa"/>
          </w:tcPr>
          <w:p>
            <w:pPr>
              <w:rPr>
                <w:sz w:val="22"/>
                <w:szCs w:val="22"/>
              </w:rPr>
            </w:pPr>
          </w:p>
          <w:p>
            <w:pPr>
              <w:rPr>
                <w:sz w:val="22"/>
                <w:szCs w:val="22"/>
              </w:rPr>
            </w:pPr>
            <w:r>
              <w:rPr>
                <w:sz w:val="22"/>
                <w:szCs w:val="22"/>
              </w:rPr>
              <w:t xml:space="preserve">FG38 </w:t>
            </w: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spacing w:after="120"/>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08.02.2021,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etasch, Christiane" w:date="2021-02-07T13:17:00Z" w:initials="PC">
    <w:p>
      <w:pPr>
        <w:pStyle w:val="Kommentartext"/>
      </w:pPr>
      <w:r>
        <w:rPr>
          <w:rStyle w:val="Kommentarzeichen"/>
        </w:rPr>
        <w:annotationRef/>
      </w:r>
      <w:r>
        <w:t>ID 2769</w:t>
      </w:r>
    </w:p>
  </w:comment>
  <w:comment w:id="4" w:author="Petasch, Christiane" w:date="2021-02-07T13:17:00Z" w:initials="PC">
    <w:p>
      <w:pPr>
        <w:pStyle w:val="Kommentartext"/>
      </w:pPr>
      <w:r>
        <w:rPr>
          <w:rStyle w:val="Kommentarzeichen"/>
        </w:rPr>
        <w:annotationRef/>
      </w:r>
      <w:r>
        <w:t>ID 2769_1</w:t>
      </w:r>
    </w:p>
  </w:comment>
  <w:comment w:id="7" w:author="Petasch, Christiane" w:date="2021-02-07T13:18:00Z" w:initials="PC">
    <w:p>
      <w:pPr>
        <w:pStyle w:val="Kommentartext"/>
      </w:pPr>
      <w:r>
        <w:rPr>
          <w:rStyle w:val="Kommentarzeichen"/>
        </w:rPr>
        <w:annotationRef/>
      </w:r>
      <w:r>
        <w:t>ID 2769_2</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C4E0B69"/>
    <w:multiLevelType w:val="hybridMultilevel"/>
    <w:tmpl w:val="F468D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907ED4"/>
    <w:multiLevelType w:val="hybridMultilevel"/>
    <w:tmpl w:val="6A64F414"/>
    <w:lvl w:ilvl="0" w:tplc="04070003">
      <w:start w:val="1"/>
      <w:numFmt w:val="bullet"/>
      <w:lvlText w:val="o"/>
      <w:lvlJc w:val="left"/>
      <w:pPr>
        <w:ind w:left="1826" w:hanging="360"/>
      </w:pPr>
      <w:rPr>
        <w:rFonts w:ascii="Courier New" w:hAnsi="Courier New" w:cs="Courier New" w:hint="default"/>
      </w:rPr>
    </w:lvl>
    <w:lvl w:ilvl="1" w:tplc="04070003" w:tentative="1">
      <w:start w:val="1"/>
      <w:numFmt w:val="bullet"/>
      <w:lvlText w:val="o"/>
      <w:lvlJc w:val="left"/>
      <w:pPr>
        <w:ind w:left="2546" w:hanging="360"/>
      </w:pPr>
      <w:rPr>
        <w:rFonts w:ascii="Courier New" w:hAnsi="Courier New" w:cs="Courier New" w:hint="default"/>
      </w:rPr>
    </w:lvl>
    <w:lvl w:ilvl="2" w:tplc="04070005" w:tentative="1">
      <w:start w:val="1"/>
      <w:numFmt w:val="bullet"/>
      <w:lvlText w:val=""/>
      <w:lvlJc w:val="left"/>
      <w:pPr>
        <w:ind w:left="3266" w:hanging="360"/>
      </w:pPr>
      <w:rPr>
        <w:rFonts w:ascii="Wingdings" w:hAnsi="Wingdings" w:hint="default"/>
      </w:rPr>
    </w:lvl>
    <w:lvl w:ilvl="3" w:tplc="04070001" w:tentative="1">
      <w:start w:val="1"/>
      <w:numFmt w:val="bullet"/>
      <w:lvlText w:val=""/>
      <w:lvlJc w:val="left"/>
      <w:pPr>
        <w:ind w:left="3986" w:hanging="360"/>
      </w:pPr>
      <w:rPr>
        <w:rFonts w:ascii="Symbol" w:hAnsi="Symbol" w:hint="default"/>
      </w:rPr>
    </w:lvl>
    <w:lvl w:ilvl="4" w:tplc="04070003" w:tentative="1">
      <w:start w:val="1"/>
      <w:numFmt w:val="bullet"/>
      <w:lvlText w:val="o"/>
      <w:lvlJc w:val="left"/>
      <w:pPr>
        <w:ind w:left="4706" w:hanging="360"/>
      </w:pPr>
      <w:rPr>
        <w:rFonts w:ascii="Courier New" w:hAnsi="Courier New" w:cs="Courier New" w:hint="default"/>
      </w:rPr>
    </w:lvl>
    <w:lvl w:ilvl="5" w:tplc="04070005" w:tentative="1">
      <w:start w:val="1"/>
      <w:numFmt w:val="bullet"/>
      <w:lvlText w:val=""/>
      <w:lvlJc w:val="left"/>
      <w:pPr>
        <w:ind w:left="5426" w:hanging="360"/>
      </w:pPr>
      <w:rPr>
        <w:rFonts w:ascii="Wingdings" w:hAnsi="Wingdings" w:hint="default"/>
      </w:rPr>
    </w:lvl>
    <w:lvl w:ilvl="6" w:tplc="04070001" w:tentative="1">
      <w:start w:val="1"/>
      <w:numFmt w:val="bullet"/>
      <w:lvlText w:val=""/>
      <w:lvlJc w:val="left"/>
      <w:pPr>
        <w:ind w:left="6146" w:hanging="360"/>
      </w:pPr>
      <w:rPr>
        <w:rFonts w:ascii="Symbol" w:hAnsi="Symbol" w:hint="default"/>
      </w:rPr>
    </w:lvl>
    <w:lvl w:ilvl="7" w:tplc="04070003" w:tentative="1">
      <w:start w:val="1"/>
      <w:numFmt w:val="bullet"/>
      <w:lvlText w:val="o"/>
      <w:lvlJc w:val="left"/>
      <w:pPr>
        <w:ind w:left="6866" w:hanging="360"/>
      </w:pPr>
      <w:rPr>
        <w:rFonts w:ascii="Courier New" w:hAnsi="Courier New" w:cs="Courier New" w:hint="default"/>
      </w:rPr>
    </w:lvl>
    <w:lvl w:ilvl="8" w:tplc="04070005" w:tentative="1">
      <w:start w:val="1"/>
      <w:numFmt w:val="bullet"/>
      <w:lvlText w:val=""/>
      <w:lvlJc w:val="left"/>
      <w:pPr>
        <w:ind w:left="7586"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EA6CBA72"/>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9D26725"/>
    <w:multiLevelType w:val="hybridMultilevel"/>
    <w:tmpl w:val="CE307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E145FC"/>
    <w:multiLevelType w:val="hybridMultilevel"/>
    <w:tmpl w:val="389C268C"/>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A4B18E6"/>
    <w:multiLevelType w:val="hybridMultilevel"/>
    <w:tmpl w:val="C254AA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3"/>
  </w:num>
  <w:num w:numId="4">
    <w:abstractNumId w:val="20"/>
  </w:num>
  <w:num w:numId="5">
    <w:abstractNumId w:val="9"/>
  </w:num>
  <w:num w:numId="6">
    <w:abstractNumId w:val="22"/>
  </w:num>
  <w:num w:numId="7">
    <w:abstractNumId w:val="27"/>
  </w:num>
  <w:num w:numId="8">
    <w:abstractNumId w:val="16"/>
  </w:num>
  <w:num w:numId="9">
    <w:abstractNumId w:val="5"/>
  </w:num>
  <w:num w:numId="10">
    <w:abstractNumId w:val="32"/>
  </w:num>
  <w:num w:numId="11">
    <w:abstractNumId w:val="26"/>
  </w:num>
  <w:num w:numId="12">
    <w:abstractNumId w:val="18"/>
  </w:num>
  <w:num w:numId="13">
    <w:abstractNumId w:val="15"/>
  </w:num>
  <w:num w:numId="14">
    <w:abstractNumId w:val="23"/>
  </w:num>
  <w:num w:numId="15">
    <w:abstractNumId w:val="19"/>
  </w:num>
  <w:num w:numId="16">
    <w:abstractNumId w:val="0"/>
  </w:num>
  <w:num w:numId="17">
    <w:abstractNumId w:val="14"/>
  </w:num>
  <w:num w:numId="18">
    <w:abstractNumId w:val="30"/>
  </w:num>
  <w:num w:numId="19">
    <w:abstractNumId w:val="12"/>
  </w:num>
  <w:num w:numId="20">
    <w:abstractNumId w:val="28"/>
  </w:num>
  <w:num w:numId="21">
    <w:abstractNumId w:val="8"/>
  </w:num>
  <w:num w:numId="22">
    <w:abstractNumId w:val="10"/>
  </w:num>
  <w:num w:numId="23">
    <w:abstractNumId w:val="2"/>
  </w:num>
  <w:num w:numId="24">
    <w:abstractNumId w:val="24"/>
  </w:num>
  <w:num w:numId="25">
    <w:abstractNumId w:val="17"/>
  </w:num>
  <w:num w:numId="26">
    <w:abstractNumId w:val="1"/>
  </w:num>
  <w:num w:numId="27">
    <w:abstractNumId w:val="25"/>
  </w:num>
  <w:num w:numId="28">
    <w:abstractNumId w:val="31"/>
  </w:num>
  <w:num w:numId="29">
    <w:abstractNumId w:val="29"/>
  </w:num>
  <w:num w:numId="30">
    <w:abstractNumId w:val="11"/>
  </w:num>
  <w:num w:numId="31">
    <w:abstractNumId w:val="7"/>
  </w:num>
  <w:num w:numId="32">
    <w:abstractNumId w:val="6"/>
  </w:num>
  <w:num w:numId="33">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asch, Christiane">
    <w15:presenceInfo w15:providerId="None" w15:userId="Petasch, Christi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rPr>
      <w:rFonts w:ascii="Times New Roman" w:hAnsi="Times New Roman" w:cs="Times New Roman"/>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3474">
      <w:bodyDiv w:val="1"/>
      <w:marLeft w:val="0"/>
      <w:marRight w:val="0"/>
      <w:marTop w:val="0"/>
      <w:marBottom w:val="0"/>
      <w:divBdr>
        <w:top w:val="none" w:sz="0" w:space="0" w:color="auto"/>
        <w:left w:val="none" w:sz="0" w:space="0" w:color="auto"/>
        <w:bottom w:val="none" w:sz="0" w:space="0" w:color="auto"/>
        <w:right w:val="none" w:sz="0" w:space="0" w:color="auto"/>
      </w:divBdr>
    </w:div>
    <w:div w:id="11679877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58683272">
      <w:bodyDiv w:val="1"/>
      <w:marLeft w:val="0"/>
      <w:marRight w:val="0"/>
      <w:marTop w:val="0"/>
      <w:marBottom w:val="0"/>
      <w:divBdr>
        <w:top w:val="none" w:sz="0" w:space="0" w:color="auto"/>
        <w:left w:val="none" w:sz="0" w:space="0" w:color="auto"/>
        <w:bottom w:val="none" w:sz="0" w:space="0" w:color="auto"/>
        <w:right w:val="none" w:sz="0" w:space="0" w:color="auto"/>
      </w:divBdr>
    </w:div>
    <w:div w:id="6230763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4554006">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78458505">
      <w:bodyDiv w:val="1"/>
      <w:marLeft w:val="0"/>
      <w:marRight w:val="0"/>
      <w:marTop w:val="0"/>
      <w:marBottom w:val="0"/>
      <w:divBdr>
        <w:top w:val="none" w:sz="0" w:space="0" w:color="auto"/>
        <w:left w:val="none" w:sz="0" w:space="0" w:color="auto"/>
        <w:bottom w:val="none" w:sz="0" w:space="0" w:color="auto"/>
        <w:right w:val="none" w:sz="0" w:space="0" w:color="auto"/>
      </w:divBdr>
    </w:div>
    <w:div w:id="1257790974">
      <w:bodyDiv w:val="1"/>
      <w:marLeft w:val="0"/>
      <w:marRight w:val="0"/>
      <w:marTop w:val="0"/>
      <w:marBottom w:val="0"/>
      <w:divBdr>
        <w:top w:val="none" w:sz="0" w:space="0" w:color="auto"/>
        <w:left w:val="none" w:sz="0" w:space="0" w:color="auto"/>
        <w:bottom w:val="none" w:sz="0" w:space="0" w:color="auto"/>
        <w:right w:val="none" w:sz="0" w:space="0" w:color="auto"/>
      </w:divBdr>
    </w:div>
    <w:div w:id="150408038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14447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2-05_Lage_AG\MAbs_SARSCoV2_Variants_FG1712.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2-05_Lage_AG\20210204_HUK_Zsf_2.ppt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2-05_Lage_AG\Lage-National_2021-02-05.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2-05_Lage_AG\COVID-19_Internationale_Lage_2021-02-05.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1AD38-0FAA-4451-A387-D234297ED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2964</Words>
  <Characters>18678</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65</cp:revision>
  <cp:lastPrinted>2020-05-06T16:43:00Z</cp:lastPrinted>
  <dcterms:created xsi:type="dcterms:W3CDTF">2021-01-29T12:48:00Z</dcterms:created>
  <dcterms:modified xsi:type="dcterms:W3CDTF">2021-05-10T14:51:00Z</dcterms:modified>
</cp:coreProperties>
</file>