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12.02.2021,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1" w:name="_Hlk63788354"/>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FG12/Annette Mankertz</w:t>
      </w:r>
    </w:p>
    <w:p>
      <w:pPr>
        <w:pStyle w:val="Listenabsatz"/>
        <w:numPr>
          <w:ilvl w:val="0"/>
          <w:numId w:val="2"/>
        </w:numPr>
        <w:spacing w:after="0" w:line="233" w:lineRule="auto"/>
        <w:ind w:hanging="357"/>
        <w:contextualSpacing w:val="0"/>
        <w:rPr>
          <w:sz w:val="22"/>
        </w:rPr>
      </w:pPr>
      <w:r>
        <w:rPr>
          <w:sz w:val="22"/>
        </w:rPr>
        <w:t xml:space="preserve">Abt. 2    </w:t>
      </w:r>
    </w:p>
    <w:p>
      <w:pPr>
        <w:pStyle w:val="Listenabsatz"/>
        <w:numPr>
          <w:ilvl w:val="1"/>
          <w:numId w:val="2"/>
        </w:numPr>
        <w:spacing w:after="0" w:line="233" w:lineRule="auto"/>
        <w:contextualSpacing w:val="0"/>
        <w:rPr>
          <w:sz w:val="22"/>
        </w:rPr>
      </w:pPr>
      <w:r>
        <w:rPr>
          <w:sz w:val="22"/>
        </w:rPr>
        <w:t>FG24/Thomas Ziese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line="233" w:lineRule="auto"/>
        <w:contextualSpacing w:val="0"/>
        <w:rPr>
          <w:sz w:val="22"/>
        </w:rPr>
      </w:pPr>
      <w:r>
        <w:rPr>
          <w:sz w:val="22"/>
        </w:rPr>
        <w:t>Tanja Jung-Sendzik</w:t>
      </w:r>
    </w:p>
    <w:p>
      <w:pPr>
        <w:pStyle w:val="Listenabsatz"/>
        <w:numPr>
          <w:ilvl w:val="1"/>
          <w:numId w:val="2"/>
        </w:numPr>
        <w:spacing w:after="0" w:line="233" w:lineRule="auto"/>
        <w:contextualSpacing w:val="0"/>
        <w:rPr>
          <w:sz w:val="22"/>
        </w:rPr>
      </w:pPr>
      <w:r>
        <w:rPr>
          <w:sz w:val="22"/>
        </w:rPr>
        <w:t>Nadine Litzba (Protokoll)</w:t>
      </w:r>
    </w:p>
    <w:p>
      <w:pPr>
        <w:pStyle w:val="Listenabsatz"/>
        <w:numPr>
          <w:ilvl w:val="1"/>
          <w:numId w:val="2"/>
        </w:numPr>
        <w:spacing w:after="0" w:line="233" w:lineRule="auto"/>
        <w:contextualSpacing w:val="0"/>
        <w:rPr>
          <w:sz w:val="22"/>
        </w:rPr>
      </w:pPr>
      <w:r>
        <w:rPr>
          <w:sz w:val="22"/>
        </w:rPr>
        <w:t>Janna Seifried</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Dschin-Je Oh</w:t>
      </w:r>
    </w:p>
    <w:p>
      <w:pPr>
        <w:pStyle w:val="Listenabsatz"/>
        <w:numPr>
          <w:ilvl w:val="0"/>
          <w:numId w:val="4"/>
        </w:numPr>
        <w:spacing w:after="0"/>
        <w:contextualSpacing w:val="0"/>
        <w:rPr>
          <w:sz w:val="22"/>
          <w:szCs w:val="22"/>
        </w:rPr>
      </w:pPr>
      <w:r>
        <w:rPr>
          <w:sz w:val="22"/>
          <w:szCs w:val="22"/>
        </w:rPr>
        <w:t>FG21</w:t>
      </w:r>
    </w:p>
    <w:p>
      <w:pPr>
        <w:pStyle w:val="Listenabsatz"/>
        <w:numPr>
          <w:ilvl w:val="1"/>
          <w:numId w:val="4"/>
        </w:numPr>
        <w:spacing w:after="0"/>
        <w:contextualSpacing w:val="0"/>
        <w:rPr>
          <w:sz w:val="22"/>
          <w:szCs w:val="22"/>
        </w:rPr>
      </w:pPr>
      <w:r>
        <w:rPr>
          <w:sz w:val="22"/>
          <w:szCs w:val="22"/>
        </w:rPr>
        <w:t>Patrick Schmich</w:t>
      </w:r>
    </w:p>
    <w:p>
      <w:pPr>
        <w:pStyle w:val="Listenabsatz"/>
        <w:numPr>
          <w:ilvl w:val="1"/>
          <w:numId w:val="4"/>
        </w:numPr>
        <w:spacing w:after="0"/>
        <w:contextualSpacing w:val="0"/>
        <w:rPr>
          <w:sz w:val="22"/>
          <w:szCs w:val="22"/>
        </w:rPr>
      </w:pPr>
      <w:r>
        <w:rPr>
          <w:sz w:val="22"/>
          <w:szCs w:val="22"/>
        </w:rPr>
        <w:t>Wolfgang Scheida</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rPr>
      </w:pPr>
      <w:r>
        <w:rPr>
          <w:sz w:val="22"/>
        </w:rPr>
        <w:t>Stefan Kröger</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Meike Schöll</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Ester-Maria Antao</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10"/>
        </w:numPr>
        <w:spacing w:after="0"/>
        <w:rPr>
          <w:sz w:val="22"/>
        </w:rPr>
      </w:pPr>
      <w:r>
        <w:rPr>
          <w:sz w:val="22"/>
        </w:rPr>
        <w:t>ZBS 1</w:t>
      </w:r>
    </w:p>
    <w:p>
      <w:pPr>
        <w:pStyle w:val="Listenabsatz"/>
        <w:numPr>
          <w:ilvl w:val="1"/>
          <w:numId w:val="10"/>
        </w:numPr>
        <w:spacing w:after="0"/>
        <w:rPr>
          <w:sz w:val="22"/>
        </w:rPr>
      </w:pPr>
      <w:r>
        <w:rPr>
          <w:sz w:val="22"/>
        </w:rPr>
        <w:t>Livia Schrick</w:t>
      </w:r>
    </w:p>
    <w:p>
      <w:pPr>
        <w:pStyle w:val="Listenabsatz"/>
        <w:numPr>
          <w:ilvl w:val="0"/>
          <w:numId w:val="10"/>
        </w:numPr>
        <w:spacing w:after="0"/>
        <w:rPr>
          <w:sz w:val="22"/>
        </w:rPr>
      </w:pPr>
      <w:r>
        <w:rPr>
          <w:sz w:val="22"/>
        </w:rPr>
        <w:t>ZIG 1</w:t>
      </w:r>
    </w:p>
    <w:p>
      <w:pPr>
        <w:pStyle w:val="Listenabsatz"/>
        <w:numPr>
          <w:ilvl w:val="1"/>
          <w:numId w:val="10"/>
        </w:numPr>
        <w:spacing w:after="0"/>
        <w:rPr>
          <w:sz w:val="22"/>
        </w:rPr>
      </w:pPr>
      <w:r>
        <w:rPr>
          <w:sz w:val="22"/>
        </w:rPr>
        <w:t>Sarah Esquevin</w:t>
      </w:r>
    </w:p>
    <w:p>
      <w:pPr>
        <w:pStyle w:val="Listenabsatz"/>
        <w:numPr>
          <w:ilvl w:val="1"/>
          <w:numId w:val="10"/>
        </w:numPr>
        <w:spacing w:after="0"/>
        <w:rPr>
          <w:sz w:val="22"/>
        </w:rPr>
      </w:pPr>
      <w:r>
        <w:rPr>
          <w:sz w:val="22"/>
        </w:rPr>
        <w:t xml:space="preserve">Eugenia </w:t>
      </w:r>
      <w:proofErr w:type="spellStart"/>
      <w:r>
        <w:rPr>
          <w:sz w:val="22"/>
        </w:rPr>
        <w:t>Romo</w:t>
      </w:r>
      <w:proofErr w:type="spellEnd"/>
      <w:r>
        <w:rPr>
          <w:sz w:val="22"/>
        </w:rPr>
        <w:t xml:space="preserve"> Ventura</w:t>
      </w:r>
    </w:p>
    <w:p>
      <w:pPr>
        <w:pStyle w:val="Listenabsatz"/>
        <w:numPr>
          <w:ilvl w:val="0"/>
          <w:numId w:val="10"/>
        </w:numPr>
        <w:spacing w:after="0"/>
        <w:rPr>
          <w:sz w:val="22"/>
        </w:rPr>
      </w:pPr>
      <w:r>
        <w:rPr>
          <w:sz w:val="22"/>
        </w:rPr>
        <w:t>BZgA</w:t>
      </w:r>
    </w:p>
    <w:p>
      <w:pPr>
        <w:pStyle w:val="Listenabsatz"/>
        <w:numPr>
          <w:ilvl w:val="1"/>
          <w:numId w:val="10"/>
        </w:numPr>
        <w:spacing w:after="0"/>
        <w:rPr>
          <w:sz w:val="22"/>
        </w:rPr>
      </w:pPr>
      <w:r>
        <w:rPr>
          <w:sz w:val="22"/>
        </w:rPr>
        <w:t xml:space="preserve">Heide </w:t>
      </w:r>
      <w:proofErr w:type="spellStart"/>
      <w:r>
        <w:rPr>
          <w:sz w:val="22"/>
        </w:rPr>
        <w:t>Ebrahimzadeh</w:t>
      </w:r>
      <w:proofErr w:type="spellEnd"/>
      <w:r>
        <w:rPr>
          <w:sz w:val="22"/>
        </w:rPr>
        <w:t>-Wetter</w:t>
      </w: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rPr>
          <w:sz w:val="22"/>
        </w:rPr>
      </w:pPr>
      <w:r>
        <w:rPr>
          <w:sz w:val="22"/>
        </w:rPr>
        <w:br w:type="page"/>
      </w:r>
    </w:p>
    <w:bookmarkEnd w:id="1"/>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rPr>
          <w:trHeight w:val="743"/>
        </w:trPr>
        <w:tc>
          <w:tcPr>
            <w:tcW w:w="684" w:type="dxa"/>
          </w:tcPr>
          <w:p>
            <w:pPr>
              <w:rPr>
                <w:b/>
              </w:rPr>
            </w:pPr>
            <w:r>
              <w:rPr>
                <w:b/>
              </w:rPr>
              <w:t>1</w:t>
            </w:r>
          </w:p>
        </w:tc>
        <w:tc>
          <w:tcPr>
            <w:tcW w:w="6795" w:type="dxa"/>
          </w:tcPr>
          <w:p>
            <w:pPr>
              <w:rPr>
                <w:b/>
                <w:sz w:val="28"/>
              </w:rPr>
            </w:pPr>
            <w:r>
              <w:rPr>
                <w:b/>
                <w:sz w:val="28"/>
              </w:rPr>
              <w:t xml:space="preserve">Aktuelle Lage </w:t>
            </w:r>
          </w:p>
          <w:p>
            <w:pPr>
              <w:rPr>
                <w:b/>
                <w:color w:val="FF0000"/>
                <w:sz w:val="22"/>
                <w:szCs w:val="22"/>
              </w:rPr>
            </w:pPr>
            <w:r>
              <w:rPr>
                <w:b/>
                <w:sz w:val="22"/>
                <w:szCs w:val="22"/>
              </w:rPr>
              <w:t xml:space="preserve">International </w:t>
            </w:r>
            <w:r>
              <w:rPr>
                <w:b/>
                <w:color w:val="FF0000"/>
                <w:sz w:val="22"/>
                <w:szCs w:val="22"/>
              </w:rPr>
              <w:t>(nur freitags)</w:t>
            </w:r>
            <w:r>
              <w:rPr>
                <w:sz w:val="22"/>
                <w:szCs w:val="22"/>
              </w:rPr>
              <w:t xml:space="preserve"> (Folien </w:t>
            </w:r>
            <w:hyperlink r:id="rId14" w:history="1">
              <w:r>
                <w:rPr>
                  <w:rStyle w:val="Hyperlink"/>
                  <w:sz w:val="22"/>
                  <w:szCs w:val="22"/>
                </w:rPr>
                <w:t>hier</w:t>
              </w:r>
            </w:hyperlink>
            <w:r>
              <w:rPr>
                <w:rStyle w:val="Hyperlink"/>
                <w:color w:val="auto"/>
                <w:sz w:val="22"/>
                <w:szCs w:val="22"/>
              </w:rPr>
              <w:t>)</w:t>
            </w:r>
          </w:p>
          <w:p>
            <w:pPr>
              <w:pStyle w:val="Listenabsatz"/>
              <w:numPr>
                <w:ilvl w:val="0"/>
                <w:numId w:val="16"/>
              </w:numPr>
              <w:ind w:left="618"/>
              <w:rPr>
                <w:rStyle w:val="Hyperlink"/>
                <w:color w:val="auto"/>
                <w:sz w:val="22"/>
                <w:szCs w:val="22"/>
                <w:u w:val="none"/>
              </w:rPr>
            </w:pPr>
            <w:r>
              <w:rPr>
                <w:sz w:val="22"/>
                <w:szCs w:val="22"/>
              </w:rPr>
              <w:t>Top 10 Länder nach Anzahl neuer COVID-19-Fälle:</w:t>
            </w:r>
          </w:p>
          <w:p>
            <w:pPr>
              <w:pStyle w:val="Listenabsatz"/>
              <w:numPr>
                <w:ilvl w:val="1"/>
                <w:numId w:val="16"/>
              </w:numPr>
              <w:ind w:left="1043"/>
              <w:rPr>
                <w:sz w:val="22"/>
                <w:szCs w:val="22"/>
              </w:rPr>
            </w:pPr>
            <w:r>
              <w:rPr>
                <w:sz w:val="22"/>
                <w:szCs w:val="22"/>
              </w:rPr>
              <w:t>Die meisten Länder unverändert seit letzter Woche, Deutschland und Türkei (wieder) auf Liste</w:t>
            </w:r>
          </w:p>
          <w:p>
            <w:pPr>
              <w:pStyle w:val="Listenabsatz"/>
              <w:numPr>
                <w:ilvl w:val="0"/>
                <w:numId w:val="16"/>
              </w:numPr>
              <w:ind w:left="618"/>
              <w:rPr>
                <w:sz w:val="22"/>
                <w:szCs w:val="22"/>
              </w:rPr>
            </w:pPr>
            <w:r>
              <w:rPr>
                <w:sz w:val="22"/>
                <w:szCs w:val="22"/>
              </w:rPr>
              <w:t>7-Tages-Inzidenz weltweit pro 100.000 Einwohner</w:t>
            </w:r>
          </w:p>
          <w:p>
            <w:pPr>
              <w:pStyle w:val="Listenabsatz"/>
              <w:numPr>
                <w:ilvl w:val="1"/>
                <w:numId w:val="16"/>
              </w:numPr>
              <w:ind w:left="1043"/>
              <w:rPr>
                <w:sz w:val="22"/>
                <w:szCs w:val="22"/>
              </w:rPr>
            </w:pPr>
            <w:r>
              <w:rPr>
                <w:sz w:val="22"/>
                <w:szCs w:val="22"/>
              </w:rPr>
              <w:t>Karte hat sich nicht verändert</w:t>
            </w:r>
          </w:p>
          <w:p>
            <w:pPr>
              <w:pStyle w:val="Listenabsatz"/>
              <w:numPr>
                <w:ilvl w:val="0"/>
                <w:numId w:val="16"/>
              </w:numPr>
              <w:ind w:left="618"/>
              <w:rPr>
                <w:sz w:val="22"/>
                <w:szCs w:val="22"/>
              </w:rPr>
            </w:pPr>
            <w:r>
              <w:rPr>
                <w:sz w:val="22"/>
                <w:szCs w:val="22"/>
              </w:rPr>
              <w:t xml:space="preserve">WHO </w:t>
            </w:r>
            <w:proofErr w:type="spellStart"/>
            <w:r>
              <w:rPr>
                <w:sz w:val="22"/>
                <w:szCs w:val="22"/>
              </w:rPr>
              <w:t>Epidemiological</w:t>
            </w:r>
            <w:proofErr w:type="spellEnd"/>
            <w:r>
              <w:rPr>
                <w:sz w:val="22"/>
                <w:szCs w:val="22"/>
              </w:rPr>
              <w:t xml:space="preserve"> Update 09.02.2021</w:t>
            </w:r>
          </w:p>
          <w:p>
            <w:pPr>
              <w:pStyle w:val="Listenabsatz"/>
              <w:numPr>
                <w:ilvl w:val="1"/>
                <w:numId w:val="16"/>
              </w:numPr>
              <w:ind w:left="1043"/>
              <w:rPr>
                <w:sz w:val="22"/>
                <w:szCs w:val="22"/>
              </w:rPr>
            </w:pPr>
            <w:r>
              <w:rPr>
                <w:sz w:val="22"/>
                <w:szCs w:val="22"/>
              </w:rPr>
              <w:t xml:space="preserve">Die vierte Woche in Folge ist die Zahl der weltweit neu gemeldeten Fälle gesunken (niedrigster Wert seit Oktober). Alle WHO-Regionen melden Rückgang. </w:t>
            </w:r>
          </w:p>
          <w:p>
            <w:pPr>
              <w:pStyle w:val="Listenabsatz"/>
              <w:numPr>
                <w:ilvl w:val="1"/>
                <w:numId w:val="16"/>
              </w:numPr>
              <w:ind w:left="1043"/>
              <w:rPr>
                <w:sz w:val="22"/>
                <w:szCs w:val="22"/>
              </w:rPr>
            </w:pPr>
            <w:r>
              <w:rPr>
                <w:sz w:val="22"/>
                <w:szCs w:val="22"/>
              </w:rPr>
              <w:t>Auch die Zahl der neu gemeldeten Todesfälle ging die zweite Woche in Folge zurück</w:t>
            </w:r>
          </w:p>
          <w:p>
            <w:pPr>
              <w:pStyle w:val="Listenabsatz"/>
              <w:numPr>
                <w:ilvl w:val="0"/>
                <w:numId w:val="16"/>
              </w:numPr>
              <w:ind w:left="618"/>
              <w:rPr>
                <w:sz w:val="22"/>
                <w:szCs w:val="22"/>
                <w:lang w:val="en-US"/>
              </w:rPr>
            </w:pPr>
            <w:r>
              <w:rPr>
                <w:sz w:val="22"/>
                <w:szCs w:val="22"/>
                <w:lang w:val="en-US"/>
              </w:rPr>
              <w:t xml:space="preserve">SARS-CoV-2 </w:t>
            </w:r>
            <w:proofErr w:type="spellStart"/>
            <w:r>
              <w:rPr>
                <w:sz w:val="22"/>
                <w:szCs w:val="22"/>
                <w:lang w:val="en-US"/>
              </w:rPr>
              <w:t>Varianten</w:t>
            </w:r>
            <w:proofErr w:type="spellEnd"/>
            <w:r>
              <w:rPr>
                <w:sz w:val="22"/>
                <w:szCs w:val="22"/>
                <w:lang w:val="en-US"/>
              </w:rPr>
              <w:t>: VOC 202012/01 (</w:t>
            </w:r>
            <w:proofErr w:type="spellStart"/>
            <w:r>
              <w:rPr>
                <w:sz w:val="22"/>
                <w:szCs w:val="22"/>
                <w:lang w:val="en-US"/>
              </w:rPr>
              <w:t>Linie</w:t>
            </w:r>
            <w:proofErr w:type="spellEnd"/>
            <w:r>
              <w:rPr>
                <w:sz w:val="22"/>
                <w:szCs w:val="22"/>
                <w:lang w:val="en-US"/>
              </w:rPr>
              <w:t xml:space="preserve"> B.1.1.7)</w:t>
            </w:r>
          </w:p>
          <w:p>
            <w:pPr>
              <w:pStyle w:val="Listenabsatz"/>
              <w:numPr>
                <w:ilvl w:val="1"/>
                <w:numId w:val="16"/>
              </w:numPr>
              <w:ind w:left="1043"/>
              <w:rPr>
                <w:sz w:val="22"/>
                <w:szCs w:val="22"/>
              </w:rPr>
            </w:pPr>
            <w:r>
              <w:rPr>
                <w:sz w:val="22"/>
                <w:szCs w:val="22"/>
              </w:rPr>
              <w:t xml:space="preserve">38 Länder mit Nachweis von B1.1.7, 3 Länder mit Fällen unter </w:t>
            </w:r>
            <w:proofErr w:type="spellStart"/>
            <w:r>
              <w:rPr>
                <w:sz w:val="22"/>
                <w:szCs w:val="22"/>
              </w:rPr>
              <w:t>Verfizierung</w:t>
            </w:r>
            <w:proofErr w:type="spellEnd"/>
          </w:p>
          <w:p>
            <w:pPr>
              <w:pStyle w:val="Listenabsatz"/>
              <w:numPr>
                <w:ilvl w:val="1"/>
                <w:numId w:val="16"/>
              </w:numPr>
              <w:ind w:left="1043"/>
              <w:rPr>
                <w:sz w:val="22"/>
                <w:szCs w:val="22"/>
              </w:rPr>
            </w:pPr>
            <w:r>
              <w:rPr>
                <w:sz w:val="22"/>
                <w:szCs w:val="22"/>
              </w:rPr>
              <w:t>unverändert wie letzte Woche</w:t>
            </w:r>
          </w:p>
          <w:p>
            <w:pPr>
              <w:pStyle w:val="Listenabsatz"/>
              <w:numPr>
                <w:ilvl w:val="0"/>
                <w:numId w:val="16"/>
              </w:numPr>
              <w:ind w:left="618"/>
              <w:rPr>
                <w:sz w:val="22"/>
                <w:szCs w:val="22"/>
                <w:lang w:val="en-US"/>
              </w:rPr>
            </w:pPr>
            <w:r>
              <w:rPr>
                <w:sz w:val="22"/>
                <w:szCs w:val="22"/>
                <w:lang w:val="en-US"/>
              </w:rPr>
              <w:t xml:space="preserve">SARS-CoV-2 </w:t>
            </w:r>
            <w:proofErr w:type="spellStart"/>
            <w:r>
              <w:rPr>
                <w:sz w:val="22"/>
                <w:szCs w:val="22"/>
                <w:lang w:val="en-US"/>
              </w:rPr>
              <w:t>Varianten</w:t>
            </w:r>
            <w:proofErr w:type="spellEnd"/>
            <w:r>
              <w:rPr>
                <w:sz w:val="22"/>
                <w:szCs w:val="22"/>
                <w:lang w:val="en-US"/>
              </w:rPr>
              <w:t>: 501Y.V2 (</w:t>
            </w:r>
            <w:proofErr w:type="spellStart"/>
            <w:r>
              <w:rPr>
                <w:sz w:val="22"/>
                <w:szCs w:val="22"/>
                <w:lang w:val="en-US"/>
              </w:rPr>
              <w:t>Linie</w:t>
            </w:r>
            <w:proofErr w:type="spellEnd"/>
            <w:r>
              <w:rPr>
                <w:sz w:val="22"/>
                <w:szCs w:val="22"/>
                <w:lang w:val="en-US"/>
              </w:rPr>
              <w:t xml:space="preserve"> B1.351)</w:t>
            </w:r>
          </w:p>
          <w:p>
            <w:pPr>
              <w:pStyle w:val="Listenabsatz"/>
              <w:numPr>
                <w:ilvl w:val="1"/>
                <w:numId w:val="16"/>
              </w:numPr>
              <w:ind w:left="1043"/>
              <w:rPr>
                <w:sz w:val="22"/>
                <w:szCs w:val="22"/>
              </w:rPr>
            </w:pPr>
            <w:r>
              <w:rPr>
                <w:sz w:val="22"/>
                <w:szCs w:val="22"/>
              </w:rPr>
              <w:t xml:space="preserve">37 Länder mit bestätigten Fällen, 8 Länder mit Fällen unter </w:t>
            </w:r>
            <w:proofErr w:type="spellStart"/>
            <w:r>
              <w:rPr>
                <w:sz w:val="22"/>
                <w:szCs w:val="22"/>
              </w:rPr>
              <w:t>Verfizierung</w:t>
            </w:r>
            <w:proofErr w:type="spellEnd"/>
          </w:p>
          <w:p>
            <w:pPr>
              <w:pStyle w:val="Listenabsatz"/>
              <w:numPr>
                <w:ilvl w:val="1"/>
                <w:numId w:val="16"/>
              </w:numPr>
              <w:ind w:left="1043"/>
              <w:rPr>
                <w:sz w:val="22"/>
                <w:szCs w:val="22"/>
              </w:rPr>
            </w:pPr>
            <w:r>
              <w:rPr>
                <w:sz w:val="22"/>
                <w:szCs w:val="22"/>
              </w:rPr>
              <w:t>Spanien hat Fälle bestätigt</w:t>
            </w:r>
          </w:p>
          <w:p>
            <w:pPr>
              <w:pStyle w:val="Listenabsatz"/>
              <w:numPr>
                <w:ilvl w:val="1"/>
                <w:numId w:val="16"/>
              </w:numPr>
              <w:ind w:left="1043"/>
              <w:rPr>
                <w:sz w:val="22"/>
                <w:szCs w:val="22"/>
              </w:rPr>
            </w:pPr>
            <w:r>
              <w:rPr>
                <w:sz w:val="22"/>
                <w:szCs w:val="22"/>
              </w:rPr>
              <w:t>Italien, Malta und Türkei seit letzter Woche unbestätigte Fälle</w:t>
            </w:r>
          </w:p>
          <w:p>
            <w:pPr>
              <w:pStyle w:val="Listenabsatz"/>
              <w:numPr>
                <w:ilvl w:val="1"/>
                <w:numId w:val="16"/>
              </w:numPr>
              <w:ind w:left="1043"/>
              <w:rPr>
                <w:sz w:val="22"/>
                <w:szCs w:val="22"/>
              </w:rPr>
            </w:pPr>
            <w:r>
              <w:rPr>
                <w:sz w:val="22"/>
                <w:szCs w:val="22"/>
              </w:rPr>
              <w:t>Tirol, Slowakei und Tschechien neues Virusvariantengebiet</w:t>
            </w:r>
          </w:p>
          <w:p>
            <w:pPr>
              <w:pStyle w:val="Listenabsatz"/>
              <w:numPr>
                <w:ilvl w:val="0"/>
                <w:numId w:val="16"/>
              </w:numPr>
              <w:ind w:left="618"/>
              <w:rPr>
                <w:sz w:val="22"/>
                <w:szCs w:val="22"/>
                <w:lang w:val="en-US"/>
              </w:rPr>
            </w:pPr>
            <w:r>
              <w:rPr>
                <w:sz w:val="22"/>
                <w:szCs w:val="22"/>
                <w:lang w:val="en-US"/>
              </w:rPr>
              <w:t xml:space="preserve">SARS-CoV-2 </w:t>
            </w:r>
            <w:proofErr w:type="spellStart"/>
            <w:r>
              <w:rPr>
                <w:sz w:val="22"/>
                <w:szCs w:val="22"/>
                <w:lang w:val="en-US"/>
              </w:rPr>
              <w:t>Varianten</w:t>
            </w:r>
            <w:proofErr w:type="spellEnd"/>
            <w:r>
              <w:rPr>
                <w:sz w:val="22"/>
                <w:szCs w:val="22"/>
                <w:lang w:val="en-US"/>
              </w:rPr>
              <w:t xml:space="preserve">: P1. </w:t>
            </w:r>
            <w:proofErr w:type="spellStart"/>
            <w:r>
              <w:rPr>
                <w:sz w:val="22"/>
                <w:szCs w:val="22"/>
                <w:lang w:val="en-US"/>
              </w:rPr>
              <w:t>Variante</w:t>
            </w:r>
            <w:proofErr w:type="spellEnd"/>
            <w:r>
              <w:rPr>
                <w:sz w:val="22"/>
                <w:szCs w:val="22"/>
                <w:lang w:val="en-US"/>
              </w:rPr>
              <w:t xml:space="preserve"> (</w:t>
            </w:r>
            <w:proofErr w:type="spellStart"/>
            <w:r>
              <w:rPr>
                <w:sz w:val="22"/>
                <w:szCs w:val="22"/>
                <w:lang w:val="en-US"/>
              </w:rPr>
              <w:t>Linie</w:t>
            </w:r>
            <w:proofErr w:type="spellEnd"/>
            <w:r>
              <w:rPr>
                <w:sz w:val="22"/>
                <w:szCs w:val="22"/>
                <w:lang w:val="en-US"/>
              </w:rPr>
              <w:t xml:space="preserve"> B1.128.1)</w:t>
            </w:r>
          </w:p>
          <w:p>
            <w:pPr>
              <w:pStyle w:val="Listenabsatz"/>
              <w:numPr>
                <w:ilvl w:val="1"/>
                <w:numId w:val="16"/>
              </w:numPr>
              <w:ind w:left="1043"/>
              <w:rPr>
                <w:sz w:val="22"/>
                <w:szCs w:val="22"/>
              </w:rPr>
            </w:pPr>
            <w:r>
              <w:rPr>
                <w:sz w:val="22"/>
                <w:szCs w:val="22"/>
              </w:rPr>
              <w:t>Neue Länder: Peru, Spanien, Frankreich, Niederlande</w:t>
            </w:r>
          </w:p>
          <w:p>
            <w:pPr>
              <w:pStyle w:val="Listenabsatz"/>
              <w:numPr>
                <w:ilvl w:val="1"/>
                <w:numId w:val="16"/>
              </w:numPr>
              <w:ind w:left="1043"/>
              <w:rPr>
                <w:sz w:val="22"/>
                <w:szCs w:val="22"/>
              </w:rPr>
            </w:pPr>
            <w:r>
              <w:rPr>
                <w:sz w:val="22"/>
                <w:szCs w:val="22"/>
              </w:rPr>
              <w:t xml:space="preserve">Kanada und Türkei Fälle unter </w:t>
            </w:r>
            <w:proofErr w:type="spellStart"/>
            <w:r>
              <w:rPr>
                <w:sz w:val="22"/>
                <w:szCs w:val="22"/>
              </w:rPr>
              <w:t>Verifzierung</w:t>
            </w:r>
            <w:proofErr w:type="spellEnd"/>
          </w:p>
          <w:p>
            <w:pPr>
              <w:pStyle w:val="Listenabsatz"/>
              <w:numPr>
                <w:ilvl w:val="0"/>
                <w:numId w:val="16"/>
              </w:numPr>
              <w:ind w:left="618"/>
              <w:rPr>
                <w:sz w:val="22"/>
                <w:szCs w:val="22"/>
              </w:rPr>
            </w:pPr>
            <w:r>
              <w:rPr>
                <w:sz w:val="22"/>
                <w:szCs w:val="22"/>
              </w:rPr>
              <w:t>SARS-CoV-2-Varianten: Nachbarländer Deutschlands</w:t>
            </w:r>
          </w:p>
          <w:p>
            <w:pPr>
              <w:pStyle w:val="Listenabsatz"/>
              <w:numPr>
                <w:ilvl w:val="1"/>
                <w:numId w:val="16"/>
              </w:numPr>
              <w:ind w:left="1043"/>
              <w:rPr>
                <w:sz w:val="22"/>
                <w:szCs w:val="22"/>
              </w:rPr>
            </w:pPr>
            <w:r>
              <w:rPr>
                <w:sz w:val="22"/>
                <w:szCs w:val="22"/>
              </w:rPr>
              <w:t>Überblick in welchen Nachbarländern Deutschlands welche Varianten vorhanden sind</w:t>
            </w:r>
          </w:p>
          <w:p>
            <w:pPr>
              <w:pStyle w:val="Listenabsatz"/>
              <w:numPr>
                <w:ilvl w:val="1"/>
                <w:numId w:val="16"/>
              </w:numPr>
              <w:ind w:left="1043"/>
              <w:rPr>
                <w:sz w:val="22"/>
                <w:szCs w:val="22"/>
              </w:rPr>
            </w:pPr>
            <w:r>
              <w:rPr>
                <w:sz w:val="22"/>
                <w:szCs w:val="22"/>
              </w:rPr>
              <w:t>Quellen allerdings sehr unterschiedlich</w:t>
            </w:r>
          </w:p>
          <w:p>
            <w:pPr>
              <w:pStyle w:val="Listenabsatz"/>
              <w:numPr>
                <w:ilvl w:val="0"/>
                <w:numId w:val="16"/>
              </w:numPr>
              <w:ind w:left="618"/>
              <w:rPr>
                <w:sz w:val="22"/>
                <w:szCs w:val="22"/>
              </w:rPr>
            </w:pPr>
            <w:r>
              <w:rPr>
                <w:sz w:val="22"/>
                <w:szCs w:val="22"/>
              </w:rPr>
              <w:t>Anteil der vollständig gegen COVID-19 geimpften Bevölkerung</w:t>
            </w:r>
          </w:p>
          <w:p>
            <w:pPr>
              <w:pStyle w:val="Listenabsatz"/>
              <w:numPr>
                <w:ilvl w:val="1"/>
                <w:numId w:val="16"/>
              </w:numPr>
              <w:ind w:left="1043"/>
              <w:rPr>
                <w:sz w:val="22"/>
                <w:szCs w:val="22"/>
              </w:rPr>
            </w:pPr>
            <w:r>
              <w:rPr>
                <w:sz w:val="22"/>
                <w:szCs w:val="22"/>
              </w:rPr>
              <w:t>3 Länder mit den meisten Impfungen wie letzte Woche</w:t>
            </w:r>
          </w:p>
          <w:p>
            <w:pPr>
              <w:pStyle w:val="Listenabsatz"/>
              <w:numPr>
                <w:ilvl w:val="0"/>
                <w:numId w:val="16"/>
              </w:numPr>
              <w:ind w:left="618"/>
              <w:rPr>
                <w:sz w:val="22"/>
                <w:szCs w:val="22"/>
              </w:rPr>
            </w:pPr>
            <w:proofErr w:type="spellStart"/>
            <w:r>
              <w:rPr>
                <w:sz w:val="22"/>
                <w:szCs w:val="22"/>
              </w:rPr>
              <w:t>Excess</w:t>
            </w:r>
            <w:proofErr w:type="spellEnd"/>
            <w:r>
              <w:rPr>
                <w:sz w:val="22"/>
                <w:szCs w:val="22"/>
              </w:rPr>
              <w:t xml:space="preserve"> Mortalität Europa</w:t>
            </w:r>
          </w:p>
          <w:p>
            <w:pPr>
              <w:pStyle w:val="Listenabsatz"/>
              <w:numPr>
                <w:ilvl w:val="1"/>
                <w:numId w:val="16"/>
              </w:numPr>
              <w:ind w:left="1043"/>
              <w:rPr>
                <w:sz w:val="22"/>
                <w:szCs w:val="22"/>
              </w:rPr>
            </w:pPr>
            <w:r>
              <w:rPr>
                <w:sz w:val="22"/>
                <w:szCs w:val="22"/>
              </w:rPr>
              <w:t xml:space="preserve">Portugal und UK zeigen hohe </w:t>
            </w:r>
            <w:proofErr w:type="spellStart"/>
            <w:r>
              <w:rPr>
                <w:sz w:val="22"/>
                <w:szCs w:val="22"/>
              </w:rPr>
              <w:t>Excess</w:t>
            </w:r>
            <w:proofErr w:type="spellEnd"/>
            <w:r>
              <w:rPr>
                <w:sz w:val="22"/>
                <w:szCs w:val="22"/>
              </w:rPr>
              <w:t xml:space="preserve"> Mortalität</w:t>
            </w:r>
          </w:p>
          <w:p>
            <w:pPr>
              <w:pStyle w:val="Listenabsatz"/>
              <w:numPr>
                <w:ilvl w:val="0"/>
                <w:numId w:val="16"/>
              </w:numPr>
              <w:ind w:left="618"/>
              <w:rPr>
                <w:sz w:val="22"/>
                <w:szCs w:val="22"/>
              </w:rPr>
            </w:pPr>
            <w:r>
              <w:rPr>
                <w:sz w:val="22"/>
                <w:szCs w:val="22"/>
              </w:rPr>
              <w:t>Diskussion:</w:t>
            </w:r>
          </w:p>
          <w:p>
            <w:pPr>
              <w:pStyle w:val="Listenabsatz"/>
              <w:numPr>
                <w:ilvl w:val="1"/>
                <w:numId w:val="16"/>
              </w:numPr>
              <w:ind w:left="1043"/>
              <w:rPr>
                <w:sz w:val="22"/>
                <w:szCs w:val="22"/>
              </w:rPr>
            </w:pPr>
            <w:r>
              <w:rPr>
                <w:sz w:val="22"/>
                <w:szCs w:val="22"/>
              </w:rPr>
              <w:t>In der Übersicht über die Varianten in den Nachbarländern liegt der Anteil für Tschechien bei nur 16,7%. Allerdings wurden nur 120 Proben sequenziert.  Nach Daten eines PCR-Herstellers in den Städten (Pilsen, Prag) Anteil bei fast 50%, auch bei Pendlern hoher Anteil und Tschechien selbst hat bst. Gebiete zu Risikogebieten erklärt. Anteil ich Slowakei bei 74%, in Grenzgebieten zu Tschechien wahrscheinlich ähnlich</w:t>
            </w:r>
          </w:p>
          <w:p>
            <w:pPr>
              <w:pStyle w:val="Listenabsatz"/>
              <w:numPr>
                <w:ilvl w:val="1"/>
                <w:numId w:val="16"/>
              </w:numPr>
              <w:ind w:left="1043"/>
              <w:rPr>
                <w:sz w:val="22"/>
                <w:szCs w:val="22"/>
              </w:rPr>
            </w:pPr>
            <w:r>
              <w:rPr>
                <w:sz w:val="22"/>
                <w:szCs w:val="22"/>
              </w:rPr>
              <w:t xml:space="preserve">Länder, die hohe </w:t>
            </w:r>
            <w:proofErr w:type="spellStart"/>
            <w:r>
              <w:rPr>
                <w:sz w:val="22"/>
                <w:szCs w:val="22"/>
              </w:rPr>
              <w:t>Excess</w:t>
            </w:r>
            <w:proofErr w:type="spellEnd"/>
            <w:r>
              <w:rPr>
                <w:sz w:val="22"/>
                <w:szCs w:val="22"/>
              </w:rPr>
              <w:t xml:space="preserve">-Mortalität gesehen haben, sprechen von sinkenden Todeszahlen, insgesamt leichter Abfall </w:t>
            </w:r>
          </w:p>
          <w:p>
            <w:pPr>
              <w:pStyle w:val="Listenabsatz"/>
              <w:numPr>
                <w:ilvl w:val="1"/>
                <w:numId w:val="16"/>
              </w:numPr>
              <w:ind w:left="1043"/>
              <w:rPr>
                <w:sz w:val="22"/>
                <w:szCs w:val="22"/>
              </w:rPr>
            </w:pPr>
            <w:r>
              <w:rPr>
                <w:sz w:val="22"/>
                <w:szCs w:val="22"/>
              </w:rPr>
              <w:lastRenderedPageBreak/>
              <w:t xml:space="preserve">In UK: VOC mit B1.1.7 + Mutation E484K bisher 55 Fälle im Cluster, zusätzlich noch eine weitere Variante in UK </w:t>
            </w:r>
            <w:proofErr w:type="spellStart"/>
            <w:r>
              <w:rPr>
                <w:sz w:val="22"/>
                <w:szCs w:val="22"/>
              </w:rPr>
              <w:t>under</w:t>
            </w:r>
            <w:proofErr w:type="spellEnd"/>
            <w:r>
              <w:rPr>
                <w:sz w:val="22"/>
                <w:szCs w:val="22"/>
              </w:rPr>
              <w:t xml:space="preserve"> </w:t>
            </w:r>
            <w:proofErr w:type="spellStart"/>
            <w:r>
              <w:rPr>
                <w:sz w:val="22"/>
                <w:szCs w:val="22"/>
              </w:rPr>
              <w:t>investigation</w:t>
            </w:r>
            <w:proofErr w:type="spellEnd"/>
          </w:p>
          <w:p>
            <w:pPr>
              <w:pStyle w:val="Listenabsatz"/>
              <w:numPr>
                <w:ilvl w:val="1"/>
                <w:numId w:val="16"/>
              </w:numPr>
              <w:ind w:left="1037" w:hanging="357"/>
              <w:rPr>
                <w:sz w:val="22"/>
                <w:szCs w:val="22"/>
              </w:rPr>
            </w:pPr>
            <w:r>
              <w:rPr>
                <w:sz w:val="22"/>
                <w:szCs w:val="22"/>
              </w:rPr>
              <w:t>Aus Dänemark auch Bericht zu neuer Variante mit E484K-Mutation (</w:t>
            </w:r>
            <w:proofErr w:type="spellStart"/>
            <w:r>
              <w:rPr>
                <w:sz w:val="22"/>
                <w:szCs w:val="22"/>
              </w:rPr>
              <w:t>mind</w:t>
            </w:r>
            <w:proofErr w:type="spellEnd"/>
            <w:r>
              <w:rPr>
                <w:sz w:val="22"/>
                <w:szCs w:val="22"/>
              </w:rPr>
              <w:t xml:space="preserve"> 50 Fälle, E484K-Variante)</w:t>
            </w:r>
          </w:p>
          <w:p>
            <w:pPr>
              <w:pStyle w:val="Listenabsatz"/>
              <w:numPr>
                <w:ilvl w:val="1"/>
                <w:numId w:val="16"/>
              </w:numPr>
              <w:ind w:left="1037" w:hanging="357"/>
              <w:rPr>
                <w:sz w:val="22"/>
                <w:szCs w:val="22"/>
              </w:rPr>
            </w:pPr>
            <w:r>
              <w:rPr>
                <w:sz w:val="22"/>
                <w:szCs w:val="22"/>
              </w:rPr>
              <w:t>Insgesamt wird die Problematik der Einschätzung der Eigenschaften der verschiedenen neuen Varianten in den nächsten Wochen zunehmen.</w:t>
            </w:r>
          </w:p>
          <w:p>
            <w:pPr>
              <w:pStyle w:val="Listenabsatz"/>
              <w:numPr>
                <w:ilvl w:val="1"/>
                <w:numId w:val="16"/>
              </w:numPr>
              <w:ind w:left="1037" w:hanging="357"/>
              <w:rPr>
                <w:sz w:val="22"/>
                <w:szCs w:val="22"/>
              </w:rPr>
            </w:pPr>
            <w:r>
              <w:rPr>
                <w:sz w:val="22"/>
                <w:szCs w:val="22"/>
              </w:rPr>
              <w:t xml:space="preserve">PK des brasilianischen Gesundheitsministeriums: 3-fach erhöhte Transmission der neuen Variante (aber keine weiteren Daten/Quellen dazu), Impfstoffe werden getestet - Verringerung der schweren Verläufe </w:t>
            </w:r>
          </w:p>
          <w:p>
            <w:pPr>
              <w:rPr>
                <w:b/>
                <w:sz w:val="22"/>
                <w:szCs w:val="22"/>
              </w:rPr>
            </w:pPr>
            <w:r>
              <w:rPr>
                <w:b/>
                <w:sz w:val="22"/>
                <w:szCs w:val="22"/>
              </w:rPr>
              <w:t xml:space="preserve">National </w:t>
            </w:r>
          </w:p>
          <w:p>
            <w:pPr>
              <w:pStyle w:val="Listenabsatz"/>
              <w:numPr>
                <w:ilvl w:val="0"/>
                <w:numId w:val="7"/>
              </w:numPr>
              <w:rPr>
                <w:sz w:val="22"/>
                <w:szCs w:val="22"/>
              </w:rPr>
            </w:pPr>
            <w:r>
              <w:rPr>
                <w:sz w:val="22"/>
                <w:szCs w:val="22"/>
              </w:rPr>
              <w:t xml:space="preserve">Fallzahlen, Todesfälle, Trend (Folien </w:t>
            </w:r>
            <w:hyperlink r:id="rId15" w:history="1">
              <w:r>
                <w:rPr>
                  <w:rStyle w:val="Hyperlink"/>
                  <w:sz w:val="22"/>
                  <w:szCs w:val="22"/>
                </w:rPr>
                <w:t>hier</w:t>
              </w:r>
            </w:hyperlink>
            <w:r>
              <w:rPr>
                <w:sz w:val="22"/>
                <w:szCs w:val="22"/>
              </w:rPr>
              <w:t xml:space="preserve">) </w:t>
            </w:r>
          </w:p>
          <w:p>
            <w:pPr>
              <w:pStyle w:val="Listenabsatz"/>
              <w:numPr>
                <w:ilvl w:val="1"/>
                <w:numId w:val="7"/>
              </w:numPr>
              <w:ind w:left="1179" w:hanging="357"/>
              <w:rPr>
                <w:sz w:val="22"/>
                <w:szCs w:val="22"/>
              </w:rPr>
            </w:pPr>
            <w:proofErr w:type="spellStart"/>
            <w:r>
              <w:rPr>
                <w:sz w:val="22"/>
                <w:szCs w:val="22"/>
              </w:rPr>
              <w:t>SurvNet</w:t>
            </w:r>
            <w:proofErr w:type="spellEnd"/>
            <w:r>
              <w:rPr>
                <w:sz w:val="22"/>
                <w:szCs w:val="22"/>
              </w:rPr>
              <w:t xml:space="preserve"> übermittelt: 2.320.093 (+9.860), davon 64.191 (+556) Todesfälle, 7-Tage-Inzidenz 62/100.000 EW </w:t>
            </w:r>
          </w:p>
          <w:p>
            <w:pPr>
              <w:pStyle w:val="Listenabsatz"/>
              <w:numPr>
                <w:ilvl w:val="1"/>
                <w:numId w:val="7"/>
              </w:numPr>
              <w:ind w:left="1185"/>
              <w:rPr>
                <w:sz w:val="22"/>
                <w:szCs w:val="22"/>
              </w:rPr>
            </w:pPr>
            <w:proofErr w:type="spellStart"/>
            <w:r>
              <w:rPr>
                <w:sz w:val="22"/>
                <w:szCs w:val="22"/>
              </w:rPr>
              <w:t>Impfmonitoring</w:t>
            </w:r>
            <w:proofErr w:type="spellEnd"/>
            <w:r>
              <w:rPr>
                <w:sz w:val="22"/>
                <w:szCs w:val="22"/>
              </w:rPr>
              <w:t>: Geimpfte mit einer Impfung 2.940.423 (3%), mit 2 Impfungen 1.178.725 (1,4%)</w:t>
            </w:r>
          </w:p>
          <w:p>
            <w:pPr>
              <w:pStyle w:val="Listenabsatz"/>
              <w:numPr>
                <w:ilvl w:val="1"/>
                <w:numId w:val="7"/>
              </w:numPr>
              <w:ind w:left="1185"/>
              <w:rPr>
                <w:sz w:val="22"/>
                <w:szCs w:val="22"/>
              </w:rPr>
            </w:pPr>
            <w:r>
              <w:rPr>
                <w:sz w:val="22"/>
                <w:szCs w:val="22"/>
              </w:rPr>
              <w:t>DIVI-Intensivregister: 3.675 Fälle in Behandlung</w:t>
            </w:r>
          </w:p>
          <w:p>
            <w:pPr>
              <w:pStyle w:val="Listenabsatz"/>
              <w:ind w:left="1185"/>
              <w:rPr>
                <w:sz w:val="22"/>
                <w:szCs w:val="22"/>
              </w:rPr>
            </w:pPr>
            <w:r>
              <w:rPr>
                <w:sz w:val="22"/>
                <w:szCs w:val="22"/>
              </w:rPr>
              <w:t>(-61)</w:t>
            </w:r>
          </w:p>
          <w:p>
            <w:pPr>
              <w:pStyle w:val="Listenabsatz"/>
              <w:numPr>
                <w:ilvl w:val="1"/>
                <w:numId w:val="7"/>
              </w:numPr>
              <w:ind w:left="1185"/>
              <w:rPr>
                <w:sz w:val="22"/>
                <w:szCs w:val="22"/>
              </w:rPr>
            </w:pPr>
            <w:r>
              <w:rPr>
                <w:sz w:val="22"/>
                <w:szCs w:val="22"/>
              </w:rPr>
              <w:t xml:space="preserve">aus </w:t>
            </w:r>
            <w:proofErr w:type="spellStart"/>
            <w:r>
              <w:rPr>
                <w:sz w:val="22"/>
                <w:szCs w:val="22"/>
              </w:rPr>
              <w:t>intensivmed</w:t>
            </w:r>
            <w:proofErr w:type="spellEnd"/>
            <w:r>
              <w:rPr>
                <w:sz w:val="22"/>
                <w:szCs w:val="22"/>
              </w:rPr>
              <w:t>. Behandlung entlassen: +497, davon 25% verstorben</w:t>
            </w:r>
          </w:p>
          <w:p>
            <w:pPr>
              <w:pStyle w:val="Listenabsatz"/>
              <w:numPr>
                <w:ilvl w:val="1"/>
                <w:numId w:val="7"/>
              </w:numPr>
              <w:ind w:left="1185"/>
              <w:rPr>
                <w:sz w:val="22"/>
                <w:szCs w:val="22"/>
              </w:rPr>
            </w:pPr>
            <w:r>
              <w:rPr>
                <w:sz w:val="22"/>
                <w:szCs w:val="22"/>
              </w:rPr>
              <w:t>7-Tages-Inzidenz der Bundesländer nach Berichtsdatum</w:t>
            </w:r>
          </w:p>
          <w:p>
            <w:pPr>
              <w:pStyle w:val="Listenabsatz"/>
              <w:numPr>
                <w:ilvl w:val="2"/>
                <w:numId w:val="7"/>
              </w:numPr>
              <w:ind w:left="1752"/>
              <w:rPr>
                <w:sz w:val="22"/>
                <w:szCs w:val="22"/>
              </w:rPr>
            </w:pPr>
            <w:r>
              <w:rPr>
                <w:sz w:val="22"/>
                <w:szCs w:val="22"/>
              </w:rPr>
              <w:t>Rückläufiger Trend in allen BL, TH weiterhin höchste Inzidenz, MV muss beobachtet werden</w:t>
            </w:r>
          </w:p>
          <w:p>
            <w:pPr>
              <w:pStyle w:val="Listenabsatz"/>
              <w:numPr>
                <w:ilvl w:val="1"/>
                <w:numId w:val="7"/>
              </w:numPr>
              <w:ind w:left="1185"/>
              <w:rPr>
                <w:sz w:val="22"/>
                <w:szCs w:val="22"/>
              </w:rPr>
            </w:pPr>
            <w:r>
              <w:rPr>
                <w:sz w:val="22"/>
                <w:szCs w:val="22"/>
              </w:rPr>
              <w:t>Geografische Verteilung 7-Tage-Inzidenz nach LK</w:t>
            </w:r>
          </w:p>
          <w:p>
            <w:pPr>
              <w:pStyle w:val="Listenabsatz"/>
              <w:numPr>
                <w:ilvl w:val="2"/>
                <w:numId w:val="7"/>
              </w:numPr>
              <w:ind w:left="1752"/>
              <w:rPr>
                <w:sz w:val="22"/>
                <w:szCs w:val="22"/>
              </w:rPr>
            </w:pPr>
            <w:r>
              <w:rPr>
                <w:sz w:val="22"/>
                <w:szCs w:val="22"/>
              </w:rPr>
              <w:t>143 LK &lt; 50/100.000, Anstieg hier</w:t>
            </w:r>
          </w:p>
          <w:p>
            <w:pPr>
              <w:pStyle w:val="Listenabsatz"/>
              <w:numPr>
                <w:ilvl w:val="2"/>
                <w:numId w:val="7"/>
              </w:numPr>
              <w:ind w:left="1752"/>
              <w:rPr>
                <w:sz w:val="22"/>
                <w:szCs w:val="22"/>
              </w:rPr>
            </w:pPr>
            <w:r>
              <w:rPr>
                <w:sz w:val="22"/>
                <w:szCs w:val="22"/>
              </w:rPr>
              <w:t>Mehrzahl der LK &gt;50/100.000</w:t>
            </w:r>
          </w:p>
          <w:p>
            <w:pPr>
              <w:pStyle w:val="Listenabsatz"/>
              <w:numPr>
                <w:ilvl w:val="2"/>
                <w:numId w:val="7"/>
              </w:numPr>
              <w:ind w:left="1752"/>
              <w:rPr>
                <w:sz w:val="22"/>
                <w:szCs w:val="22"/>
              </w:rPr>
            </w:pPr>
            <w:r>
              <w:rPr>
                <w:sz w:val="22"/>
                <w:szCs w:val="22"/>
              </w:rPr>
              <w:t>Besonders stark betroffen Tirschenreuth und einzelne weitere LK</w:t>
            </w:r>
          </w:p>
          <w:p>
            <w:pPr>
              <w:pStyle w:val="Listenabsatz"/>
              <w:numPr>
                <w:ilvl w:val="1"/>
                <w:numId w:val="7"/>
              </w:numPr>
              <w:ind w:left="1185"/>
              <w:rPr>
                <w:sz w:val="22"/>
                <w:szCs w:val="22"/>
              </w:rPr>
            </w:pPr>
            <w:r>
              <w:rPr>
                <w:sz w:val="22"/>
                <w:szCs w:val="22"/>
              </w:rPr>
              <w:t>Sterbefallzahlen Deutschland</w:t>
            </w:r>
          </w:p>
          <w:p>
            <w:pPr>
              <w:pStyle w:val="Listenabsatz"/>
              <w:numPr>
                <w:ilvl w:val="2"/>
                <w:numId w:val="7"/>
              </w:numPr>
              <w:ind w:left="1752"/>
              <w:rPr>
                <w:sz w:val="22"/>
                <w:szCs w:val="22"/>
              </w:rPr>
            </w:pPr>
            <w:r>
              <w:rPr>
                <w:sz w:val="22"/>
                <w:szCs w:val="22"/>
              </w:rPr>
              <w:t xml:space="preserve">Leichter Rückgang bzw. Plateau, trotzdem weiterhin Übersterblichkeit, leichter Verzug </w:t>
            </w:r>
          </w:p>
          <w:p>
            <w:pPr>
              <w:pStyle w:val="Listenabsatz"/>
              <w:numPr>
                <w:ilvl w:val="1"/>
                <w:numId w:val="7"/>
              </w:numPr>
              <w:ind w:left="1185"/>
              <w:rPr>
                <w:sz w:val="22"/>
                <w:szCs w:val="22"/>
              </w:rPr>
            </w:pPr>
            <w:r>
              <w:rPr>
                <w:sz w:val="22"/>
                <w:szCs w:val="22"/>
              </w:rPr>
              <w:t>Sterbefallzahlen nach BL</w:t>
            </w:r>
          </w:p>
          <w:p>
            <w:pPr>
              <w:pStyle w:val="Listenabsatz"/>
              <w:numPr>
                <w:ilvl w:val="2"/>
                <w:numId w:val="7"/>
              </w:numPr>
              <w:ind w:left="1752"/>
              <w:rPr>
                <w:sz w:val="22"/>
                <w:szCs w:val="22"/>
              </w:rPr>
            </w:pPr>
            <w:r>
              <w:rPr>
                <w:sz w:val="22"/>
                <w:szCs w:val="22"/>
              </w:rPr>
              <w:t>Nun auch von Destatis abgebildet, sehr unterschiedlich nach BL, da Länder unterschiedlich stark betroffen</w:t>
            </w:r>
          </w:p>
          <w:p>
            <w:pPr>
              <w:pStyle w:val="Listenabsatz"/>
              <w:numPr>
                <w:ilvl w:val="1"/>
                <w:numId w:val="7"/>
              </w:numPr>
              <w:ind w:left="1185"/>
              <w:rPr>
                <w:sz w:val="22"/>
                <w:szCs w:val="22"/>
              </w:rPr>
            </w:pPr>
            <w:r>
              <w:rPr>
                <w:sz w:val="22"/>
                <w:szCs w:val="22"/>
              </w:rPr>
              <w:t>Diskussion</w:t>
            </w:r>
          </w:p>
          <w:p>
            <w:pPr>
              <w:pStyle w:val="Listenabsatz"/>
              <w:numPr>
                <w:ilvl w:val="2"/>
                <w:numId w:val="7"/>
              </w:numPr>
              <w:ind w:left="1752"/>
              <w:rPr>
                <w:sz w:val="22"/>
                <w:szCs w:val="22"/>
              </w:rPr>
            </w:pPr>
            <w:r>
              <w:rPr>
                <w:sz w:val="22"/>
                <w:szCs w:val="22"/>
              </w:rPr>
              <w:t>Weiterhin interessant, dass die Kurven aller BL auf einen Inzidenzwert hinsteuern und nicht weiter runtergehen</w:t>
            </w:r>
          </w:p>
          <w:p>
            <w:pPr>
              <w:pStyle w:val="Listenabsatz"/>
              <w:numPr>
                <w:ilvl w:val="2"/>
                <w:numId w:val="7"/>
              </w:numPr>
              <w:ind w:left="1752"/>
              <w:rPr>
                <w:sz w:val="22"/>
                <w:szCs w:val="22"/>
              </w:rPr>
            </w:pPr>
            <w:r>
              <w:rPr>
                <w:sz w:val="22"/>
                <w:szCs w:val="22"/>
              </w:rPr>
              <w:t xml:space="preserve">Analysen zu Unterschieden in Mortalität schon in Meldedatengruppe durch Sara Tomczyk und Mirko Faber, weitere Analysen sollen bei nächstem Treffen vorgestellt werden, auch altersadjustierte Analysen und Analysen zu Bevölkerungsstruktur (wie viele Personen wohnen in Alten- und Pflegeheimen etc.) werden durchgeführt </w:t>
            </w:r>
          </w:p>
          <w:p>
            <w:pPr>
              <w:pStyle w:val="Listenabsatz"/>
              <w:numPr>
                <w:ilvl w:val="2"/>
                <w:numId w:val="7"/>
              </w:numPr>
              <w:ind w:left="1752"/>
              <w:rPr>
                <w:sz w:val="22"/>
                <w:szCs w:val="22"/>
              </w:rPr>
            </w:pPr>
            <w:r>
              <w:rPr>
                <w:sz w:val="22"/>
                <w:szCs w:val="22"/>
              </w:rPr>
              <w:t xml:space="preserve">In </w:t>
            </w:r>
            <w:proofErr w:type="spellStart"/>
            <w:r>
              <w:rPr>
                <w:sz w:val="22"/>
                <w:szCs w:val="22"/>
              </w:rPr>
              <w:t>Euromomo</w:t>
            </w:r>
            <w:proofErr w:type="spellEnd"/>
            <w:r>
              <w:rPr>
                <w:sz w:val="22"/>
                <w:szCs w:val="22"/>
              </w:rPr>
              <w:t xml:space="preserve"> sieht man Untersterblichkeit bei 0-14-jährigen (</w:t>
            </w:r>
            <w:proofErr w:type="spellStart"/>
            <w:r>
              <w:rPr>
                <w:sz w:val="22"/>
                <w:szCs w:val="22"/>
              </w:rPr>
              <w:t>Aufall</w:t>
            </w:r>
            <w:proofErr w:type="spellEnd"/>
            <w:r>
              <w:rPr>
                <w:sz w:val="22"/>
                <w:szCs w:val="22"/>
              </w:rPr>
              <w:t xml:space="preserve"> der Grippewelle etc.)</w:t>
            </w:r>
          </w:p>
          <w:p>
            <w:pPr>
              <w:pStyle w:val="Listenabsatz"/>
              <w:numPr>
                <w:ilvl w:val="2"/>
                <w:numId w:val="7"/>
              </w:numPr>
              <w:spacing w:after="120"/>
              <w:ind w:left="1752" w:hanging="357"/>
              <w:rPr>
                <w:sz w:val="22"/>
                <w:szCs w:val="22"/>
              </w:rPr>
            </w:pPr>
            <w:r>
              <w:rPr>
                <w:sz w:val="22"/>
                <w:szCs w:val="22"/>
              </w:rPr>
              <w:t xml:space="preserve">Artikel zu Auswirkungen von COVID-19 auf andere Infektionskrankheiten in </w:t>
            </w:r>
            <w:proofErr w:type="spellStart"/>
            <w:r>
              <w:rPr>
                <w:sz w:val="22"/>
                <w:szCs w:val="22"/>
              </w:rPr>
              <w:t>EpidBull</w:t>
            </w:r>
            <w:proofErr w:type="spellEnd"/>
            <w:r>
              <w:rPr>
                <w:sz w:val="22"/>
                <w:szCs w:val="22"/>
              </w:rPr>
              <w:t xml:space="preserve"> erschienen. </w:t>
            </w:r>
          </w:p>
        </w:tc>
        <w:tc>
          <w:tcPr>
            <w:tcW w:w="1492" w:type="dxa"/>
          </w:tcPr>
          <w:p>
            <w:pPr>
              <w:rPr>
                <w:sz w:val="22"/>
                <w:szCs w:val="22"/>
              </w:rPr>
            </w:pPr>
          </w:p>
          <w:p>
            <w:pPr>
              <w:rPr>
                <w:sz w:val="22"/>
                <w:szCs w:val="22"/>
              </w:rPr>
            </w:pPr>
          </w:p>
          <w:p>
            <w:pPr>
              <w:rPr>
                <w:sz w:val="22"/>
                <w:szCs w:val="22"/>
                <w:lang w:val="en-US"/>
              </w:rPr>
            </w:pPr>
            <w:r>
              <w:rPr>
                <w:sz w:val="22"/>
                <w:szCs w:val="22"/>
                <w:lang w:val="en-US"/>
              </w:rPr>
              <w:t>ZIG1 (Romo Ventura)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ZIG1 (Esquevin), FG36 (Buda)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rPr>
            </w:pPr>
            <w:r>
              <w:rPr>
                <w:sz w:val="22"/>
                <w:szCs w:val="22"/>
              </w:rPr>
              <w:t>FG32 (</w:t>
            </w:r>
            <w:r>
              <w:rPr>
                <w:sz w:val="22"/>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AL3, FG32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spacing w:after="120"/>
              <w:ind w:left="453" w:hanging="340"/>
              <w:rPr>
                <w:b/>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ind w:left="476"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76" w:hanging="340"/>
              <w:rPr>
                <w:sz w:val="22"/>
                <w:szCs w:val="22"/>
              </w:rPr>
            </w:pPr>
            <w:r>
              <w:rPr>
                <w:sz w:val="22"/>
                <w:szCs w:val="22"/>
              </w:rPr>
              <w:t xml:space="preserve">Textanpassung zum Thema „Impfung“ </w:t>
            </w:r>
          </w:p>
          <w:p>
            <w:pPr>
              <w:pStyle w:val="Listenabsatz"/>
              <w:numPr>
                <w:ilvl w:val="1"/>
                <w:numId w:val="5"/>
              </w:numPr>
              <w:ind w:left="1185"/>
              <w:rPr>
                <w:sz w:val="22"/>
                <w:szCs w:val="22"/>
              </w:rPr>
            </w:pPr>
            <w:r>
              <w:rPr>
                <w:sz w:val="22"/>
                <w:szCs w:val="22"/>
              </w:rPr>
              <w:t>Aufgrund der voranschreitenden Impfungen wird die Risikobewertung angepasst und um Textabschnitte zum Thema ergänzt.</w:t>
            </w:r>
          </w:p>
          <w:p>
            <w:pPr>
              <w:pStyle w:val="Listenabsatz"/>
              <w:numPr>
                <w:ilvl w:val="1"/>
                <w:numId w:val="5"/>
              </w:numPr>
              <w:ind w:left="1185"/>
              <w:rPr>
                <w:sz w:val="22"/>
                <w:szCs w:val="22"/>
              </w:rPr>
            </w:pPr>
            <w:r>
              <w:rPr>
                <w:sz w:val="22"/>
                <w:szCs w:val="22"/>
              </w:rPr>
              <w:t>Einfluss der Impfungen auf Todesfälle und Fälle auf Intensiv erwartet</w:t>
            </w:r>
          </w:p>
          <w:p>
            <w:pPr>
              <w:pStyle w:val="Listenabsatz"/>
              <w:numPr>
                <w:ilvl w:val="1"/>
                <w:numId w:val="5"/>
              </w:numPr>
              <w:ind w:left="1185"/>
              <w:rPr>
                <w:sz w:val="22"/>
                <w:szCs w:val="22"/>
              </w:rPr>
            </w:pPr>
            <w:r>
              <w:rPr>
                <w:sz w:val="22"/>
                <w:szCs w:val="22"/>
              </w:rPr>
              <w:t>Hinweis auf Wirksamkeit der Impfstoffe für Varianten eingefügt</w:t>
            </w:r>
          </w:p>
          <w:p>
            <w:pPr>
              <w:pStyle w:val="Listenabsatz"/>
              <w:numPr>
                <w:ilvl w:val="1"/>
                <w:numId w:val="5"/>
              </w:numPr>
              <w:ind w:left="1185"/>
              <w:rPr>
                <w:sz w:val="22"/>
                <w:szCs w:val="22"/>
              </w:rPr>
            </w:pPr>
            <w:r>
              <w:rPr>
                <w:sz w:val="22"/>
                <w:szCs w:val="22"/>
              </w:rPr>
              <w:t>Textabschnitt zu Hinweisen auf Verringerung der Übertragbarkeit durch Impfung eingefügt, Daten dazu aus Israel vorhanden</w:t>
            </w:r>
          </w:p>
          <w:p>
            <w:pPr>
              <w:pStyle w:val="Listenabsatz"/>
              <w:numPr>
                <w:ilvl w:val="1"/>
                <w:numId w:val="5"/>
              </w:numPr>
              <w:ind w:left="1185"/>
              <w:rPr>
                <w:sz w:val="22"/>
                <w:szCs w:val="22"/>
              </w:rPr>
            </w:pPr>
            <w:r>
              <w:rPr>
                <w:sz w:val="22"/>
                <w:szCs w:val="22"/>
              </w:rPr>
              <w:t>Änderung der generellen Aussage zu Risiko der Bevölkerung in ca. 2 Wochen, wenn mehr Personen geimpft sind und mehr Klarheit über neue Varianten</w:t>
            </w:r>
          </w:p>
          <w:p>
            <w:pPr>
              <w:pStyle w:val="Listenabsatz"/>
              <w:numPr>
                <w:ilvl w:val="1"/>
                <w:numId w:val="5"/>
              </w:numPr>
              <w:spacing w:after="120"/>
              <w:ind w:left="1179" w:hanging="357"/>
              <w:rPr>
                <w:sz w:val="22"/>
                <w:szCs w:val="22"/>
              </w:rPr>
            </w:pPr>
            <w:r>
              <w:rPr>
                <w:sz w:val="22"/>
                <w:szCs w:val="22"/>
              </w:rPr>
              <w:t xml:space="preserve">Sprachregelung zur zurückgehenden 7-Tages-Inzidenz und dem Effekt der Impfungen? In Alters- und Pflegeheimen 60% erste Impfung, ansonsten 25% der Älteren erste Impfung. Derzeit noch zu früh, vorsichtig formulieren, weniger Ausbrüche in Altenheimen, kann nicht quantifiziert werden, v.a. durch insgesamt zurückgehende Fallzahlen. Erst klare Aussage, wenn durch Daten zu belegen. </w:t>
            </w:r>
          </w:p>
        </w:tc>
        <w:tc>
          <w:tcPr>
            <w:tcW w:w="1492" w:type="dxa"/>
          </w:tcPr>
          <w:p>
            <w:pPr>
              <w:rPr>
                <w:sz w:val="22"/>
                <w:szCs w:val="22"/>
              </w:rPr>
            </w:pPr>
          </w:p>
          <w:p>
            <w:pPr>
              <w:rPr>
                <w:sz w:val="22"/>
                <w:szCs w:val="22"/>
              </w:rPr>
            </w:pPr>
          </w:p>
          <w:p>
            <w:pPr>
              <w:rPr>
                <w:sz w:val="22"/>
                <w:szCs w:val="22"/>
              </w:rPr>
            </w:pPr>
            <w:r>
              <w:rPr>
                <w:sz w:val="22"/>
                <w:szCs w:val="22"/>
              </w:rPr>
              <w:t>FG33/alle</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8"/>
              </w:numPr>
              <w:spacing w:after="120"/>
              <w:ind w:left="476" w:hanging="340"/>
              <w:rPr>
                <w:sz w:val="22"/>
                <w:szCs w:val="22"/>
              </w:rPr>
            </w:pPr>
            <w:r>
              <w:rPr>
                <w:sz w:val="22"/>
                <w:szCs w:val="22"/>
              </w:rPr>
              <w:t>Nicht besprochen</w:t>
            </w:r>
          </w:p>
          <w:p>
            <w:pPr>
              <w:rPr>
                <w:b/>
                <w:sz w:val="22"/>
                <w:szCs w:val="22"/>
              </w:rPr>
            </w:pPr>
            <w:r>
              <w:rPr>
                <w:b/>
                <w:sz w:val="22"/>
                <w:szCs w:val="22"/>
              </w:rPr>
              <w:t xml:space="preserve">Presse </w:t>
            </w:r>
          </w:p>
          <w:p>
            <w:pPr>
              <w:pStyle w:val="Listenabsatz"/>
              <w:numPr>
                <w:ilvl w:val="0"/>
                <w:numId w:val="8"/>
              </w:numPr>
              <w:ind w:left="476" w:hanging="340"/>
              <w:rPr>
                <w:sz w:val="22"/>
                <w:szCs w:val="22"/>
              </w:rPr>
            </w:pPr>
            <w:r>
              <w:rPr>
                <w:sz w:val="22"/>
                <w:szCs w:val="22"/>
              </w:rPr>
              <w:t xml:space="preserve">Am 20.02. erneut ein </w:t>
            </w:r>
            <w:proofErr w:type="spellStart"/>
            <w:r>
              <w:rPr>
                <w:sz w:val="22"/>
                <w:szCs w:val="22"/>
              </w:rPr>
              <w:t>Townhall</w:t>
            </w:r>
            <w:proofErr w:type="spellEnd"/>
            <w:r>
              <w:rPr>
                <w:sz w:val="22"/>
                <w:szCs w:val="22"/>
              </w:rPr>
              <w:t xml:space="preserve">-Meeting mit Hr. Spahn, Hr. Wieler, Hr. </w:t>
            </w:r>
            <w:proofErr w:type="spellStart"/>
            <w:r>
              <w:rPr>
                <w:sz w:val="22"/>
                <w:szCs w:val="22"/>
              </w:rPr>
              <w:t>Cichutek</w:t>
            </w:r>
            <w:proofErr w:type="spellEnd"/>
            <w:r>
              <w:rPr>
                <w:sz w:val="22"/>
                <w:szCs w:val="22"/>
              </w:rPr>
              <w:t xml:space="preserve"> und Hr. Mertens </w:t>
            </w:r>
          </w:p>
          <w:p>
            <w:pPr>
              <w:pStyle w:val="Listenabsatz"/>
              <w:numPr>
                <w:ilvl w:val="0"/>
                <w:numId w:val="8"/>
              </w:numPr>
              <w:spacing w:after="120"/>
              <w:ind w:left="476" w:hanging="340"/>
              <w:rPr>
                <w:sz w:val="22"/>
                <w:szCs w:val="22"/>
              </w:rPr>
            </w:pPr>
            <w:r>
              <w:rPr>
                <w:sz w:val="22"/>
                <w:szCs w:val="22"/>
              </w:rPr>
              <w:t>Di, 16.02. Wartungsarbeiten in Redaktionsumgebung von 16:30 bis 20 Uhr und Dashboard zw. 16 und 18 Uhr, Disclaimer wird geschaltet</w:t>
            </w:r>
          </w:p>
          <w:p>
            <w:pPr>
              <w:rPr>
                <w:b/>
                <w:sz w:val="22"/>
                <w:szCs w:val="22"/>
              </w:rPr>
            </w:pPr>
            <w:r>
              <w:rPr>
                <w:b/>
                <w:sz w:val="22"/>
                <w:szCs w:val="22"/>
              </w:rPr>
              <w:t>Weiteres</w:t>
            </w:r>
          </w:p>
          <w:p>
            <w:pPr>
              <w:pStyle w:val="Listenabsatz"/>
              <w:numPr>
                <w:ilvl w:val="0"/>
                <w:numId w:val="17"/>
              </w:numPr>
              <w:spacing w:after="120"/>
              <w:ind w:left="470" w:hanging="357"/>
              <w:rPr>
                <w:sz w:val="22"/>
                <w:szCs w:val="22"/>
              </w:rPr>
            </w:pPr>
            <w:r>
              <w:rPr>
                <w:sz w:val="22"/>
                <w:szCs w:val="22"/>
              </w:rPr>
              <w:t xml:space="preserve">O. Wichmann in Steuerungskreis Corona-Impfkommunikation: Kampagne mit RKI Unterstützung, um über AstraZeneca-Impfstoff zu informieren, um Empfindung der 2-Klassenimpfung entgegenzuwirken.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FG33 (Wichmann)</w:t>
            </w: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9"/>
              </w:numPr>
              <w:ind w:left="334"/>
              <w:rPr>
                <w:rFonts w:cstheme="majorHAnsi"/>
                <w:b/>
              </w:rPr>
            </w:pPr>
            <w:r>
              <w:rPr>
                <w:rFonts w:cstheme="majorHAnsi"/>
                <w:b/>
              </w:rPr>
              <w:t>Allgemein</w:t>
            </w:r>
          </w:p>
          <w:p>
            <w:pPr>
              <w:pStyle w:val="Listenabsatz"/>
              <w:numPr>
                <w:ilvl w:val="0"/>
                <w:numId w:val="6"/>
              </w:numPr>
              <w:ind w:left="476"/>
              <w:rPr>
                <w:rFonts w:cstheme="majorHAnsi"/>
                <w:b/>
                <w:sz w:val="22"/>
                <w:szCs w:val="22"/>
              </w:rPr>
            </w:pPr>
            <w:r>
              <w:rPr>
                <w:sz w:val="22"/>
                <w:szCs w:val="22"/>
              </w:rPr>
              <w:t>Verschärfung der Maßnahmen angesichts der VOC-Verbreitung</w:t>
            </w:r>
          </w:p>
          <w:p>
            <w:pPr>
              <w:pStyle w:val="Listenabsatz"/>
              <w:numPr>
                <w:ilvl w:val="1"/>
                <w:numId w:val="6"/>
              </w:numPr>
              <w:ind w:left="1185"/>
              <w:rPr>
                <w:rFonts w:cstheme="majorHAnsi"/>
                <w:b/>
                <w:sz w:val="22"/>
                <w:szCs w:val="22"/>
              </w:rPr>
            </w:pPr>
            <w:r>
              <w:rPr>
                <w:sz w:val="22"/>
                <w:szCs w:val="22"/>
              </w:rPr>
              <w:t xml:space="preserve">Wunsch der Länder nach </w:t>
            </w:r>
            <w:proofErr w:type="spellStart"/>
            <w:r>
              <w:rPr>
                <w:sz w:val="22"/>
                <w:szCs w:val="22"/>
              </w:rPr>
              <w:t>Verschäfung</w:t>
            </w:r>
            <w:proofErr w:type="spellEnd"/>
            <w:r>
              <w:rPr>
                <w:sz w:val="22"/>
                <w:szCs w:val="22"/>
              </w:rPr>
              <w:t xml:space="preserve"> der Maßnahmen angesichts der VOC-Verbreitung in AGI, EpiLag, TK der IGV-benannten Flughäfen und in separaten E-Mails </w:t>
            </w:r>
            <w:r>
              <w:rPr>
                <w:sz w:val="22"/>
                <w:szCs w:val="22"/>
              </w:rPr>
              <w:lastRenderedPageBreak/>
              <w:t>formuliert: Änderungen in Kontaktpersonenmanagement, Isolierung/</w:t>
            </w:r>
            <w:proofErr w:type="spellStart"/>
            <w:r>
              <w:rPr>
                <w:sz w:val="22"/>
                <w:szCs w:val="22"/>
              </w:rPr>
              <w:t>Entisolierung</w:t>
            </w:r>
            <w:proofErr w:type="spellEnd"/>
            <w:r>
              <w:rPr>
                <w:sz w:val="22"/>
                <w:szCs w:val="22"/>
              </w:rPr>
              <w:t xml:space="preserve"> etc. gewünscht. </w:t>
            </w:r>
          </w:p>
          <w:p>
            <w:pPr>
              <w:pStyle w:val="Listenabsatz"/>
              <w:numPr>
                <w:ilvl w:val="1"/>
                <w:numId w:val="6"/>
              </w:numPr>
              <w:ind w:left="1185"/>
              <w:rPr>
                <w:sz w:val="22"/>
                <w:szCs w:val="22"/>
              </w:rPr>
            </w:pPr>
            <w:r>
              <w:rPr>
                <w:sz w:val="22"/>
                <w:szCs w:val="22"/>
              </w:rPr>
              <w:t xml:space="preserve">Anekdotisch, keine weiteren Daten: Überraschend hoher Anteil der KP infiziert sich, längere Inkubationszeiten bei Kontakten </w:t>
            </w:r>
          </w:p>
          <w:p>
            <w:pPr>
              <w:pStyle w:val="Listenabsatz"/>
              <w:numPr>
                <w:ilvl w:val="1"/>
                <w:numId w:val="6"/>
              </w:numPr>
              <w:ind w:left="1185"/>
              <w:rPr>
                <w:sz w:val="22"/>
                <w:szCs w:val="22"/>
              </w:rPr>
            </w:pPr>
            <w:r>
              <w:rPr>
                <w:sz w:val="22"/>
                <w:szCs w:val="22"/>
              </w:rPr>
              <w:t xml:space="preserve">GÄ, Länder können zwar über die RKI-Empfehlungen hinausgehen, aber bei Klagen werden die RKI-Empfehlungen herangezogen </w:t>
            </w:r>
          </w:p>
          <w:p>
            <w:pPr>
              <w:pStyle w:val="Listenabsatz"/>
              <w:numPr>
                <w:ilvl w:val="1"/>
                <w:numId w:val="6"/>
              </w:numPr>
              <w:ind w:left="1185"/>
              <w:rPr>
                <w:sz w:val="22"/>
                <w:szCs w:val="22"/>
              </w:rPr>
            </w:pPr>
            <w:r>
              <w:rPr>
                <w:sz w:val="22"/>
                <w:szCs w:val="22"/>
              </w:rPr>
              <w:t xml:space="preserve">Wunsch der Länder nach 14 Tage Quarantäne, auch wenn kein Verdacht auf VOC: </w:t>
            </w:r>
          </w:p>
          <w:p>
            <w:pPr>
              <w:pStyle w:val="Listenabsatz"/>
              <w:numPr>
                <w:ilvl w:val="2"/>
                <w:numId w:val="6"/>
              </w:numPr>
              <w:ind w:left="1894"/>
              <w:rPr>
                <w:sz w:val="22"/>
                <w:szCs w:val="22"/>
              </w:rPr>
            </w:pPr>
            <w:r>
              <w:rPr>
                <w:sz w:val="22"/>
                <w:szCs w:val="22"/>
              </w:rPr>
              <w:t xml:space="preserve">Wunsch zur Verkürzung kam ursprünglich von Politik, grundsätzlich keine Einwände bei Verlängerung der Quarantäne auf 14 Tage, Aussage dazustellen, dass zunächst nicht unterscheidbar, ob VOC oder nicht </w:t>
            </w:r>
          </w:p>
          <w:p>
            <w:pPr>
              <w:pStyle w:val="Listenabsatz"/>
              <w:numPr>
                <w:ilvl w:val="2"/>
                <w:numId w:val="6"/>
              </w:numPr>
              <w:ind w:left="1894"/>
              <w:rPr>
                <w:sz w:val="22"/>
                <w:szCs w:val="22"/>
              </w:rPr>
            </w:pPr>
            <w:r>
              <w:rPr>
                <w:sz w:val="22"/>
                <w:szCs w:val="22"/>
              </w:rPr>
              <w:t>Aber Std.-Empfehlungen zum Kontaktpersonenmanagement sollten nicht geändert werden</w:t>
            </w:r>
          </w:p>
          <w:p>
            <w:pPr>
              <w:pStyle w:val="Listenabsatz"/>
              <w:numPr>
                <w:ilvl w:val="2"/>
                <w:numId w:val="6"/>
              </w:numPr>
              <w:ind w:left="1894"/>
              <w:rPr>
                <w:sz w:val="22"/>
                <w:szCs w:val="22"/>
              </w:rPr>
            </w:pPr>
            <w:r>
              <w:rPr>
                <w:sz w:val="22"/>
                <w:szCs w:val="22"/>
              </w:rPr>
              <w:t>Modellierung hat gezeigt, dass 10 Tage plus Testung mehr Fälle verhindern als 14 Tage ohne Testung, daher Empfehlung der Testung (mind. AG-Test) zusätzlich</w:t>
            </w:r>
          </w:p>
          <w:p>
            <w:pPr>
              <w:pStyle w:val="Listenabsatz"/>
              <w:numPr>
                <w:ilvl w:val="2"/>
                <w:numId w:val="6"/>
              </w:numPr>
              <w:ind w:left="1894"/>
              <w:rPr>
                <w:sz w:val="22"/>
                <w:szCs w:val="22"/>
              </w:rPr>
            </w:pPr>
            <w:r>
              <w:rPr>
                <w:sz w:val="22"/>
                <w:szCs w:val="22"/>
              </w:rPr>
              <w:t>Daten aus Spandau zeigen, dass auch dort ungewöhnliche Dynamik (60 Fälle, auch Fälle unter MA, obwohl in Monaten zuvor keine Fälle aufgetreten sind), keine Daten für längere Übertragbarkeit</w:t>
            </w:r>
          </w:p>
          <w:p>
            <w:pPr>
              <w:pStyle w:val="Listenabsatz"/>
              <w:numPr>
                <w:ilvl w:val="2"/>
                <w:numId w:val="6"/>
              </w:numPr>
              <w:ind w:left="1894"/>
              <w:rPr>
                <w:sz w:val="22"/>
                <w:szCs w:val="22"/>
              </w:rPr>
            </w:pPr>
            <w:r>
              <w:rPr>
                <w:sz w:val="22"/>
                <w:szCs w:val="22"/>
              </w:rPr>
              <w:t>Aktuell laufen mehrere Ausbruchs-untersuchungen, in denen Fragen zur Inkubationszeit etc. untersucht werden, insbesondere in Schulen</w:t>
            </w:r>
          </w:p>
          <w:p>
            <w:pPr>
              <w:pStyle w:val="Listenabsatz"/>
              <w:numPr>
                <w:ilvl w:val="2"/>
                <w:numId w:val="6"/>
              </w:numPr>
              <w:ind w:left="1894"/>
              <w:rPr>
                <w:sz w:val="22"/>
                <w:szCs w:val="22"/>
              </w:rPr>
            </w:pPr>
            <w:r>
              <w:rPr>
                <w:sz w:val="22"/>
                <w:szCs w:val="22"/>
              </w:rPr>
              <w:t>Veränderung der Empfehlung: Keine Verkürzung der Quarantäne, Empfehlung, dass zusätzlich mind. AG-Test gemacht wird</w:t>
            </w:r>
          </w:p>
          <w:p>
            <w:pPr>
              <w:pStyle w:val="Listenabsatz"/>
              <w:numPr>
                <w:ilvl w:val="2"/>
                <w:numId w:val="6"/>
              </w:numPr>
              <w:ind w:left="1894"/>
              <w:rPr>
                <w:sz w:val="22"/>
                <w:szCs w:val="22"/>
              </w:rPr>
            </w:pPr>
            <w:r>
              <w:rPr>
                <w:sz w:val="22"/>
                <w:szCs w:val="22"/>
              </w:rPr>
              <w:t>Veränderte Empfehlung soll BMG vorgelegt werden.</w:t>
            </w:r>
          </w:p>
          <w:p>
            <w:pPr>
              <w:pStyle w:val="Listenabsatz"/>
              <w:numPr>
                <w:ilvl w:val="1"/>
                <w:numId w:val="6"/>
              </w:numPr>
              <w:ind w:left="1185"/>
              <w:rPr>
                <w:sz w:val="22"/>
                <w:szCs w:val="22"/>
              </w:rPr>
            </w:pPr>
            <w:r>
              <w:rPr>
                <w:sz w:val="22"/>
                <w:szCs w:val="22"/>
              </w:rPr>
              <w:t xml:space="preserve">Änderung der </w:t>
            </w:r>
            <w:proofErr w:type="spellStart"/>
            <w:r>
              <w:rPr>
                <w:sz w:val="22"/>
                <w:szCs w:val="22"/>
              </w:rPr>
              <w:t>Entlasskriterien</w:t>
            </w:r>
            <w:proofErr w:type="spellEnd"/>
            <w:r>
              <w:rPr>
                <w:sz w:val="22"/>
                <w:szCs w:val="22"/>
              </w:rPr>
              <w:t xml:space="preserve"> auf 14 Tage?</w:t>
            </w:r>
          </w:p>
          <w:p>
            <w:pPr>
              <w:pStyle w:val="Listenabsatz"/>
              <w:numPr>
                <w:ilvl w:val="2"/>
                <w:numId w:val="6"/>
              </w:numPr>
              <w:ind w:left="1894"/>
              <w:rPr>
                <w:sz w:val="22"/>
                <w:szCs w:val="22"/>
              </w:rPr>
            </w:pPr>
            <w:r>
              <w:rPr>
                <w:sz w:val="22"/>
                <w:szCs w:val="22"/>
              </w:rPr>
              <w:t xml:space="preserve">In Schalte mit UK wurde von UK keine Notwendigkeit der Verlängerung der </w:t>
            </w:r>
            <w:proofErr w:type="spellStart"/>
            <w:r>
              <w:rPr>
                <w:sz w:val="22"/>
                <w:szCs w:val="22"/>
              </w:rPr>
              <w:t>Entlasskriterien</w:t>
            </w:r>
            <w:proofErr w:type="spellEnd"/>
            <w:r>
              <w:rPr>
                <w:sz w:val="22"/>
                <w:szCs w:val="22"/>
              </w:rPr>
              <w:t xml:space="preserve"> für DEU gesehen</w:t>
            </w:r>
          </w:p>
          <w:p>
            <w:pPr>
              <w:pStyle w:val="Listenabsatz"/>
              <w:numPr>
                <w:ilvl w:val="2"/>
                <w:numId w:val="6"/>
              </w:numPr>
              <w:ind w:left="1894"/>
              <w:rPr>
                <w:sz w:val="22"/>
                <w:szCs w:val="22"/>
              </w:rPr>
            </w:pPr>
            <w:r>
              <w:rPr>
                <w:sz w:val="22"/>
                <w:szCs w:val="22"/>
              </w:rPr>
              <w:t>In UK selbst 14 Tage aber ohne Testung, wurde nicht verändert</w:t>
            </w:r>
          </w:p>
          <w:p>
            <w:pPr>
              <w:pStyle w:val="Listenabsatz"/>
              <w:numPr>
                <w:ilvl w:val="2"/>
                <w:numId w:val="6"/>
              </w:numPr>
              <w:ind w:left="1894"/>
              <w:rPr>
                <w:sz w:val="22"/>
                <w:szCs w:val="22"/>
              </w:rPr>
            </w:pPr>
            <w:r>
              <w:rPr>
                <w:sz w:val="22"/>
                <w:szCs w:val="22"/>
              </w:rPr>
              <w:t xml:space="preserve">Derzeitige </w:t>
            </w:r>
            <w:proofErr w:type="spellStart"/>
            <w:r>
              <w:rPr>
                <w:sz w:val="22"/>
                <w:szCs w:val="22"/>
              </w:rPr>
              <w:t>Entlasskriterien</w:t>
            </w:r>
            <w:proofErr w:type="spellEnd"/>
            <w:r>
              <w:rPr>
                <w:sz w:val="22"/>
                <w:szCs w:val="22"/>
              </w:rPr>
              <w:t>: 10 Tage, plus 2 Tage Symptomfreiheit, plus Testung bei Verdacht auf VOC sind wahrscheinlich ausreichend (international oft 7 Tage ohne Kriterium der Gesundung)</w:t>
            </w:r>
          </w:p>
          <w:p>
            <w:pPr>
              <w:pStyle w:val="Listenabsatz"/>
              <w:numPr>
                <w:ilvl w:val="2"/>
                <w:numId w:val="6"/>
              </w:numPr>
              <w:ind w:left="1894"/>
              <w:rPr>
                <w:sz w:val="22"/>
                <w:szCs w:val="22"/>
              </w:rPr>
            </w:pPr>
            <w:r>
              <w:rPr>
                <w:sz w:val="22"/>
                <w:szCs w:val="22"/>
              </w:rPr>
              <w:t xml:space="preserve">Die gesonderten Regeln für VOC und Wildtyp werden kritisiert gesehen, weil VOC-Status zu selten bekannt und sich VOC örtlich schon sehr weit ausgebreitet haben </w:t>
            </w:r>
          </w:p>
          <w:p>
            <w:pPr>
              <w:pStyle w:val="Listenabsatz"/>
              <w:numPr>
                <w:ilvl w:val="2"/>
                <w:numId w:val="6"/>
              </w:numPr>
              <w:ind w:left="1894"/>
              <w:rPr>
                <w:sz w:val="22"/>
                <w:szCs w:val="22"/>
              </w:rPr>
            </w:pPr>
            <w:r>
              <w:rPr>
                <w:sz w:val="22"/>
                <w:szCs w:val="22"/>
              </w:rPr>
              <w:lastRenderedPageBreak/>
              <w:t>Bei Änderung der infektiösen Dosis der Mutanten müssen ggf. bisherige Analysen nochmal neu bewertet werden und auch AG-Teste erfassen dann ggf. weniger symptomatische Personen</w:t>
            </w:r>
          </w:p>
          <w:p>
            <w:pPr>
              <w:pStyle w:val="Listenabsatz"/>
              <w:numPr>
                <w:ilvl w:val="2"/>
                <w:numId w:val="6"/>
              </w:numPr>
              <w:ind w:left="1894"/>
              <w:rPr>
                <w:sz w:val="22"/>
                <w:szCs w:val="22"/>
              </w:rPr>
            </w:pPr>
            <w:r>
              <w:rPr>
                <w:sz w:val="22"/>
                <w:szCs w:val="22"/>
              </w:rPr>
              <w:t>Aus Schalte der Testkoordinatoren: Es wird angestrebt, in den nächsten Wochen alle positiven Proben per Punktmutationsanalyse auf VOC nachtesten zu lassen. Klärungsbedarf bezüglich Kostenabrechnung, aber es wird versucht das zeitnah umzusetzen</w:t>
            </w:r>
          </w:p>
          <w:p>
            <w:pPr>
              <w:pStyle w:val="Listenabsatz"/>
              <w:numPr>
                <w:ilvl w:val="2"/>
                <w:numId w:val="6"/>
              </w:numPr>
              <w:ind w:left="1894"/>
              <w:rPr>
                <w:sz w:val="22"/>
                <w:szCs w:val="22"/>
              </w:rPr>
            </w:pPr>
            <w:proofErr w:type="spellStart"/>
            <w:r>
              <w:rPr>
                <w:sz w:val="22"/>
                <w:szCs w:val="22"/>
              </w:rPr>
              <w:t>Entlasskriterien</w:t>
            </w:r>
            <w:proofErr w:type="spellEnd"/>
            <w:r>
              <w:rPr>
                <w:sz w:val="22"/>
                <w:szCs w:val="22"/>
              </w:rPr>
              <w:t xml:space="preserve"> werden daher nicht verändert</w:t>
            </w:r>
          </w:p>
          <w:p>
            <w:pPr>
              <w:pStyle w:val="Listenabsatz"/>
              <w:numPr>
                <w:ilvl w:val="1"/>
                <w:numId w:val="6"/>
              </w:numPr>
              <w:ind w:left="1185"/>
              <w:rPr>
                <w:sz w:val="22"/>
                <w:szCs w:val="22"/>
              </w:rPr>
            </w:pPr>
            <w:r>
              <w:rPr>
                <w:sz w:val="22"/>
                <w:szCs w:val="22"/>
              </w:rPr>
              <w:t xml:space="preserve"> Änderung der Klassifizierung KP2 – Zeit und Abstand?</w:t>
            </w:r>
          </w:p>
          <w:p>
            <w:pPr>
              <w:pStyle w:val="Listenabsatz"/>
              <w:numPr>
                <w:ilvl w:val="2"/>
                <w:numId w:val="6"/>
              </w:numPr>
              <w:ind w:left="1894"/>
              <w:rPr>
                <w:sz w:val="22"/>
                <w:szCs w:val="22"/>
              </w:rPr>
            </w:pPr>
            <w:r>
              <w:rPr>
                <w:sz w:val="22"/>
                <w:szCs w:val="22"/>
              </w:rPr>
              <w:t xml:space="preserve">Empfehlungen sollten operabel sein, werden sonst nicht akzeptiert/befolgt – Verkürzung auf 1min scheint nicht operabel </w:t>
            </w:r>
          </w:p>
          <w:p>
            <w:pPr>
              <w:pStyle w:val="Listenabsatz"/>
              <w:numPr>
                <w:ilvl w:val="2"/>
                <w:numId w:val="6"/>
              </w:numPr>
              <w:ind w:left="1894"/>
              <w:rPr>
                <w:sz w:val="22"/>
                <w:szCs w:val="22"/>
              </w:rPr>
            </w:pPr>
            <w:r>
              <w:rPr>
                <w:sz w:val="22"/>
                <w:szCs w:val="22"/>
              </w:rPr>
              <w:t>15 min ggf. großzügig bemessen, aber keine gut dokumentierten Daten, nur Einzelfälle, Berichte über Einzelfälle gab es aber bisher auch</w:t>
            </w:r>
          </w:p>
          <w:p>
            <w:pPr>
              <w:pStyle w:val="Listenabsatz"/>
              <w:numPr>
                <w:ilvl w:val="2"/>
                <w:numId w:val="6"/>
              </w:numPr>
              <w:ind w:left="1894"/>
              <w:rPr>
                <w:sz w:val="22"/>
                <w:szCs w:val="22"/>
              </w:rPr>
            </w:pPr>
            <w:r>
              <w:rPr>
                <w:sz w:val="22"/>
                <w:szCs w:val="22"/>
              </w:rPr>
              <w:t xml:space="preserve">Abstand – bisher auf Tröpfchen bezogen, könnte </w:t>
            </w:r>
            <w:proofErr w:type="gramStart"/>
            <w:r>
              <w:rPr>
                <w:sz w:val="22"/>
                <w:szCs w:val="22"/>
              </w:rPr>
              <w:t>mit der anderer infektiöser Dosis</w:t>
            </w:r>
            <w:proofErr w:type="gramEnd"/>
            <w:r>
              <w:rPr>
                <w:sz w:val="22"/>
                <w:szCs w:val="22"/>
              </w:rPr>
              <w:t xml:space="preserve"> unterschiedlich sein</w:t>
            </w:r>
          </w:p>
          <w:p>
            <w:pPr>
              <w:pStyle w:val="Listenabsatz"/>
              <w:numPr>
                <w:ilvl w:val="2"/>
                <w:numId w:val="6"/>
              </w:numPr>
              <w:ind w:left="1894"/>
              <w:rPr>
                <w:sz w:val="22"/>
                <w:szCs w:val="22"/>
              </w:rPr>
            </w:pPr>
            <w:r>
              <w:rPr>
                <w:sz w:val="22"/>
                <w:szCs w:val="22"/>
              </w:rPr>
              <w:t>30 min – Faktor am ehesten relevant, da Effekt von infektiöser Dosis, aber auch hier aufgrund der Folgen in der Umsetzung, erst Entscheidung, wenn belastbare Daten vorhanden sind</w:t>
            </w:r>
          </w:p>
          <w:p>
            <w:pPr>
              <w:pStyle w:val="Listenabsatz"/>
              <w:numPr>
                <w:ilvl w:val="2"/>
                <w:numId w:val="6"/>
              </w:numPr>
              <w:ind w:left="1894"/>
              <w:rPr>
                <w:sz w:val="22"/>
                <w:szCs w:val="22"/>
              </w:rPr>
            </w:pPr>
            <w:r>
              <w:rPr>
                <w:sz w:val="22"/>
                <w:szCs w:val="22"/>
              </w:rPr>
              <w:t>Aber wichtig: in Empfehlung sollte aufgenommen werden, dass KP1 großzügig definiert werden sollten</w:t>
            </w:r>
          </w:p>
          <w:p>
            <w:pPr>
              <w:spacing w:before="120" w:after="120"/>
              <w:rPr>
                <w:i/>
                <w:sz w:val="22"/>
                <w:szCs w:val="22"/>
              </w:rPr>
            </w:pPr>
            <w:proofErr w:type="spellStart"/>
            <w:r>
              <w:rPr>
                <w:i/>
                <w:sz w:val="22"/>
                <w:szCs w:val="22"/>
              </w:rPr>
              <w:t>ToDo</w:t>
            </w:r>
            <w:proofErr w:type="spellEnd"/>
            <w:r>
              <w:rPr>
                <w:i/>
                <w:sz w:val="22"/>
                <w:szCs w:val="22"/>
              </w:rPr>
              <w:t>: Anpassung der Empfehlungen (FG36)</w:t>
            </w:r>
          </w:p>
          <w:p>
            <w:pPr>
              <w:pStyle w:val="Listenabsatz"/>
              <w:numPr>
                <w:ilvl w:val="0"/>
                <w:numId w:val="6"/>
              </w:numPr>
              <w:ind w:left="476"/>
              <w:rPr>
                <w:rFonts w:cstheme="majorHAnsi"/>
                <w:b/>
                <w:sz w:val="22"/>
                <w:szCs w:val="22"/>
              </w:rPr>
            </w:pPr>
            <w:r>
              <w:rPr>
                <w:sz w:val="22"/>
                <w:szCs w:val="22"/>
              </w:rPr>
              <w:t>EU: Umgang mit COVID-19 Genesenen hinsichtlich Testung bei Einreise (bis 90 Tage ggf. positives Erg.)</w:t>
            </w:r>
          </w:p>
          <w:p>
            <w:pPr>
              <w:pStyle w:val="Listenabsatz"/>
              <w:numPr>
                <w:ilvl w:val="1"/>
                <w:numId w:val="6"/>
              </w:numPr>
              <w:ind w:left="901"/>
              <w:rPr>
                <w:rFonts w:cstheme="majorHAnsi"/>
                <w:sz w:val="22"/>
                <w:szCs w:val="22"/>
              </w:rPr>
            </w:pPr>
            <w:r>
              <w:rPr>
                <w:rFonts w:cstheme="majorHAnsi"/>
                <w:sz w:val="22"/>
                <w:szCs w:val="22"/>
              </w:rPr>
              <w:t xml:space="preserve">Erlass bis Montag 11 Uhr zu RKI-Haltung zum Verzicht auf PCR-Testung von Genesenen bis zu 90 Tage nach Erkrankung/Testung; </w:t>
            </w:r>
          </w:p>
          <w:p>
            <w:pPr>
              <w:pStyle w:val="Listenabsatz"/>
              <w:numPr>
                <w:ilvl w:val="1"/>
                <w:numId w:val="6"/>
              </w:numPr>
              <w:ind w:left="901"/>
              <w:rPr>
                <w:rFonts w:cstheme="majorHAnsi"/>
                <w:sz w:val="22"/>
                <w:szCs w:val="22"/>
              </w:rPr>
            </w:pPr>
            <w:r>
              <w:rPr>
                <w:sz w:val="22"/>
                <w:szCs w:val="22"/>
              </w:rPr>
              <w:t xml:space="preserve">ZIG, Abt. 1, FG36, FG38 an Erlass beteiligt, vor Versand an Hr. Schaade </w:t>
            </w:r>
          </w:p>
          <w:p>
            <w:pPr>
              <w:pStyle w:val="Listenabsatz"/>
              <w:numPr>
                <w:ilvl w:val="1"/>
                <w:numId w:val="6"/>
              </w:numPr>
              <w:ind w:left="901"/>
              <w:rPr>
                <w:rFonts w:cstheme="majorHAnsi"/>
                <w:sz w:val="22"/>
                <w:szCs w:val="22"/>
              </w:rPr>
            </w:pPr>
            <w:r>
              <w:rPr>
                <w:rFonts w:cstheme="majorHAnsi"/>
                <w:sz w:val="22"/>
                <w:szCs w:val="22"/>
              </w:rPr>
              <w:t>Hintergrund: positive Virus-Nachweise von Genesenen längerfristig möglich, USA haben Regelung des Verzichts auf Testung zum 29.01. eingeführt. Keine Auswirkung auf Quarantäne. Nachweis per medizinischem Zertifikat</w:t>
            </w:r>
          </w:p>
          <w:p>
            <w:pPr>
              <w:pStyle w:val="Listenabsatz"/>
              <w:numPr>
                <w:ilvl w:val="1"/>
                <w:numId w:val="6"/>
              </w:numPr>
              <w:ind w:left="901"/>
              <w:rPr>
                <w:rFonts w:cstheme="majorHAnsi"/>
                <w:sz w:val="22"/>
                <w:szCs w:val="22"/>
              </w:rPr>
            </w:pPr>
            <w:r>
              <w:rPr>
                <w:rFonts w:cstheme="majorHAnsi"/>
                <w:sz w:val="22"/>
                <w:szCs w:val="22"/>
              </w:rPr>
              <w:t>Reinfektionen mit VOC würden so nicht erfasst</w:t>
            </w:r>
          </w:p>
          <w:p>
            <w:pPr>
              <w:pStyle w:val="Listenabsatz"/>
              <w:numPr>
                <w:ilvl w:val="1"/>
                <w:numId w:val="6"/>
              </w:numPr>
              <w:spacing w:after="120"/>
              <w:ind w:left="896" w:hanging="357"/>
              <w:contextualSpacing w:val="0"/>
              <w:rPr>
                <w:rFonts w:cstheme="majorHAnsi"/>
                <w:sz w:val="22"/>
                <w:szCs w:val="22"/>
              </w:rPr>
            </w:pPr>
            <w:r>
              <w:rPr>
                <w:rFonts w:cstheme="majorHAnsi"/>
                <w:sz w:val="22"/>
                <w:szCs w:val="22"/>
              </w:rPr>
              <w:t>Vorgeschlagen wird bei Genesenen eine PCR-Testung mit Quantifizierungsstandard (als unbedenklich gelten &lt;10</w:t>
            </w:r>
            <w:r>
              <w:rPr>
                <w:rFonts w:cstheme="majorHAnsi"/>
                <w:sz w:val="22"/>
                <w:szCs w:val="22"/>
                <w:vertAlign w:val="superscript"/>
              </w:rPr>
              <w:t>6</w:t>
            </w:r>
            <w:r>
              <w:rPr>
                <w:rFonts w:cstheme="majorHAnsi"/>
                <w:sz w:val="22"/>
                <w:szCs w:val="22"/>
              </w:rPr>
              <w:t xml:space="preserve"> Kopien, wie in </w:t>
            </w:r>
            <w:proofErr w:type="spellStart"/>
            <w:r>
              <w:rPr>
                <w:rFonts w:cstheme="majorHAnsi"/>
                <w:sz w:val="22"/>
                <w:szCs w:val="22"/>
              </w:rPr>
              <w:t>Entlassmanagement</w:t>
            </w:r>
            <w:proofErr w:type="spellEnd"/>
            <w:r>
              <w:rPr>
                <w:rFonts w:cstheme="majorHAnsi"/>
                <w:sz w:val="22"/>
                <w:szCs w:val="22"/>
              </w:rPr>
              <w:t>)</w:t>
            </w:r>
          </w:p>
          <w:p>
            <w:pPr>
              <w:pStyle w:val="Listenabsatz"/>
              <w:numPr>
                <w:ilvl w:val="0"/>
                <w:numId w:val="6"/>
              </w:numPr>
              <w:ind w:left="476"/>
              <w:rPr>
                <w:sz w:val="22"/>
                <w:szCs w:val="22"/>
              </w:rPr>
            </w:pPr>
            <w:r>
              <w:rPr>
                <w:sz w:val="22"/>
                <w:szCs w:val="22"/>
              </w:rPr>
              <w:t>Quarantäne bei Genesenen</w:t>
            </w:r>
          </w:p>
          <w:p>
            <w:pPr>
              <w:pStyle w:val="Listenabsatz"/>
              <w:numPr>
                <w:ilvl w:val="1"/>
                <w:numId w:val="6"/>
              </w:numPr>
              <w:ind w:left="901"/>
              <w:rPr>
                <w:sz w:val="22"/>
                <w:szCs w:val="22"/>
              </w:rPr>
            </w:pPr>
            <w:r>
              <w:rPr>
                <w:sz w:val="22"/>
                <w:szCs w:val="22"/>
              </w:rPr>
              <w:t>Genesene müssen 3 Monate nicht in Quarantäne, außer bei Kontakt mit vulnerablen Personen/Gruppen</w:t>
            </w:r>
          </w:p>
          <w:p>
            <w:pPr>
              <w:pStyle w:val="Listenabsatz"/>
              <w:numPr>
                <w:ilvl w:val="1"/>
                <w:numId w:val="6"/>
              </w:numPr>
              <w:ind w:left="901"/>
              <w:rPr>
                <w:sz w:val="22"/>
                <w:szCs w:val="22"/>
              </w:rPr>
            </w:pPr>
            <w:r>
              <w:rPr>
                <w:sz w:val="22"/>
                <w:szCs w:val="22"/>
              </w:rPr>
              <w:t>Nachfragen bei Kontakt zu geimpften vulnerablen Personen, Vorgehen genauso?</w:t>
            </w:r>
          </w:p>
          <w:p>
            <w:pPr>
              <w:pStyle w:val="Listenabsatz"/>
              <w:numPr>
                <w:ilvl w:val="1"/>
                <w:numId w:val="6"/>
              </w:numPr>
              <w:ind w:left="901"/>
              <w:rPr>
                <w:sz w:val="22"/>
                <w:szCs w:val="22"/>
              </w:rPr>
            </w:pPr>
            <w:r>
              <w:rPr>
                <w:sz w:val="22"/>
                <w:szCs w:val="22"/>
              </w:rPr>
              <w:t xml:space="preserve">Es sollte vor Ort bewertet werden, aber wahrscheinlich keine Abweichung, da in Alten- und Pflegeheimen i.d.R. nicht </w:t>
            </w:r>
            <w:r>
              <w:rPr>
                <w:sz w:val="22"/>
                <w:szCs w:val="22"/>
              </w:rPr>
              <w:lastRenderedPageBreak/>
              <w:t>alle geimpft sind und noch Fragen zur Impfeffektivität bestehen</w:t>
            </w:r>
          </w:p>
          <w:p>
            <w:pPr>
              <w:pStyle w:val="Listenabsatz"/>
              <w:numPr>
                <w:ilvl w:val="1"/>
                <w:numId w:val="6"/>
              </w:numPr>
              <w:spacing w:after="120"/>
              <w:ind w:left="896" w:hanging="357"/>
              <w:rPr>
                <w:sz w:val="22"/>
                <w:szCs w:val="22"/>
              </w:rPr>
            </w:pPr>
            <w:r>
              <w:rPr>
                <w:sz w:val="22"/>
                <w:szCs w:val="22"/>
              </w:rPr>
              <w:t xml:space="preserve">Möglichst wenige Abweichungen bei Geimpften und Genesenen </w:t>
            </w:r>
          </w:p>
          <w:p>
            <w:pPr>
              <w:pStyle w:val="Listenabsatz"/>
              <w:numPr>
                <w:ilvl w:val="0"/>
                <w:numId w:val="13"/>
              </w:numPr>
              <w:ind w:left="334"/>
              <w:rPr>
                <w:b/>
              </w:rPr>
            </w:pPr>
            <w:r>
              <w:rPr>
                <w:b/>
              </w:rPr>
              <w:t>RKI-intern</w:t>
            </w:r>
          </w:p>
          <w:p>
            <w:pPr>
              <w:pStyle w:val="Listenabsatz"/>
              <w:numPr>
                <w:ilvl w:val="0"/>
                <w:numId w:val="14"/>
              </w:numPr>
              <w:ind w:left="476"/>
              <w:rPr>
                <w:sz w:val="22"/>
                <w:szCs w:val="22"/>
              </w:rPr>
            </w:pPr>
            <w:r>
              <w:rPr>
                <w:sz w:val="22"/>
                <w:szCs w:val="22"/>
              </w:rPr>
              <w:t>MPK Beschluss 10.02.2021 – Konsequenzen für RKI</w:t>
            </w:r>
          </w:p>
          <w:p>
            <w:pPr>
              <w:pStyle w:val="Listenabsatz"/>
              <w:numPr>
                <w:ilvl w:val="1"/>
                <w:numId w:val="14"/>
              </w:numPr>
              <w:ind w:left="901"/>
              <w:rPr>
                <w:sz w:val="22"/>
                <w:szCs w:val="22"/>
              </w:rPr>
            </w:pPr>
            <w:r>
              <w:rPr>
                <w:sz w:val="22"/>
                <w:szCs w:val="22"/>
              </w:rPr>
              <w:t xml:space="preserve">Folgende Aufgaben für das RKI ergeben sich aus dem MPK-Beschluss: </w:t>
            </w:r>
          </w:p>
          <w:p>
            <w:pPr>
              <w:pStyle w:val="Listenabsatz"/>
              <w:numPr>
                <w:ilvl w:val="2"/>
                <w:numId w:val="14"/>
              </w:numPr>
              <w:ind w:left="1610"/>
              <w:rPr>
                <w:sz w:val="22"/>
                <w:szCs w:val="22"/>
              </w:rPr>
            </w:pPr>
            <w:r>
              <w:rPr>
                <w:sz w:val="22"/>
                <w:szCs w:val="22"/>
              </w:rPr>
              <w:t>Selbsttestungen – Umsetzung im Meldewesen</w:t>
            </w:r>
          </w:p>
          <w:p>
            <w:pPr>
              <w:pStyle w:val="Listenabsatz"/>
              <w:numPr>
                <w:ilvl w:val="2"/>
                <w:numId w:val="14"/>
              </w:numPr>
              <w:spacing w:after="120"/>
              <w:ind w:left="1604" w:hanging="357"/>
              <w:rPr>
                <w:sz w:val="22"/>
                <w:szCs w:val="22"/>
              </w:rPr>
            </w:pPr>
            <w:r>
              <w:rPr>
                <w:sz w:val="22"/>
                <w:szCs w:val="22"/>
              </w:rPr>
              <w:t xml:space="preserve">Aufgaben bezüglich SORMAS und DEMIS, z.B. SORMAS-Anbindung bei allen GÄ bis Ende Februar – Punkt in letzter Sitzung besprochen, d.h. Anbindung weiterer </w:t>
            </w:r>
            <w:proofErr w:type="gramStart"/>
            <w:r>
              <w:rPr>
                <w:sz w:val="22"/>
                <w:szCs w:val="22"/>
              </w:rPr>
              <w:t>GÄ</w:t>
            </w:r>
            <w:proofErr w:type="gramEnd"/>
            <w:r>
              <w:rPr>
                <w:sz w:val="22"/>
                <w:szCs w:val="22"/>
              </w:rPr>
              <w:t xml:space="preserve"> wenn die technische Umsetzung in Pilot-GÄ funktioniert</w:t>
            </w:r>
          </w:p>
        </w:tc>
        <w:tc>
          <w:tcPr>
            <w:tcW w:w="1492" w:type="dxa"/>
          </w:tcPr>
          <w:p>
            <w:pPr>
              <w:rPr>
                <w:sz w:val="22"/>
                <w:szCs w:val="22"/>
              </w:rPr>
            </w:pPr>
          </w:p>
          <w:p>
            <w:pPr>
              <w:rPr>
                <w:sz w:val="22"/>
                <w:szCs w:val="22"/>
              </w:rPr>
            </w:pPr>
            <w:r>
              <w:rPr>
                <w:sz w:val="22"/>
                <w:szCs w:val="22"/>
              </w:rPr>
              <w:t>FG38 (Rexroth)/</w:t>
            </w:r>
            <w:r>
              <w:rPr>
                <w:sz w:val="22"/>
                <w:szCs w:val="22"/>
              </w:rPr>
              <w:b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 (</w:t>
            </w:r>
            <w:proofErr w:type="gramStart"/>
            <w:r>
              <w:rPr>
                <w:sz w:val="22"/>
                <w:szCs w:val="22"/>
              </w:rPr>
              <w:t>an der Heiden</w:t>
            </w:r>
            <w:proofErr w:type="gram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 (</w:t>
            </w:r>
            <w:proofErr w:type="gramStart"/>
            <w:r>
              <w:rPr>
                <w:sz w:val="22"/>
                <w:szCs w:val="22"/>
              </w:rPr>
              <w:t>an der Heiden</w:t>
            </w:r>
            <w:proofErr w:type="gram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5"/>
              </w:numPr>
              <w:ind w:left="476" w:hanging="340"/>
              <w:rPr>
                <w:sz w:val="22"/>
                <w:szCs w:val="22"/>
              </w:rPr>
            </w:pPr>
            <w:r>
              <w:rPr>
                <w:sz w:val="22"/>
                <w:szCs w:val="22"/>
              </w:rPr>
              <w:t>Erinnerung an Aktualisierung der Dokumente vor dem Hintergrund der angepassten Teststrategie</w:t>
            </w:r>
          </w:p>
          <w:p>
            <w:pPr>
              <w:pStyle w:val="Listenabsatz"/>
              <w:numPr>
                <w:ilvl w:val="1"/>
                <w:numId w:val="5"/>
              </w:numPr>
              <w:ind w:left="901"/>
              <w:rPr>
                <w:sz w:val="22"/>
                <w:szCs w:val="22"/>
              </w:rPr>
            </w:pPr>
            <w:r>
              <w:rPr>
                <w:sz w:val="22"/>
                <w:szCs w:val="22"/>
              </w:rPr>
              <w:t>Stefan Kröger hat Dokument an Krisenstab versendet</w:t>
            </w:r>
          </w:p>
          <w:p>
            <w:pPr>
              <w:pStyle w:val="Listenabsatz"/>
              <w:numPr>
                <w:ilvl w:val="1"/>
                <w:numId w:val="5"/>
              </w:numPr>
              <w:spacing w:after="120"/>
              <w:ind w:left="896" w:hanging="357"/>
              <w:rPr>
                <w:sz w:val="22"/>
                <w:szCs w:val="22"/>
              </w:rPr>
            </w:pPr>
            <w:r>
              <w:rPr>
                <w:sz w:val="22"/>
                <w:szCs w:val="22"/>
              </w:rPr>
              <w:t>Diskussion verschoben auf Montag</w:t>
            </w:r>
          </w:p>
        </w:tc>
        <w:tc>
          <w:tcPr>
            <w:tcW w:w="1492" w:type="dxa"/>
          </w:tcPr>
          <w:p>
            <w:pPr>
              <w:rPr>
                <w:sz w:val="22"/>
                <w:szCs w:val="22"/>
              </w:rPr>
            </w:pPr>
          </w:p>
          <w:p>
            <w:pPr>
              <w:rPr>
                <w:sz w:val="22"/>
                <w:szCs w:val="22"/>
              </w:rPr>
            </w:pPr>
            <w:r>
              <w:rPr>
                <w:sz w:val="22"/>
                <w:szCs w:val="22"/>
              </w:rPr>
              <w:t xml:space="preserve">FG36 (Kröger) </w:t>
            </w: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76" w:hanging="340"/>
              <w:rPr>
                <w:sz w:val="22"/>
                <w:szCs w:val="22"/>
              </w:rPr>
            </w:pPr>
            <w:r>
              <w:rPr>
                <w:sz w:val="22"/>
                <w:szCs w:val="22"/>
              </w:rPr>
              <w:t xml:space="preserve">Daten zur Wirksamkeit: </w:t>
            </w:r>
          </w:p>
          <w:p>
            <w:pPr>
              <w:pStyle w:val="Listenabsatz"/>
              <w:numPr>
                <w:ilvl w:val="1"/>
                <w:numId w:val="5"/>
              </w:numPr>
              <w:ind w:left="901"/>
              <w:rPr>
                <w:sz w:val="22"/>
                <w:szCs w:val="22"/>
              </w:rPr>
            </w:pPr>
            <w:r>
              <w:rPr>
                <w:sz w:val="22"/>
                <w:szCs w:val="22"/>
              </w:rPr>
              <w:t xml:space="preserve">Daten aus Israel zeigen, dass </w:t>
            </w:r>
            <w:proofErr w:type="spellStart"/>
            <w:r>
              <w:rPr>
                <w:sz w:val="22"/>
                <w:szCs w:val="22"/>
              </w:rPr>
              <w:t>Biontech</w:t>
            </w:r>
            <w:proofErr w:type="spellEnd"/>
            <w:r>
              <w:rPr>
                <w:sz w:val="22"/>
                <w:szCs w:val="22"/>
              </w:rPr>
              <w:t xml:space="preserve"> ähnlich gute Wirksamkeit hat wie in Zulassungsstudien</w:t>
            </w:r>
          </w:p>
          <w:p>
            <w:pPr>
              <w:pStyle w:val="Listenabsatz"/>
              <w:numPr>
                <w:ilvl w:val="1"/>
                <w:numId w:val="5"/>
              </w:numPr>
              <w:ind w:left="901"/>
              <w:rPr>
                <w:sz w:val="22"/>
                <w:szCs w:val="22"/>
              </w:rPr>
            </w:pPr>
            <w:r>
              <w:rPr>
                <w:sz w:val="22"/>
                <w:szCs w:val="22"/>
              </w:rPr>
              <w:t>Daten zu Astra-</w:t>
            </w:r>
            <w:proofErr w:type="spellStart"/>
            <w:r>
              <w:rPr>
                <w:sz w:val="22"/>
                <w:szCs w:val="22"/>
              </w:rPr>
              <w:t>Zeneca</w:t>
            </w:r>
            <w:proofErr w:type="spellEnd"/>
            <w:r>
              <w:rPr>
                <w:sz w:val="22"/>
                <w:szCs w:val="22"/>
              </w:rPr>
              <w:t xml:space="preserve"> Impfstoff aus Südafrika: nur noch 10% Wirksamkeit bei B1.351-Variante, allerdings milde Erkrankung als Endpunkte</w:t>
            </w:r>
          </w:p>
          <w:p>
            <w:pPr>
              <w:pStyle w:val="Listenabsatz"/>
              <w:numPr>
                <w:ilvl w:val="1"/>
                <w:numId w:val="5"/>
              </w:numPr>
              <w:ind w:left="901"/>
              <w:rPr>
                <w:sz w:val="22"/>
                <w:szCs w:val="22"/>
              </w:rPr>
            </w:pPr>
            <w:r>
              <w:rPr>
                <w:sz w:val="22"/>
                <w:szCs w:val="22"/>
              </w:rPr>
              <w:t>Daten zu Johnson &amp; Johnson-Impfstoff, ebenfalls in Südafrika, mehr Power, auch schwere Erkrankung als Endpunkte - dort Wirksamkeit bei moderaten und milden Fällen niedriger, aber Wirksamkeit bei schweren Fällen erhalten, 85% Wirksamkeit bezüglich schwerer Erkrankungen</w:t>
            </w:r>
          </w:p>
          <w:p>
            <w:pPr>
              <w:pStyle w:val="Listenabsatz"/>
              <w:numPr>
                <w:ilvl w:val="0"/>
                <w:numId w:val="5"/>
              </w:numPr>
              <w:ind w:left="476"/>
              <w:rPr>
                <w:sz w:val="22"/>
                <w:szCs w:val="22"/>
              </w:rPr>
            </w:pPr>
            <w:r>
              <w:rPr>
                <w:sz w:val="22"/>
                <w:szCs w:val="22"/>
              </w:rPr>
              <w:t>Anpassung der Vakzine an Varianten:</w:t>
            </w:r>
          </w:p>
          <w:p>
            <w:pPr>
              <w:pStyle w:val="Listenabsatz"/>
              <w:numPr>
                <w:ilvl w:val="1"/>
                <w:numId w:val="5"/>
              </w:numPr>
              <w:ind w:left="901"/>
              <w:rPr>
                <w:sz w:val="22"/>
                <w:szCs w:val="22"/>
              </w:rPr>
            </w:pPr>
            <w:r>
              <w:rPr>
                <w:sz w:val="22"/>
                <w:szCs w:val="22"/>
              </w:rPr>
              <w:t>Alle Hersteller arbeiten an Anpassung der Vakzine, möglicherweise im Rahmen der Booster-Impfung Impfstoff mit neuen Varianten</w:t>
            </w:r>
          </w:p>
          <w:p>
            <w:pPr>
              <w:pStyle w:val="Listenabsatz"/>
              <w:numPr>
                <w:ilvl w:val="1"/>
                <w:numId w:val="5"/>
              </w:numPr>
              <w:ind w:left="901"/>
              <w:rPr>
                <w:sz w:val="22"/>
                <w:szCs w:val="22"/>
              </w:rPr>
            </w:pPr>
            <w:r>
              <w:rPr>
                <w:sz w:val="22"/>
                <w:szCs w:val="22"/>
              </w:rPr>
              <w:t xml:space="preserve">GSK hat Kooperation mit </w:t>
            </w:r>
            <w:proofErr w:type="spellStart"/>
            <w:r>
              <w:rPr>
                <w:sz w:val="22"/>
                <w:szCs w:val="22"/>
              </w:rPr>
              <w:t>Curevac</w:t>
            </w:r>
            <w:proofErr w:type="spellEnd"/>
            <w:r>
              <w:rPr>
                <w:sz w:val="22"/>
                <w:szCs w:val="22"/>
              </w:rPr>
              <w:t xml:space="preserve"> – Multivarianten-Impfstoff, Launch 2022</w:t>
            </w:r>
          </w:p>
          <w:p>
            <w:pPr>
              <w:pStyle w:val="Listenabsatz"/>
              <w:numPr>
                <w:ilvl w:val="0"/>
                <w:numId w:val="5"/>
              </w:numPr>
              <w:ind w:left="476" w:hanging="340"/>
              <w:rPr>
                <w:sz w:val="22"/>
                <w:szCs w:val="22"/>
              </w:rPr>
            </w:pPr>
            <w:r>
              <w:rPr>
                <w:sz w:val="22"/>
                <w:szCs w:val="22"/>
              </w:rPr>
              <w:t xml:space="preserve">Analysen zu Impfdurchbrüchen: </w:t>
            </w:r>
          </w:p>
          <w:p>
            <w:pPr>
              <w:pStyle w:val="Listenabsatz"/>
              <w:numPr>
                <w:ilvl w:val="1"/>
                <w:numId w:val="5"/>
              </w:numPr>
              <w:ind w:left="901"/>
              <w:rPr>
                <w:sz w:val="22"/>
                <w:szCs w:val="22"/>
              </w:rPr>
            </w:pPr>
            <w:r>
              <w:rPr>
                <w:sz w:val="22"/>
                <w:szCs w:val="22"/>
              </w:rPr>
              <w:t>FG33 schaut sich IfSG-Meldungen zu Impfdurchbrüchen systematisch an, bisher 9000 Fälle, mit einer Impfung und 4 Fälle mit Zweifach-Impfung, Zusatzfragebogen etabliert, in EpiLag vorgestellt, u.a. bei Impfdurchbrüchen auch Probe an ZBS zur Sequenzierung</w:t>
            </w:r>
          </w:p>
          <w:p>
            <w:pPr>
              <w:pStyle w:val="Listenabsatz"/>
              <w:numPr>
                <w:ilvl w:val="0"/>
                <w:numId w:val="5"/>
              </w:numPr>
              <w:ind w:left="476" w:hanging="340"/>
              <w:rPr>
                <w:sz w:val="22"/>
                <w:szCs w:val="22"/>
              </w:rPr>
            </w:pPr>
            <w:r>
              <w:rPr>
                <w:sz w:val="22"/>
                <w:szCs w:val="22"/>
              </w:rPr>
              <w:t xml:space="preserve">Weitere Infos: </w:t>
            </w:r>
          </w:p>
          <w:p>
            <w:pPr>
              <w:pStyle w:val="Listenabsatz"/>
              <w:numPr>
                <w:ilvl w:val="1"/>
                <w:numId w:val="5"/>
              </w:numPr>
              <w:ind w:left="901"/>
              <w:rPr>
                <w:sz w:val="22"/>
                <w:szCs w:val="22"/>
              </w:rPr>
            </w:pPr>
            <w:r>
              <w:rPr>
                <w:sz w:val="22"/>
                <w:szCs w:val="22"/>
              </w:rPr>
              <w:t>Ein gutes Korrelat für die Protektion fehlt, bisher NT genutzt</w:t>
            </w:r>
          </w:p>
          <w:p>
            <w:pPr>
              <w:pStyle w:val="Listenabsatz"/>
              <w:numPr>
                <w:ilvl w:val="1"/>
                <w:numId w:val="5"/>
              </w:numPr>
              <w:ind w:left="901"/>
              <w:rPr>
                <w:sz w:val="22"/>
                <w:szCs w:val="22"/>
              </w:rPr>
            </w:pPr>
            <w:r>
              <w:rPr>
                <w:sz w:val="22"/>
                <w:szCs w:val="22"/>
              </w:rPr>
              <w:t xml:space="preserve">Übergang von Impfzentren zu Regelsystem, Problem der Erfassung der Impfung in Praxen, ggf. Schwerpunkt-Impfpraxen, die an DIM angeschlossen werden, oder Möglichkeit der Meldung über KV-System. Noch in Diskussion. </w:t>
            </w:r>
          </w:p>
          <w:p>
            <w:pPr>
              <w:pStyle w:val="Listenabsatz"/>
              <w:numPr>
                <w:ilvl w:val="0"/>
                <w:numId w:val="5"/>
              </w:numPr>
              <w:ind w:left="476" w:hanging="340"/>
              <w:rPr>
                <w:sz w:val="22"/>
                <w:szCs w:val="22"/>
              </w:rPr>
            </w:pPr>
            <w:r>
              <w:rPr>
                <w:sz w:val="22"/>
                <w:szCs w:val="22"/>
              </w:rPr>
              <w:lastRenderedPageBreak/>
              <w:t xml:space="preserve">Vorschlag in </w:t>
            </w:r>
            <w:proofErr w:type="spellStart"/>
            <w:r>
              <w:rPr>
                <w:sz w:val="22"/>
                <w:szCs w:val="22"/>
              </w:rPr>
              <w:t>seroepidemiologischen</w:t>
            </w:r>
            <w:proofErr w:type="spellEnd"/>
            <w:r>
              <w:rPr>
                <w:sz w:val="22"/>
                <w:szCs w:val="22"/>
              </w:rPr>
              <w:t xml:space="preserve"> Studien zwischen Impfung und Erkrankung zu unterscheiden</w:t>
            </w:r>
          </w:p>
          <w:p>
            <w:pPr>
              <w:pStyle w:val="Listenabsatz"/>
              <w:numPr>
                <w:ilvl w:val="1"/>
                <w:numId w:val="5"/>
              </w:numPr>
              <w:ind w:left="1043"/>
              <w:rPr>
                <w:sz w:val="22"/>
                <w:szCs w:val="22"/>
              </w:rPr>
            </w:pPr>
            <w:r>
              <w:rPr>
                <w:sz w:val="22"/>
                <w:szCs w:val="22"/>
              </w:rPr>
              <w:t>Gelder zur Verlängerung der Studien erhalten</w:t>
            </w:r>
          </w:p>
          <w:p>
            <w:pPr>
              <w:pStyle w:val="Listenabsatz"/>
              <w:numPr>
                <w:ilvl w:val="1"/>
                <w:numId w:val="5"/>
              </w:numPr>
              <w:spacing w:after="120"/>
              <w:ind w:left="1037" w:hanging="357"/>
              <w:rPr>
                <w:sz w:val="22"/>
                <w:szCs w:val="22"/>
              </w:rPr>
            </w:pPr>
            <w:r>
              <w:rPr>
                <w:sz w:val="22"/>
                <w:szCs w:val="22"/>
              </w:rPr>
              <w:t>Forschungsfragen müssen angepasst werden, Punkt wird aufgenommen</w:t>
            </w:r>
          </w:p>
        </w:tc>
        <w:tc>
          <w:tcPr>
            <w:tcW w:w="1492" w:type="dxa"/>
          </w:tcPr>
          <w:p>
            <w:pPr>
              <w:rPr>
                <w:sz w:val="22"/>
                <w:szCs w:val="22"/>
              </w:rPr>
            </w:pPr>
          </w:p>
          <w:p>
            <w:pPr>
              <w:rPr>
                <w:sz w:val="22"/>
                <w:szCs w:val="22"/>
              </w:rPr>
            </w:pPr>
            <w:r>
              <w:rPr>
                <w:sz w:val="22"/>
                <w:szCs w:val="22"/>
              </w:rPr>
              <w:t>FG33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(Buda)</w:t>
            </w:r>
          </w:p>
          <w:p>
            <w:pPr>
              <w:rPr>
                <w:sz w:val="22"/>
                <w:szCs w:val="22"/>
              </w:rPr>
            </w:pP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b/>
                <w:sz w:val="22"/>
                <w:szCs w:val="22"/>
              </w:rPr>
              <w:t>FG 17</w:t>
            </w:r>
            <w:r>
              <w:rPr>
                <w:sz w:val="22"/>
                <w:szCs w:val="22"/>
              </w:rPr>
              <w:t xml:space="preserve"> </w:t>
            </w:r>
          </w:p>
          <w:p>
            <w:pPr>
              <w:pStyle w:val="Listenabsatz"/>
              <w:numPr>
                <w:ilvl w:val="1"/>
                <w:numId w:val="5"/>
              </w:numPr>
              <w:ind w:left="1043"/>
              <w:rPr>
                <w:sz w:val="22"/>
                <w:szCs w:val="22"/>
              </w:rPr>
            </w:pPr>
            <w:r>
              <w:rPr>
                <w:sz w:val="22"/>
                <w:szCs w:val="22"/>
              </w:rPr>
              <w:t xml:space="preserve">Insgesamt 579 Proben analysiert, davon </w:t>
            </w:r>
          </w:p>
          <w:p>
            <w:pPr>
              <w:pStyle w:val="Listenabsatz"/>
              <w:numPr>
                <w:ilvl w:val="2"/>
                <w:numId w:val="5"/>
              </w:numPr>
              <w:ind w:left="1610"/>
              <w:rPr>
                <w:sz w:val="22"/>
                <w:szCs w:val="22"/>
              </w:rPr>
            </w:pPr>
            <w:r>
              <w:rPr>
                <w:sz w:val="22"/>
                <w:szCs w:val="22"/>
              </w:rPr>
              <w:t>42 Proben SARS-CoV-2-positiv (Positivanteil 7%, rückläufig)</w:t>
            </w:r>
          </w:p>
          <w:p>
            <w:pPr>
              <w:pStyle w:val="Listenabsatz"/>
              <w:numPr>
                <w:ilvl w:val="2"/>
                <w:numId w:val="5"/>
              </w:numPr>
              <w:ind w:left="1610"/>
              <w:rPr>
                <w:sz w:val="22"/>
                <w:szCs w:val="22"/>
              </w:rPr>
            </w:pPr>
            <w:r>
              <w:rPr>
                <w:sz w:val="22"/>
                <w:szCs w:val="22"/>
              </w:rPr>
              <w:t xml:space="preserve">50 Proben </w:t>
            </w:r>
            <w:proofErr w:type="spellStart"/>
            <w:r>
              <w:rPr>
                <w:sz w:val="22"/>
                <w:szCs w:val="22"/>
              </w:rPr>
              <w:t>Rhinovirus</w:t>
            </w:r>
            <w:proofErr w:type="spellEnd"/>
            <w:r>
              <w:rPr>
                <w:sz w:val="22"/>
                <w:szCs w:val="22"/>
              </w:rPr>
              <w:t>-positiv</w:t>
            </w:r>
          </w:p>
          <w:p>
            <w:pPr>
              <w:pStyle w:val="Listenabsatz"/>
              <w:numPr>
                <w:ilvl w:val="2"/>
                <w:numId w:val="5"/>
              </w:numPr>
              <w:ind w:left="1610"/>
              <w:rPr>
                <w:sz w:val="22"/>
                <w:szCs w:val="22"/>
              </w:rPr>
            </w:pPr>
            <w:r>
              <w:rPr>
                <w:sz w:val="22"/>
                <w:szCs w:val="22"/>
              </w:rPr>
              <w:t>2 Proben positiv auf Parainfluenza</w:t>
            </w:r>
          </w:p>
          <w:p>
            <w:pPr>
              <w:pStyle w:val="Listenabsatz"/>
              <w:numPr>
                <w:ilvl w:val="2"/>
                <w:numId w:val="5"/>
              </w:numPr>
              <w:ind w:left="1610"/>
              <w:rPr>
                <w:sz w:val="22"/>
                <w:szCs w:val="22"/>
              </w:rPr>
            </w:pPr>
            <w:r>
              <w:rPr>
                <w:sz w:val="22"/>
                <w:szCs w:val="22"/>
              </w:rPr>
              <w:t>11 Proben positiv für das Coronavirus NL63</w:t>
            </w:r>
          </w:p>
          <w:p>
            <w:pPr>
              <w:pStyle w:val="Listenabsatz"/>
              <w:numPr>
                <w:ilvl w:val="2"/>
                <w:numId w:val="5"/>
              </w:numPr>
              <w:ind w:left="1610"/>
              <w:rPr>
                <w:sz w:val="22"/>
                <w:szCs w:val="22"/>
              </w:rPr>
            </w:pPr>
            <w:r>
              <w:rPr>
                <w:sz w:val="22"/>
                <w:szCs w:val="22"/>
              </w:rPr>
              <w:t>Weiterhin kein Nachweis von Influenza</w:t>
            </w:r>
          </w:p>
          <w:p>
            <w:pPr>
              <w:pStyle w:val="Listenabsatz"/>
              <w:numPr>
                <w:ilvl w:val="1"/>
                <w:numId w:val="5"/>
              </w:numPr>
              <w:ind w:left="1043"/>
              <w:rPr>
                <w:sz w:val="22"/>
                <w:szCs w:val="22"/>
              </w:rPr>
            </w:pPr>
            <w:r>
              <w:rPr>
                <w:sz w:val="22"/>
                <w:szCs w:val="22"/>
              </w:rPr>
              <w:t xml:space="preserve">Hinweise zur Testung werden </w:t>
            </w:r>
            <w:proofErr w:type="spellStart"/>
            <w:r>
              <w:rPr>
                <w:sz w:val="22"/>
                <w:szCs w:val="22"/>
              </w:rPr>
              <w:t>geupdated</w:t>
            </w:r>
            <w:proofErr w:type="spellEnd"/>
            <w:r>
              <w:rPr>
                <w:sz w:val="22"/>
                <w:szCs w:val="22"/>
              </w:rPr>
              <w:t>, Testung aller positiven Proben auf Varianten wird aufgenommen</w:t>
            </w:r>
          </w:p>
          <w:p>
            <w:pPr>
              <w:pStyle w:val="Listenabsatz"/>
              <w:numPr>
                <w:ilvl w:val="1"/>
                <w:numId w:val="5"/>
              </w:numPr>
              <w:spacing w:after="120"/>
              <w:ind w:left="1037" w:hanging="357"/>
              <w:contextualSpacing w:val="0"/>
              <w:rPr>
                <w:sz w:val="22"/>
                <w:szCs w:val="22"/>
              </w:rPr>
            </w:pPr>
            <w:r>
              <w:rPr>
                <w:sz w:val="22"/>
                <w:szCs w:val="22"/>
              </w:rPr>
              <w:t xml:space="preserve">Wie ist weiterer Nachweis der saisonalen Coronaviren zu erklären? Infos zur Übertragbarkeit? Unklar, keine weiteren Infos zu Übertragbarkeit von NL63 vorhanden. Möglicherweise keine effektive Immunantwort. </w:t>
            </w:r>
          </w:p>
          <w:p>
            <w:pPr>
              <w:pStyle w:val="Listenabsatz"/>
              <w:numPr>
                <w:ilvl w:val="0"/>
                <w:numId w:val="5"/>
              </w:numPr>
              <w:ind w:left="476"/>
              <w:rPr>
                <w:sz w:val="22"/>
              </w:rPr>
            </w:pPr>
            <w:r>
              <w:rPr>
                <w:sz w:val="22"/>
              </w:rPr>
              <w:t>ZBS1</w:t>
            </w:r>
          </w:p>
          <w:p>
            <w:pPr>
              <w:pStyle w:val="Listenabsatz"/>
              <w:numPr>
                <w:ilvl w:val="1"/>
                <w:numId w:val="5"/>
              </w:numPr>
              <w:spacing w:after="120"/>
              <w:ind w:left="1037" w:hanging="357"/>
              <w:rPr>
                <w:sz w:val="22"/>
              </w:rPr>
            </w:pPr>
            <w:r>
              <w:rPr>
                <w:sz w:val="22"/>
              </w:rPr>
              <w:t>Daten wurden am Montag schon vorgestellt</w:t>
            </w:r>
          </w:p>
        </w:tc>
        <w:tc>
          <w:tcPr>
            <w:tcW w:w="1492" w:type="dxa"/>
          </w:tcPr>
          <w:p>
            <w:pPr>
              <w:rPr>
                <w:sz w:val="22"/>
                <w:szCs w:val="22"/>
              </w:rPr>
            </w:pPr>
          </w:p>
          <w:p>
            <w:pPr>
              <w:rPr>
                <w:sz w:val="22"/>
                <w:szCs w:val="22"/>
              </w:rPr>
            </w:pPr>
            <w:r>
              <w:rPr>
                <w:sz w:val="22"/>
                <w:szCs w:val="22"/>
              </w:rPr>
              <w:t>FG17 (Oh)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(Schrick)</w:t>
            </w: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11"/>
              </w:numPr>
              <w:spacing w:after="120"/>
              <w:ind w:left="476" w:hanging="357"/>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Empfehlung zu MNS im ambulanten Setting</w:t>
            </w:r>
          </w:p>
          <w:p>
            <w:pPr>
              <w:pStyle w:val="Listenabsatz"/>
              <w:numPr>
                <w:ilvl w:val="1"/>
                <w:numId w:val="5"/>
              </w:numPr>
              <w:ind w:left="907" w:hanging="340"/>
              <w:rPr>
                <w:sz w:val="22"/>
                <w:szCs w:val="22"/>
              </w:rPr>
            </w:pPr>
            <w:r>
              <w:rPr>
                <w:sz w:val="22"/>
              </w:rPr>
              <w:t>Nachfrage von IBBS zur Vereinheitlichung: zusätzlich FFP2 erwähnen?</w:t>
            </w:r>
          </w:p>
          <w:p>
            <w:pPr>
              <w:pStyle w:val="Listenabsatz"/>
              <w:numPr>
                <w:ilvl w:val="1"/>
                <w:numId w:val="5"/>
              </w:numPr>
              <w:spacing w:after="120"/>
              <w:ind w:left="907" w:hanging="340"/>
              <w:rPr>
                <w:sz w:val="22"/>
                <w:szCs w:val="22"/>
              </w:rPr>
            </w:pPr>
            <w:r>
              <w:rPr>
                <w:sz w:val="22"/>
                <w:szCs w:val="22"/>
              </w:rPr>
              <w:t xml:space="preserve">Es sollte weiterhin auch im ambulanten Setting ein medizinischen MNS empfohlen werden, fachliche Evidenz hat sich nicht geändert, ECDC und WHO empfehlen </w:t>
            </w:r>
            <w:proofErr w:type="spellStart"/>
            <w:r>
              <w:rPr>
                <w:sz w:val="22"/>
                <w:szCs w:val="22"/>
              </w:rPr>
              <w:t>medical</w:t>
            </w:r>
            <w:proofErr w:type="spellEnd"/>
            <w:r>
              <w:rPr>
                <w:sz w:val="22"/>
                <w:szCs w:val="22"/>
              </w:rPr>
              <w:t xml:space="preserve"> </w:t>
            </w:r>
            <w:proofErr w:type="spellStart"/>
            <w:r>
              <w:rPr>
                <w:sz w:val="22"/>
                <w:szCs w:val="22"/>
              </w:rPr>
              <w:t>masks</w:t>
            </w:r>
            <w:proofErr w:type="spellEnd"/>
            <w:r>
              <w:rPr>
                <w:sz w:val="22"/>
                <w:szCs w:val="22"/>
              </w:rPr>
              <w:t>, MNS ist leichter zu nutzen und wird eher als Einmalartikel begriffen</w:t>
            </w:r>
          </w:p>
        </w:tc>
        <w:tc>
          <w:tcPr>
            <w:tcW w:w="1492" w:type="dxa"/>
          </w:tcPr>
          <w:p>
            <w:pPr>
              <w:rPr>
                <w:sz w:val="22"/>
                <w:szCs w:val="22"/>
              </w:rPr>
            </w:pPr>
          </w:p>
          <w:p>
            <w:pPr>
              <w:rPr>
                <w:sz w:val="22"/>
                <w:szCs w:val="22"/>
              </w:rPr>
            </w:pPr>
            <w:r>
              <w:rPr>
                <w:sz w:val="22"/>
                <w:szCs w:val="22"/>
              </w:rPr>
              <w:t>FG14</w:t>
            </w: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spacing w:after="120"/>
              <w:ind w:left="453"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spacing w:after="120"/>
              <w:ind w:left="453" w:hanging="340"/>
              <w:rPr>
                <w:sz w:val="22"/>
                <w:szCs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 xml:space="preserve">Ergebnisse der Befragung zum RKI-internen Lagemanagement während der COVID-19 Pandemie, Oktober 2020 (Folien </w:t>
            </w:r>
            <w:hyperlink r:id="rId16" w:history="1">
              <w:r>
                <w:rPr>
                  <w:rStyle w:val="Hyperlink"/>
                  <w:sz w:val="22"/>
                  <w:szCs w:val="22"/>
                </w:rPr>
                <w:t>hier</w:t>
              </w:r>
            </w:hyperlink>
            <w:r>
              <w:rPr>
                <w:sz w:val="22"/>
                <w:szCs w:val="22"/>
              </w:rPr>
              <w:t>)</w:t>
            </w:r>
          </w:p>
          <w:p>
            <w:pPr>
              <w:pStyle w:val="Listenabsatz"/>
              <w:numPr>
                <w:ilvl w:val="1"/>
                <w:numId w:val="5"/>
              </w:numPr>
              <w:ind w:left="901"/>
              <w:rPr>
                <w:sz w:val="22"/>
                <w:szCs w:val="22"/>
              </w:rPr>
            </w:pPr>
            <w:r>
              <w:rPr>
                <w:sz w:val="22"/>
                <w:szCs w:val="22"/>
              </w:rPr>
              <w:t>Abfrage über VOXCO Anfang Oktober bei allen MA</w:t>
            </w:r>
          </w:p>
          <w:p>
            <w:pPr>
              <w:pStyle w:val="Listenabsatz"/>
              <w:numPr>
                <w:ilvl w:val="1"/>
                <w:numId w:val="5"/>
              </w:numPr>
              <w:ind w:left="901"/>
              <w:rPr>
                <w:sz w:val="22"/>
                <w:szCs w:val="22"/>
              </w:rPr>
            </w:pPr>
            <w:r>
              <w:rPr>
                <w:sz w:val="22"/>
                <w:szCs w:val="22"/>
              </w:rPr>
              <w:t>Wahrnehmung des RKI-internen Lagemanagements, Krisenstabs- und Lagezentrums-spezifische Aspekte</w:t>
            </w:r>
          </w:p>
          <w:p>
            <w:pPr>
              <w:pStyle w:val="Listenabsatz"/>
              <w:numPr>
                <w:ilvl w:val="1"/>
                <w:numId w:val="5"/>
              </w:numPr>
              <w:ind w:left="901"/>
              <w:rPr>
                <w:sz w:val="22"/>
                <w:szCs w:val="22"/>
              </w:rPr>
            </w:pPr>
            <w:r>
              <w:rPr>
                <w:sz w:val="22"/>
                <w:szCs w:val="22"/>
              </w:rPr>
              <w:t>225 Teilnehmende, 57% sehr zufrieden oder zufrieden mit dem Lagemanagement, bei sehr hoher oder hoher Arbeitsbelastung</w:t>
            </w:r>
          </w:p>
          <w:p>
            <w:pPr>
              <w:pStyle w:val="Listenabsatz"/>
              <w:numPr>
                <w:ilvl w:val="1"/>
                <w:numId w:val="5"/>
              </w:numPr>
              <w:ind w:left="901"/>
              <w:rPr>
                <w:sz w:val="22"/>
                <w:szCs w:val="22"/>
              </w:rPr>
            </w:pPr>
            <w:r>
              <w:rPr>
                <w:sz w:val="22"/>
                <w:szCs w:val="22"/>
              </w:rPr>
              <w:t xml:space="preserve">Ergebnisse: </w:t>
            </w:r>
          </w:p>
          <w:p>
            <w:pPr>
              <w:pStyle w:val="Listenabsatz"/>
              <w:numPr>
                <w:ilvl w:val="2"/>
                <w:numId w:val="5"/>
              </w:numPr>
              <w:ind w:left="1468"/>
              <w:rPr>
                <w:sz w:val="22"/>
                <w:szCs w:val="22"/>
              </w:rPr>
            </w:pPr>
            <w:r>
              <w:rPr>
                <w:sz w:val="22"/>
                <w:szCs w:val="22"/>
              </w:rPr>
              <w:lastRenderedPageBreak/>
              <w:t>Kommunikation wird als verbesserungswürdig empfunden</w:t>
            </w:r>
          </w:p>
          <w:p>
            <w:pPr>
              <w:pStyle w:val="Listenabsatz"/>
              <w:numPr>
                <w:ilvl w:val="2"/>
                <w:numId w:val="5"/>
              </w:numPr>
              <w:ind w:left="1468"/>
              <w:rPr>
                <w:sz w:val="22"/>
                <w:szCs w:val="22"/>
              </w:rPr>
            </w:pPr>
            <w:r>
              <w:rPr>
                <w:sz w:val="22"/>
                <w:szCs w:val="22"/>
              </w:rPr>
              <w:t>Techn. und räumliche Aspekte: zufrieden, aber Fehlen von digitalen Tools (Datenbanken etc.)</w:t>
            </w:r>
          </w:p>
          <w:p>
            <w:pPr>
              <w:pStyle w:val="Listenabsatz"/>
              <w:numPr>
                <w:ilvl w:val="2"/>
                <w:numId w:val="5"/>
              </w:numPr>
              <w:ind w:left="1468"/>
              <w:rPr>
                <w:sz w:val="22"/>
                <w:szCs w:val="22"/>
              </w:rPr>
            </w:pPr>
            <w:r>
              <w:rPr>
                <w:sz w:val="22"/>
                <w:szCs w:val="22"/>
              </w:rPr>
              <w:t>Grundsätzlich Zufriedenheit mit Krisenstab</w:t>
            </w:r>
          </w:p>
          <w:p>
            <w:pPr>
              <w:pStyle w:val="Listenabsatz"/>
              <w:numPr>
                <w:ilvl w:val="2"/>
                <w:numId w:val="5"/>
              </w:numPr>
              <w:ind w:left="1468"/>
              <w:rPr>
                <w:sz w:val="22"/>
                <w:szCs w:val="22"/>
              </w:rPr>
            </w:pPr>
            <w:r>
              <w:rPr>
                <w:sz w:val="22"/>
                <w:szCs w:val="22"/>
              </w:rPr>
              <w:t>Schichtbesetzung wurde als kritisch angesehen.</w:t>
            </w:r>
          </w:p>
          <w:p>
            <w:pPr>
              <w:pStyle w:val="Listenabsatz"/>
              <w:numPr>
                <w:ilvl w:val="2"/>
                <w:numId w:val="5"/>
              </w:numPr>
              <w:ind w:left="1468"/>
              <w:rPr>
                <w:sz w:val="22"/>
                <w:szCs w:val="22"/>
              </w:rPr>
            </w:pPr>
            <w:r>
              <w:rPr>
                <w:sz w:val="22"/>
                <w:szCs w:val="22"/>
              </w:rPr>
              <w:t>Mehr Wertschätzung wird gewünscht</w:t>
            </w:r>
          </w:p>
          <w:p>
            <w:pPr>
              <w:pStyle w:val="Listenabsatz"/>
              <w:numPr>
                <w:ilvl w:val="2"/>
                <w:numId w:val="5"/>
              </w:numPr>
              <w:ind w:left="1468"/>
              <w:rPr>
                <w:sz w:val="22"/>
                <w:szCs w:val="22"/>
              </w:rPr>
            </w:pPr>
            <w:r>
              <w:rPr>
                <w:sz w:val="22"/>
                <w:szCs w:val="22"/>
              </w:rPr>
              <w:t>Evaluation anderer Bereich sollte durchgeführt werden (Diagnostik)</w:t>
            </w:r>
          </w:p>
          <w:p>
            <w:pPr>
              <w:pStyle w:val="Listenabsatz"/>
              <w:numPr>
                <w:ilvl w:val="2"/>
                <w:numId w:val="5"/>
              </w:numPr>
              <w:ind w:left="1468"/>
              <w:rPr>
                <w:sz w:val="22"/>
                <w:szCs w:val="22"/>
              </w:rPr>
            </w:pPr>
            <w:r>
              <w:rPr>
                <w:sz w:val="22"/>
                <w:szCs w:val="22"/>
              </w:rPr>
              <w:t xml:space="preserve">Personalaspekte: Schutz der MA vor Überlastung von Mehrheit als nicht ausreichend empfunden. </w:t>
            </w:r>
            <w:proofErr w:type="spellStart"/>
            <w:r>
              <w:rPr>
                <w:sz w:val="22"/>
                <w:szCs w:val="22"/>
              </w:rPr>
              <w:t>Depriorisierung</w:t>
            </w:r>
            <w:proofErr w:type="spellEnd"/>
            <w:r>
              <w:rPr>
                <w:sz w:val="22"/>
                <w:szCs w:val="22"/>
              </w:rPr>
              <w:t xml:space="preserve"> nicht ausreichend </w:t>
            </w:r>
          </w:p>
          <w:p>
            <w:pPr>
              <w:pStyle w:val="Listenabsatz"/>
              <w:numPr>
                <w:ilvl w:val="2"/>
                <w:numId w:val="5"/>
              </w:numPr>
              <w:ind w:left="1468"/>
              <w:rPr>
                <w:sz w:val="22"/>
                <w:szCs w:val="22"/>
              </w:rPr>
            </w:pPr>
            <w:r>
              <w:rPr>
                <w:sz w:val="22"/>
                <w:szCs w:val="22"/>
              </w:rPr>
              <w:t>Angebote zur psychischen Entlastung erwünscht (vorhandene Angebote nicht bekannt)</w:t>
            </w:r>
          </w:p>
          <w:p>
            <w:pPr>
              <w:pStyle w:val="Listenabsatz"/>
              <w:numPr>
                <w:ilvl w:val="2"/>
                <w:numId w:val="5"/>
              </w:numPr>
              <w:ind w:left="1468"/>
              <w:rPr>
                <w:sz w:val="22"/>
                <w:szCs w:val="22"/>
              </w:rPr>
            </w:pPr>
            <w:r>
              <w:rPr>
                <w:sz w:val="22"/>
                <w:szCs w:val="22"/>
              </w:rPr>
              <w:t>Informationen nicht leicht genug zu finden oder nicht vorhanden, MA fühlen sich z.T. „außen vor“, Info zu Zugang zum Verteiler RKI-Corona</w:t>
            </w:r>
          </w:p>
          <w:p>
            <w:pPr>
              <w:pStyle w:val="Listenabsatz"/>
              <w:numPr>
                <w:ilvl w:val="2"/>
                <w:numId w:val="5"/>
              </w:numPr>
              <w:ind w:left="1468"/>
              <w:rPr>
                <w:sz w:val="22"/>
                <w:szCs w:val="22"/>
              </w:rPr>
            </w:pPr>
            <w:r>
              <w:rPr>
                <w:sz w:val="22"/>
                <w:szCs w:val="22"/>
              </w:rPr>
              <w:t>Vernetzung und Kooperation als positive Aspekte</w:t>
            </w:r>
          </w:p>
          <w:p>
            <w:pPr>
              <w:pStyle w:val="Listenabsatz"/>
              <w:numPr>
                <w:ilvl w:val="1"/>
                <w:numId w:val="5"/>
              </w:numPr>
              <w:ind w:left="901"/>
              <w:rPr>
                <w:sz w:val="22"/>
                <w:szCs w:val="22"/>
              </w:rPr>
            </w:pPr>
            <w:r>
              <w:rPr>
                <w:sz w:val="22"/>
                <w:szCs w:val="22"/>
              </w:rPr>
              <w:t xml:space="preserve">Diskussion: </w:t>
            </w:r>
          </w:p>
          <w:p>
            <w:pPr>
              <w:pStyle w:val="Listenabsatz"/>
              <w:numPr>
                <w:ilvl w:val="2"/>
                <w:numId w:val="5"/>
              </w:numPr>
              <w:ind w:left="1468"/>
              <w:rPr>
                <w:sz w:val="22"/>
                <w:szCs w:val="22"/>
              </w:rPr>
            </w:pPr>
            <w:r>
              <w:rPr>
                <w:sz w:val="22"/>
                <w:szCs w:val="22"/>
              </w:rPr>
              <w:t xml:space="preserve">Vorschlag eines </w:t>
            </w:r>
            <w:proofErr w:type="spellStart"/>
            <w:r>
              <w:rPr>
                <w:sz w:val="22"/>
                <w:szCs w:val="22"/>
              </w:rPr>
              <w:t>Webex</w:t>
            </w:r>
            <w:proofErr w:type="spellEnd"/>
            <w:r>
              <w:rPr>
                <w:sz w:val="22"/>
                <w:szCs w:val="22"/>
              </w:rPr>
              <w:t>-Seminars für alle RKI-MA, möglicherweise im Rahmen des internen Seminars, mit Raum für Fragen</w:t>
            </w:r>
          </w:p>
          <w:p>
            <w:pPr>
              <w:pStyle w:val="Listenabsatz"/>
              <w:numPr>
                <w:ilvl w:val="2"/>
                <w:numId w:val="5"/>
              </w:numPr>
              <w:spacing w:after="120"/>
              <w:ind w:left="1463" w:hanging="357"/>
              <w:rPr>
                <w:sz w:val="22"/>
                <w:szCs w:val="22"/>
              </w:rPr>
            </w:pPr>
            <w:r>
              <w:rPr>
                <w:sz w:val="22"/>
                <w:szCs w:val="22"/>
              </w:rPr>
              <w:t>Auswertung sollte vorab im LK besprochen werden, um Vorschläge vorzubereiten</w:t>
            </w:r>
          </w:p>
        </w:tc>
        <w:tc>
          <w:tcPr>
            <w:tcW w:w="1492" w:type="dxa"/>
          </w:tcPr>
          <w:p>
            <w:pPr>
              <w:rPr>
                <w:sz w:val="22"/>
                <w:szCs w:val="22"/>
              </w:rPr>
            </w:pPr>
          </w:p>
          <w:p>
            <w:pPr>
              <w:rPr>
                <w:sz w:val="22"/>
                <w:szCs w:val="22"/>
              </w:rPr>
            </w:pPr>
            <w:r>
              <w:rPr>
                <w:sz w:val="22"/>
                <w:szCs w:val="22"/>
              </w:rPr>
              <w:t>FG38 (Schöll)</w:t>
            </w: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spacing w:after="120"/>
              <w:ind w:left="470" w:hanging="357"/>
              <w:rPr>
                <w:sz w:val="22"/>
                <w:szCs w:val="22"/>
              </w:rPr>
            </w:pPr>
            <w:r>
              <w:rPr>
                <w:sz w:val="22"/>
                <w:szCs w:val="22"/>
              </w:rPr>
              <w:t xml:space="preserve">s. Kommunikation </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15.02.2021,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rPr>
          <w:b/>
        </w:rPr>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109D"/>
    <w:multiLevelType w:val="hybridMultilevel"/>
    <w:tmpl w:val="2CA87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603FFB"/>
    <w:multiLevelType w:val="hybridMultilevel"/>
    <w:tmpl w:val="D1B6E8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397807"/>
    <w:multiLevelType w:val="hybridMultilevel"/>
    <w:tmpl w:val="2640AF14"/>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AA1FAD"/>
    <w:multiLevelType w:val="hybridMultilevel"/>
    <w:tmpl w:val="BAD61AEE"/>
    <w:lvl w:ilvl="0" w:tplc="04070001">
      <w:start w:val="1"/>
      <w:numFmt w:val="bullet"/>
      <w:lvlText w:val=""/>
      <w:lvlJc w:val="left"/>
      <w:pPr>
        <w:ind w:left="1173" w:hanging="360"/>
      </w:pPr>
      <w:rPr>
        <w:rFonts w:ascii="Symbol" w:hAnsi="Symbol"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930149"/>
    <w:multiLevelType w:val="hybridMultilevel"/>
    <w:tmpl w:val="B6B2499C"/>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hint="default"/>
      </w:rPr>
    </w:lvl>
    <w:lvl w:ilvl="3" w:tplc="04070001" w:tentative="1">
      <w:start w:val="1"/>
      <w:numFmt w:val="bullet"/>
      <w:lvlText w:val=""/>
      <w:lvlJc w:val="left"/>
      <w:pPr>
        <w:ind w:left="2929" w:hanging="360"/>
      </w:pPr>
      <w:rPr>
        <w:rFonts w:ascii="Symbol" w:hAnsi="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hint="default"/>
      </w:rPr>
    </w:lvl>
    <w:lvl w:ilvl="6" w:tplc="04070001" w:tentative="1">
      <w:start w:val="1"/>
      <w:numFmt w:val="bullet"/>
      <w:lvlText w:val=""/>
      <w:lvlJc w:val="left"/>
      <w:pPr>
        <w:ind w:left="5089" w:hanging="360"/>
      </w:pPr>
      <w:rPr>
        <w:rFonts w:ascii="Symbol" w:hAnsi="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hint="default"/>
      </w:rPr>
    </w:lvl>
  </w:abstractNum>
  <w:abstractNum w:abstractNumId="9" w15:restartNumberingAfterBreak="0">
    <w:nsid w:val="4403638E"/>
    <w:multiLevelType w:val="hybridMultilevel"/>
    <w:tmpl w:val="6226C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F21567"/>
    <w:multiLevelType w:val="hybridMultilevel"/>
    <w:tmpl w:val="416C47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6463F31"/>
    <w:multiLevelType w:val="hybridMultilevel"/>
    <w:tmpl w:val="E984E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D07176"/>
    <w:multiLevelType w:val="hybridMultilevel"/>
    <w:tmpl w:val="6506E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9E7C6546">
      <w:start w:val="15"/>
      <w:numFmt w:val="bullet"/>
      <w:lvlText w:val="-"/>
      <w:lvlJc w:val="left"/>
      <w:pPr>
        <w:ind w:left="2880" w:hanging="360"/>
      </w:pPr>
      <w:rPr>
        <w:rFonts w:ascii="Cambria" w:eastAsiaTheme="minorHAnsi" w:hAnsi="Cambria"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5C844E2"/>
    <w:multiLevelType w:val="hybridMultilevel"/>
    <w:tmpl w:val="A18AD8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2"/>
  </w:num>
  <w:num w:numId="5">
    <w:abstractNumId w:val="4"/>
  </w:num>
  <w:num w:numId="6">
    <w:abstractNumId w:val="10"/>
  </w:num>
  <w:num w:numId="7">
    <w:abstractNumId w:val="13"/>
  </w:num>
  <w:num w:numId="8">
    <w:abstractNumId w:val="9"/>
  </w:num>
  <w:num w:numId="9">
    <w:abstractNumId w:val="5"/>
  </w:num>
  <w:num w:numId="10">
    <w:abstractNumId w:val="8"/>
  </w:num>
  <w:num w:numId="11">
    <w:abstractNumId w:val="6"/>
  </w:num>
  <w:num w:numId="12">
    <w:abstractNumId w:val="1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3"/>
  </w:num>
  <w:num w:numId="16">
    <w:abstractNumId w:val="0"/>
  </w:num>
  <w:num w:numId="1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5432">
      <w:bodyDiv w:val="1"/>
      <w:marLeft w:val="0"/>
      <w:marRight w:val="0"/>
      <w:marTop w:val="0"/>
      <w:marBottom w:val="0"/>
      <w:divBdr>
        <w:top w:val="none" w:sz="0" w:space="0" w:color="auto"/>
        <w:left w:val="none" w:sz="0" w:space="0" w:color="auto"/>
        <w:bottom w:val="none" w:sz="0" w:space="0" w:color="auto"/>
        <w:right w:val="none" w:sz="0" w:space="0" w:color="auto"/>
      </w:divBdr>
    </w:div>
    <w:div w:id="114491890">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6579229">
      <w:bodyDiv w:val="1"/>
      <w:marLeft w:val="0"/>
      <w:marRight w:val="0"/>
      <w:marTop w:val="0"/>
      <w:marBottom w:val="0"/>
      <w:divBdr>
        <w:top w:val="none" w:sz="0" w:space="0" w:color="auto"/>
        <w:left w:val="none" w:sz="0" w:space="0" w:color="auto"/>
        <w:bottom w:val="none" w:sz="0" w:space="0" w:color="auto"/>
        <w:right w:val="none" w:sz="0" w:space="0" w:color="auto"/>
      </w:divBdr>
    </w:div>
    <w:div w:id="234433968">
      <w:bodyDiv w:val="1"/>
      <w:marLeft w:val="0"/>
      <w:marRight w:val="0"/>
      <w:marTop w:val="0"/>
      <w:marBottom w:val="0"/>
      <w:divBdr>
        <w:top w:val="none" w:sz="0" w:space="0" w:color="auto"/>
        <w:left w:val="none" w:sz="0" w:space="0" w:color="auto"/>
        <w:bottom w:val="none" w:sz="0" w:space="0" w:color="auto"/>
        <w:right w:val="none" w:sz="0" w:space="0" w:color="auto"/>
      </w:divBdr>
      <w:divsChild>
        <w:div w:id="330647354">
          <w:marLeft w:val="446"/>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95093620">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7163553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Ergebnisse_Befragung_internes_RKI_Lagemanagement_2021_02_12.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Lage-National_2021-02-12.ppt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OVID-19_Internationale_Lage_2021-02-12.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3F15B-155C-43C3-8147-AF8B69FE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2279</Words>
  <Characters>14359</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11</cp:revision>
  <cp:lastPrinted>2020-05-06T16:43:00Z</cp:lastPrinted>
  <dcterms:created xsi:type="dcterms:W3CDTF">2021-02-12T20:43:00Z</dcterms:created>
  <dcterms:modified xsi:type="dcterms:W3CDTF">2021-05-10T14:55:00Z</dcterms:modified>
</cp:coreProperties>
</file>