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bookmarkStart w:id="0" w:name="_GoBack"/>
      <w:bookmarkEnd w:id="0"/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15.02.2021,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1" w:name="_Hlk63788354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FG12/Annette Mankertz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 xml:space="preserve">Abt. 2    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Scheidt-Nave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Wolff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FG21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Wolfgang 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Daniel Schmidt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Miriam Jenny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Scheidt-Nave</w:t>
      </w:r>
    </w:p>
    <w:p>
      <w:pPr>
        <w:pStyle w:val="Listenabsatz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ZBS 1</w:t>
      </w:r>
    </w:p>
    <w:p>
      <w:pPr>
        <w:pStyle w:val="Listenabsatz"/>
        <w:numPr>
          <w:ilvl w:val="1"/>
          <w:numId w:val="10"/>
        </w:numPr>
        <w:spacing w:after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ZIG 1</w:t>
      </w:r>
    </w:p>
    <w:p>
      <w:pPr>
        <w:pStyle w:val="Listenabsatz"/>
        <w:numPr>
          <w:ilvl w:val="1"/>
          <w:numId w:val="10"/>
        </w:numPr>
        <w:spacing w:after="0"/>
        <w:rPr>
          <w:sz w:val="22"/>
        </w:rPr>
      </w:pPr>
      <w:r>
        <w:rPr>
          <w:sz w:val="22"/>
        </w:rPr>
        <w:t>Sarah Esquevin</w:t>
      </w:r>
    </w:p>
    <w:p>
      <w:pPr>
        <w:pStyle w:val="Listenabsatz"/>
        <w:numPr>
          <w:ilvl w:val="1"/>
          <w:numId w:val="10"/>
        </w:numPr>
        <w:spacing w:after="0"/>
        <w:rPr>
          <w:sz w:val="22"/>
        </w:rPr>
      </w:pPr>
      <w:r>
        <w:rPr>
          <w:sz w:val="22"/>
        </w:rPr>
        <w:t xml:space="preserve">Eugenia </w:t>
      </w:r>
      <w:proofErr w:type="spellStart"/>
      <w:r>
        <w:rPr>
          <w:sz w:val="22"/>
        </w:rPr>
        <w:t>Romo</w:t>
      </w:r>
      <w:proofErr w:type="spellEnd"/>
      <w:r>
        <w:rPr>
          <w:sz w:val="22"/>
        </w:rPr>
        <w:t xml:space="preserve"> Ventura</w:t>
      </w:r>
    </w:p>
    <w:p>
      <w:pPr>
        <w:pStyle w:val="Listenabsatz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BZgA</w:t>
      </w:r>
    </w:p>
    <w:p>
      <w:pPr>
        <w:pStyle w:val="Listenabsatz"/>
        <w:numPr>
          <w:ilvl w:val="1"/>
          <w:numId w:val="10"/>
        </w:numPr>
        <w:spacing w:after="0"/>
        <w:rPr>
          <w:sz w:val="22"/>
        </w:rPr>
      </w:pPr>
      <w:r>
        <w:rPr>
          <w:sz w:val="22"/>
        </w:rPr>
        <w:t>Oliver Ommen</w:t>
      </w:r>
    </w:p>
    <w:p>
      <w:pPr>
        <w:pStyle w:val="Listenabsatz"/>
        <w:numPr>
          <w:ilvl w:val="1"/>
          <w:numId w:val="10"/>
        </w:numPr>
        <w:spacing w:after="0"/>
        <w:rPr>
          <w:sz w:val="22"/>
        </w:rPr>
      </w:pPr>
      <w:r>
        <w:rPr>
          <w:sz w:val="22"/>
        </w:rPr>
        <w:t>Bayer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rPr>
          <w:sz w:val="22"/>
        </w:rPr>
      </w:pPr>
      <w:r>
        <w:rPr>
          <w:sz w:val="22"/>
        </w:rPr>
        <w:br w:type="page"/>
      </w:r>
    </w:p>
    <w:bookmarkEnd w:id="1"/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rPr>
          <w:trHeight w:val="743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1179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2.338.987 (+4.426), davon 65.076 (+116) Todesfälle, 7-Tage-Inzidenz 59/100.000 EW </w:t>
            </w:r>
          </w:p>
          <w:p>
            <w:pPr>
              <w:pStyle w:val="Listenabsatz"/>
              <w:numPr>
                <w:ilvl w:val="1"/>
                <w:numId w:val="7"/>
              </w:numPr>
              <w:ind w:left="1179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45/100.000 EW bei 60-</w:t>
            </w:r>
            <w:proofErr w:type="gramStart"/>
            <w:r>
              <w:rPr>
                <w:sz w:val="22"/>
                <w:szCs w:val="22"/>
              </w:rPr>
              <w:t>79 Jährigen</w:t>
            </w:r>
            <w:proofErr w:type="gramEnd"/>
            <w:r>
              <w:rPr>
                <w:sz w:val="22"/>
                <w:szCs w:val="22"/>
              </w:rPr>
              <w:t>, 89/100.000 EW bei 80+ Jährigen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einer Impfung 2.736.109 (3,3%), mit 2 Impfungen 1.410.239 (1,7%)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235/412 Kreise mit 7 Tages-Inzidenz &gt;50/100.000 EW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43/412 Kreise mit 7 Tages-Inzidenz &gt;50/100.000 EW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Ähnlicher Trend in den BL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 weiterhin höchste Inzidenz, RP niedrigster Trend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Plateau oder weiterer Rückgang muss sich zeigen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Wartungsfenster führte zu verzögerter Übermittlung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7-Tage-Inzidenz nach LK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 LK &lt; 50/100.000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Mehrzahl der LK &gt;50/100.000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Besonders stark betroffen Tirschenreuth und einzelne weitere LK (Vorpommern-Greifswald, Burgenlandkreis, Schmalkalden-Meiningen)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nach Berichten über Contact Tracing mit nur wenig erfolgreicher Kontaktnachverfolgung, Folien hierzu sollen für Mittwoch zusammengestellt werden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Tischenreuth</w:t>
            </w:r>
            <w:proofErr w:type="spellEnd"/>
            <w:r>
              <w:rPr>
                <w:sz w:val="22"/>
                <w:szCs w:val="22"/>
              </w:rPr>
              <w:t xml:space="preserve"> führt seit 2 Wochen die Liste der LK an. Sollte dort geschaut werden woher die Infektionen kommen? Ggf. Frage nach Grenznähe zu Tschechien stellen und anschauen, auffällig sind die Altersgruppen, in </w:t>
            </w:r>
            <w:proofErr w:type="spellStart"/>
            <w:r>
              <w:rPr>
                <w:sz w:val="22"/>
                <w:szCs w:val="22"/>
              </w:rPr>
              <w:t>Tischenreuth</w:t>
            </w:r>
            <w:proofErr w:type="spellEnd"/>
            <w:r>
              <w:rPr>
                <w:sz w:val="22"/>
                <w:szCs w:val="22"/>
              </w:rPr>
              <w:t xml:space="preserve"> sind in fast allen Altersgruppen hohe Inzidenzen zu sehen</w:t>
            </w:r>
          </w:p>
          <w:p>
            <w:pPr>
              <w:pStyle w:val="Listenabsatz"/>
              <w:numPr>
                <w:ilvl w:val="2"/>
                <w:numId w:val="7"/>
              </w:numPr>
              <w:spacing w:after="120"/>
              <w:ind w:left="1752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 nach einer </w:t>
            </w:r>
            <w:proofErr w:type="spellStart"/>
            <w:r>
              <w:rPr>
                <w:sz w:val="22"/>
                <w:szCs w:val="22"/>
              </w:rPr>
              <w:t>Seroprävalenzstudie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Tischenreuth</w:t>
            </w:r>
            <w:proofErr w:type="spellEnd"/>
            <w:r>
              <w:rPr>
                <w:sz w:val="22"/>
                <w:szCs w:val="22"/>
              </w:rPr>
              <w:t>, ggf. Kontakt mit Verantwortlichen in Bayern aufnehmen</w:t>
            </w:r>
          </w:p>
          <w:p>
            <w:pPr>
              <w:pStyle w:val="Listenabsatz"/>
              <w:numPr>
                <w:ilvl w:val="2"/>
                <w:numId w:val="7"/>
              </w:numPr>
              <w:spacing w:after="120"/>
              <w:ind w:left="1752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Teilen Frankreich zeigten sich recht hohe Anteile mit südafrikanischer und brasilianischer Variante, Frage nach Varianten in Saarland und </w:t>
            </w:r>
            <w:proofErr w:type="gramStart"/>
            <w:r>
              <w:rPr>
                <w:sz w:val="22"/>
                <w:szCs w:val="22"/>
              </w:rPr>
              <w:t>Rheinland Pfalz</w:t>
            </w:r>
            <w:proofErr w:type="gramEnd"/>
          </w:p>
          <w:p>
            <w:pPr>
              <w:pStyle w:val="Listenabsatz"/>
              <w:numPr>
                <w:ilvl w:val="2"/>
                <w:numId w:val="7"/>
              </w:numPr>
              <w:spacing w:after="120"/>
              <w:ind w:left="1752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Virusvarianten und Risikogebiete, Frage von Herrn Wieler warum individueller Reiseverkehr nicht konsequenter eingeschränkt wird. Herr Wieler macht deutlich, dass es aus seiner Sicht </w:t>
            </w:r>
            <w:r>
              <w:rPr>
                <w:sz w:val="22"/>
                <w:szCs w:val="22"/>
              </w:rPr>
              <w:lastRenderedPageBreak/>
              <w:t xml:space="preserve">unverständlich ist warum dies nicht konsequenter umgesetzt wird. 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Hamouda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Scheidt-Nave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Kröger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Digitale Einreiseanmeldung wird immer komplexer, seit 12.2. neue Updates online, Anmeldung Mitreisende ist weggefallen, da jede Person eine eigene Einreiseanmeldung benötigt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Fragen werden kommen z.B. </w:t>
            </w:r>
            <w:proofErr w:type="spellStart"/>
            <w:r>
              <w:rPr>
                <w:sz w:val="22"/>
                <w:szCs w:val="22"/>
              </w:rPr>
              <w:t>Uploadfunktion</w:t>
            </w:r>
            <w:proofErr w:type="spellEnd"/>
            <w:r>
              <w:rPr>
                <w:sz w:val="22"/>
                <w:szCs w:val="22"/>
              </w:rPr>
              <w:t xml:space="preserve"> Testergebnis, Umsetzung ist sehr komplex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Uploadfunktion</w:t>
            </w:r>
            <w:proofErr w:type="spellEnd"/>
            <w:r>
              <w:rPr>
                <w:sz w:val="22"/>
                <w:szCs w:val="22"/>
              </w:rPr>
              <w:t xml:space="preserve"> ist wichtig und wird auch häufig nachgefragt, Hamburg hat Funktion umgesetzt bei der ein PDF hochgeladen wird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Feedbackfunktion, es gab Gespräche mit der ÖGD Feedbackgruppe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CWA Risikoanpassung, wichtig ist, dass Risikoparameter gleich sind, Evaluation läuft gerade, Befragung bei Personen mit roter Benachrichtigung geplant, weitere Akteure zur Evaluation sind eingebunden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bildet sich ab, dass evtl. die Messung unter bestimmten Umständen beeinträchtigt sein könnte, z.B. in Bahnen, dies wird untersucht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Datenspende-App wird erneuert und eine Version um Befragungsinhalte erweitert </w:t>
            </w:r>
          </w:p>
          <w:p>
            <w:pPr>
              <w:pStyle w:val="Listenabsatz"/>
              <w:ind w:left="476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DEMIS: Anpassungen in DEMIS für molekulare Surveillance werden vorgenommen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SORMAS-Pilotierung weiterhin in einem Gesundheitsamt, noch nicht alle notwendigen Daten können über die Schnittstelle von SORMAS an </w:t>
            </w: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 werden, SORMAS wird weiter angepasst.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Gemäß MPK-Beschluss sollen Schnittstellen zu SORMAS </w:t>
            </w:r>
            <w:proofErr w:type="spellStart"/>
            <w:r>
              <w:rPr>
                <w:sz w:val="22"/>
                <w:szCs w:val="22"/>
              </w:rPr>
              <w:t>extralayer</w:t>
            </w:r>
            <w:proofErr w:type="spellEnd"/>
            <w:r>
              <w:rPr>
                <w:sz w:val="22"/>
                <w:szCs w:val="22"/>
              </w:rPr>
              <w:t xml:space="preserve"> vom Bund zügig zur Verfügung gestellt werden. Hier muss das RKI eng eingebunden sein, damit keine parallele Berichterstattung entsteht.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Schmich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Schmich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Diercke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Bundesweit &lt;60/100.000 EW soll die Risikobewertung weiterhin sehr hoch bleiben?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 Blick auf VOC wird sehr hoch beibehalten, wichtig ist auch die ITS Belastung, mehr noch als die reinen Inzidenzwerte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8"/>
              </w:numPr>
              <w:spacing w:after="120"/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Presse </w:t>
            </w:r>
          </w:p>
          <w:p>
            <w:pPr>
              <w:pStyle w:val="Listenabsatz"/>
              <w:numPr>
                <w:ilvl w:val="0"/>
                <w:numId w:val="8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Webmaster-Team dünn besetzt, was heute nicht unbedingt umgesetzt werden muss bitte auf morgen verschieben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Weiteres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ind w:left="470" w:hanging="35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(Degen)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9"/>
              </w:numPr>
              <w:ind w:left="334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ind w:left="476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Stufenplan wurde angepasst, Grenze auf 35/100.000 EW angepasst, wird zirkuliert</w:t>
            </w:r>
          </w:p>
          <w:p>
            <w:pPr>
              <w:pStyle w:val="Listenabsatz"/>
              <w:numPr>
                <w:ilvl w:val="0"/>
                <w:numId w:val="6"/>
              </w:numPr>
              <w:ind w:left="476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Frage nach Publikation: soll publiziert werden, wichtig ist schnell und deutschsprachig, später dann auch Englisch und international </w:t>
            </w:r>
          </w:p>
          <w:p>
            <w:pPr>
              <w:pStyle w:val="Listenabsatz"/>
              <w:numPr>
                <w:ilvl w:val="0"/>
                <w:numId w:val="6"/>
              </w:numPr>
              <w:ind w:left="476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Frage nach der Publikation wird noch einmal geklärt, ggf. im Epidemiologischen Bulletin</w:t>
            </w:r>
          </w:p>
          <w:p>
            <w:pPr>
              <w:pStyle w:val="Listenabsatz"/>
              <w:numPr>
                <w:ilvl w:val="0"/>
                <w:numId w:val="6"/>
              </w:numPr>
              <w:ind w:left="476"/>
              <w:rPr>
                <w:rFonts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EpiBull</w:t>
            </w:r>
            <w:proofErr w:type="spellEnd"/>
            <w:r>
              <w:rPr>
                <w:rFonts w:cstheme="majorHAnsi"/>
                <w:sz w:val="22"/>
                <w:szCs w:val="22"/>
              </w:rPr>
              <w:t xml:space="preserve"> ist allerdings ein feststehendes Dokument, wenn aber Aktualisierungen erfolgen sollen, dann eher auf der Webseite</w:t>
            </w:r>
          </w:p>
          <w:p>
            <w:pPr>
              <w:pStyle w:val="Listenabsatz"/>
              <w:numPr>
                <w:ilvl w:val="0"/>
                <w:numId w:val="6"/>
              </w:numPr>
              <w:ind w:left="476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Tendenz ist Publikation auf der Webseite</w:t>
            </w:r>
          </w:p>
          <w:p>
            <w:pPr>
              <w:pStyle w:val="Listenabsatz"/>
              <w:numPr>
                <w:ilvl w:val="0"/>
                <w:numId w:val="13"/>
              </w:numPr>
              <w:ind w:left="334"/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numPr>
                <w:ilvl w:val="0"/>
                <w:numId w:val="14"/>
              </w:numPr>
              <w:spacing w:after="12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Testkriterien symptomatische Patienten </w:t>
            </w:r>
            <w:r>
              <w:rPr>
                <w:sz w:val="22"/>
                <w:szCs w:val="22"/>
              </w:rPr>
              <w:t xml:space="preserve">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Änderungen, v.a. Fokussierung auf alle Personen mit Symptomen jeglicher Schwere unabhängig von Herbst-/Wintersaison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um Vorgehen ohne Vorliegen einer Testung, Formulierung wie im Flussschema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 auf den zunehmenden Anteil von besorgniserregenden Varianten von SARS-CoV2 auch in Deutschland, die mit einem erhöhten Ansteckungspotenzial einhergehen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Wording in Bezug auf vulnerable Gruppen anpassen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SARS-CoV-2 Testkriterien für Schulen</w:t>
            </w:r>
            <w:r>
              <w:rPr>
                <w:sz w:val="22"/>
                <w:szCs w:val="22"/>
              </w:rPr>
              <w:t xml:space="preserve"> 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Fokussierung auf alle </w:t>
            </w:r>
            <w:proofErr w:type="spellStart"/>
            <w:r>
              <w:rPr>
                <w:sz w:val="22"/>
                <w:szCs w:val="22"/>
              </w:rPr>
              <w:t>SuS</w:t>
            </w:r>
            <w:proofErr w:type="spellEnd"/>
            <w:r>
              <w:rPr>
                <w:sz w:val="22"/>
                <w:szCs w:val="22"/>
              </w:rPr>
              <w:t xml:space="preserve"> mit Symptomen jeglicher Schwere unabhängig von Herbst-/Wintersaison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Löschung von Passage zur Aufrechterhaltung des Schulbetriebs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Ergänzung von Passagen zu schweren Verläufen: „Allerdings werden auch für das Kindesalter länger anhaltende Krankheitssymptome beschrieben und der Anteil der Spätfolgen ist bisher noch nicht bekannt.“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Aufnahme von Passage zu Varianten: „Aufgrund des zunehmenden Anteils von besorgniserregenden Varianten von SARS-CoV2 auch in Deutschland, die mit einem erhöhten Ansteckungspotenzial einhergehen, ist auch mit einem erhöhten Übertragungsrisiko in Schulen zu rechnen.“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 Ziele Aufnahme von Präsens- und Wechselunterricht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Inzidenzwerte &gt;25/100.000 sollen gestrichen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Wording angepasst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muss klar herauskommen, dass symptomatische und kranke Kinder strikt zu Hause bleiben sollen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Long-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 bei Kindern soll auch in Bundespressekonferenz angesprochen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etwas zum Testen aufnehmen? Es gibt kein Dokument auf das hier verwiesen werden könnte, ggf. in der Einleitung auf die Diagnostik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Strategieergänzung soll so lange noch bleiben bis klar ist wie verlinkt werden kann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AHA+L müsste noch um zu Hause bleiben ergänzt werden, ist aber sicher nicht ohne weiteres umsetzbar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Kontaktpersonen-Nachverfolgung</w:t>
            </w:r>
            <w:r>
              <w:rPr>
                <w:sz w:val="22"/>
                <w:szCs w:val="22"/>
              </w:rPr>
              <w:t xml:space="preserve">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Änderungen: „Unter 3. Definition und Management von Kontaktpersonen: Ergänzung allgemeiner Hinweise zur Einteilung der Kontaktpersonen in Kategorie 1 oder 2; unter 3.1.2. Punkt 2: Ergänzung und Aktualisierung der Hinweise zur Anordnung von Quarantäne bei Kontaktpersonen der Kategorie 1; unter 3.1.2 Punkt 4: Hinweis zum gesundheitlichen </w:t>
            </w:r>
            <w:proofErr w:type="spellStart"/>
            <w:r>
              <w:rPr>
                <w:sz w:val="22"/>
                <w:szCs w:val="22"/>
              </w:rPr>
              <w:t>Selbstmonitoring</w:t>
            </w:r>
            <w:proofErr w:type="spellEnd"/>
            <w:r>
              <w:rPr>
                <w:sz w:val="22"/>
                <w:szCs w:val="22"/>
              </w:rPr>
              <w:t xml:space="preserve"> der Kontaktperson der Kategorie 1 bei Nachweis einer Infektion des Quellfalls mit einer besorgniserregenden SARS-CoV-2 Variante“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Einteilung in K1 oder K2, immer wenn unsicher dann in K1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Tägige Quarantänezeit soll nicht verkürzt werden,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14 Tag sollte vor Entlassung aus Quarantäne ein AG-Schnelltest oder PCR-Nachweis durchgeführt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Änderungen bei Quarantäne im Fall Streichung von Satz zu pausieren von Tätigkeit von Personal bei Kontakt mit Risikogruppen, Diskussion um eine Ergänzung um privates Umfeld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Formulierung wird jetzt Tätigkeit und privat belassen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nach Update in verschiedenen Dokumenten und allgemeine Anmerkung zu Virusvarianten bspw. zur Krankheitsschwere, es soll ein Vorschlag erarbeitet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Anfrage eines Arztes vom Gesundheitsamt Friedberg/Hessen </w:t>
            </w:r>
            <w:r>
              <w:rPr>
                <w:sz w:val="22"/>
                <w:szCs w:val="22"/>
              </w:rPr>
              <w:t xml:space="preserve">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Anliegen: „Bitte um eine fachliche Diskussion </w:t>
            </w:r>
            <w:proofErr w:type="gramStart"/>
            <w:r>
              <w:rPr>
                <w:sz w:val="22"/>
                <w:szCs w:val="22"/>
              </w:rPr>
              <w:t>hinsichtlich der längeren Präsenz</w:t>
            </w:r>
            <w:proofErr w:type="gramEnd"/>
            <w:r>
              <w:rPr>
                <w:sz w:val="22"/>
                <w:szCs w:val="22"/>
              </w:rPr>
              <w:t xml:space="preserve"> von SARS-CoV-2 auf der Schleimhaut bei älteren Personen, um hieraus für die Praxis erforderliche Anpassungen der Isolationszeiten zu erreichen.“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 nach längerer Isolation und Anwendbarkeit von AG-Schnellteste,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Hierzu wurden Beschlussvorlagen erarbeitet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um den Vorschlag, dass die Isolation nach Maßgabe des GA verlängert werden kann. Dies wird kritisch gesehen, ggf. Schwellenwert anpassen?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Frage, ob ggf. bei Personen 80+ andere Schwellenwerte sinnvoll wären, weitere Frage nach der Anwendbarkeit der AG-Schnellteste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wird bei Entlassung aus Isolation ohnehin mit PCR-Nachweis bestätigt, eigentlich damit alles erfüllt, jede Änderung müsste wirklich gut begründet werden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Antwort sollte ihm darlegen, dass er im Rahmen von Ausbrüchen bestimmte Dinge nach eigenem Ermessen regeln kann aber dies nicht zur Anpassung der Isolationszeiten bei älteren Personen führt 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(Kröger)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Kröger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Bös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Voigt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Herzog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Eckmanns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FG 17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aus dem AGI Sentinel, KW 5-6: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Insgesamt 228 Proben analysiert: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Positivenquoten</w:t>
            </w:r>
            <w:proofErr w:type="spellEnd"/>
            <w:r>
              <w:rPr>
                <w:sz w:val="22"/>
                <w:szCs w:val="22"/>
              </w:rPr>
              <w:t>:  SARS-CoV-2: 5.9% (fallend)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>: 9.0 %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Saisonales </w:t>
            </w:r>
            <w:proofErr w:type="spellStart"/>
            <w:r>
              <w:rPr>
                <w:sz w:val="22"/>
                <w:szCs w:val="22"/>
              </w:rPr>
              <w:t>HCoV</w:t>
            </w:r>
            <w:proofErr w:type="spellEnd"/>
            <w:r>
              <w:rPr>
                <w:sz w:val="22"/>
                <w:szCs w:val="22"/>
              </w:rPr>
              <w:t xml:space="preserve"> 2%</w:t>
            </w:r>
          </w:p>
          <w:p>
            <w:pPr>
              <w:pStyle w:val="Listenabsatz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Dänemark </w:t>
            </w:r>
            <w:proofErr w:type="gramStart"/>
            <w:r>
              <w:rPr>
                <w:sz w:val="22"/>
                <w:szCs w:val="22"/>
              </w:rPr>
              <w:t>berichtete  im</w:t>
            </w:r>
            <w:proofErr w:type="gramEnd"/>
            <w:r>
              <w:rPr>
                <w:sz w:val="22"/>
                <w:szCs w:val="22"/>
              </w:rPr>
              <w:t xml:space="preserve"> EWRS über eine neue putative Variante der Linie B.1.525  in Dänemark mit </w:t>
            </w:r>
            <w:proofErr w:type="spellStart"/>
            <w:r>
              <w:rPr>
                <w:sz w:val="22"/>
                <w:szCs w:val="22"/>
              </w:rPr>
              <w:t>Polymoprhismen</w:t>
            </w:r>
            <w:proofErr w:type="spellEnd"/>
            <w:r>
              <w:rPr>
                <w:sz w:val="22"/>
                <w:szCs w:val="22"/>
              </w:rPr>
              <w:t xml:space="preserve"> E484K, die ggf. eine neue VOC werden könnte.  42 Fälle in drei Regionen. In 7 Fällen Bezug zu </w:t>
            </w:r>
            <w:proofErr w:type="spellStart"/>
            <w:r>
              <w:rPr>
                <w:sz w:val="22"/>
                <w:szCs w:val="22"/>
              </w:rPr>
              <w:t>NIgeria</w:t>
            </w:r>
            <w:proofErr w:type="spellEnd"/>
          </w:p>
          <w:p>
            <w:pPr>
              <w:pStyle w:val="Listenabsatz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nach einem Gremium, das festlegt was einen VOC eigentlich ist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527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23"/>
              </w:numPr>
              <w:ind w:left="71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773 Proben analysiert, davon: 224 Proben SARS-CoV-2-positiv (Positivanteil 7%, rückläufig)</w:t>
            </w:r>
          </w:p>
          <w:p>
            <w:pPr>
              <w:pStyle w:val="Listenabsatz"/>
              <w:numPr>
                <w:ilvl w:val="0"/>
                <w:numId w:val="23"/>
              </w:numPr>
              <w:ind w:left="71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Isolate aus Japan bekommen</w:t>
            </w:r>
          </w:p>
          <w:p>
            <w:pPr>
              <w:pStyle w:val="Listenabsatz"/>
              <w:numPr>
                <w:ilvl w:val="0"/>
                <w:numId w:val="23"/>
              </w:numPr>
              <w:ind w:left="71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Britische und südafrikanische Variante angezüchtet, brasilianische wird noch angezüchtet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(T. Wolff)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11"/>
              </w:numPr>
              <w:spacing w:after="120"/>
              <w:ind w:left="476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Therapiehinweise werden ergänzt, ansonsten keine weiteren Punkte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Herzog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einer Bürgerin zu Sprechen im öffentlichen Verkehr bzw. Supermärkten und ähnlichen Settings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MNS ist bereits eine wichtige Maßnahme, ggf. kann </w:t>
            </w:r>
            <w:proofErr w:type="spellStart"/>
            <w:r>
              <w:rPr>
                <w:sz w:val="22"/>
                <w:szCs w:val="22"/>
              </w:rPr>
              <w:t>BzGA</w:t>
            </w:r>
            <w:proofErr w:type="spellEnd"/>
            <w:r>
              <w:rPr>
                <w:sz w:val="22"/>
                <w:szCs w:val="22"/>
              </w:rPr>
              <w:t xml:space="preserve"> nochmal darauf hinweisen aber kein Sprechverbot befürworten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BzGA</w:t>
            </w:r>
            <w:proofErr w:type="spellEnd"/>
            <w:r>
              <w:rPr>
                <w:sz w:val="22"/>
                <w:szCs w:val="22"/>
              </w:rPr>
              <w:t xml:space="preserve">-Kampagne könnte dennoch das Risiko beim Sprechen noch einmal aufgreifen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Anmerkung: Sollte das RKI solche Empfehlungen geben, könnte das auch falsch verstanden werden von der Bevölkerung und starke Ablehnung auslösen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Brunke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Eckmanns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Corona-KiTa-Studie </w:t>
            </w:r>
            <w:r>
              <w:rPr>
                <w:sz w:val="22"/>
                <w:szCs w:val="22"/>
              </w:rPr>
              <w:t xml:space="preserve">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ARE gehen deutlich zurück im Vergleich zu sonstigen Jahren, ARE-Inzidenz in Altersgruppe 0-5 Jahre war im Vorjahr rund 17-mal höher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bCs/>
                <w:sz w:val="22"/>
              </w:rPr>
              <w:t xml:space="preserve">geschätzte ARE in KW 5: </w:t>
            </w:r>
            <w:r>
              <w:rPr>
                <w:sz w:val="22"/>
              </w:rPr>
              <w:t>0-5 Jahre: 52.000 ARE (1.100/100.000), davon 0% mit Arztbesuch; 6-10 Jahre: 22.000 ARE (600/100.000), davon 0% mit Arztbesuch; 11-14 Jahre: 24.000 ARE (800/100.000), davon 0% mit Arztbesuch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Insgesamt wurden in 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 1.060 Ausbrüche in Kindergärten/Horte (&gt;= 2 Fälle) angelegt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792 (75%) Ausbrüche inkl. mit Fällen &lt; 15 Jahren, 41% (1.975/4.864) der Fälle sind 0 - 5 Jahre alt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268 Ausbrüche nur mit Fällen 15 Jahre und älter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65 neue Kita-Ausbrüche gemeldet 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in den letzten Wochen rund 50 Ausbrüche pro Woche (KW 6 wegen Meldeverzug ausgenommen)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In KW 5/6 gab es 9 Ausbrüche mit &gt;= 10 Fällen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Mediane Ausbruchsgröße in KW 5/6: 4 Fälle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Wirkung der Schulschließungen zeigt sich bei Schulausbrüchen, deutlicher Rückgang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Insgesamt wurden in 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 1.337 Ausbrüche in Schulen angelegt (&gt;= 2 Fälle, 0-5 Jahre ausgeschlossen) 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1.237 (93%) Ausbrüche inkl. mit Fällen &lt; 21 Jahren, 22% (6-10J.), 25% (11-14J.), 30% (15-20J.), 23% (21+)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100 Ausbrüche nur mit Fällen 21 Jahre und älter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60 neue Ausbrüche; größtenteils Nachmeldung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rPr>
                <w:sz w:val="22"/>
              </w:rPr>
            </w:pPr>
            <w:r>
              <w:rPr>
                <w:sz w:val="22"/>
              </w:rPr>
              <w:t>in KW 3 ein größeres Geschehen in einem Internat mit 44 Fällen (41 Fälle &lt;21 Jahre)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70" w:hanging="35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17.02.2021,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  <w:rPr>
          <w:b/>
        </w:rPr>
      </w:pPr>
    </w:p>
    <w:p>
      <w:pPr>
        <w:spacing w:after="240" w:line="360" w:lineRule="auto"/>
        <w:rPr>
          <w:b/>
        </w:rPr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3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2570"/>
    <w:multiLevelType w:val="hybridMultilevel"/>
    <w:tmpl w:val="08FE3970"/>
    <w:lvl w:ilvl="0" w:tplc="0407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03F9109D"/>
    <w:multiLevelType w:val="hybridMultilevel"/>
    <w:tmpl w:val="2CA87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03FFB"/>
    <w:multiLevelType w:val="hybridMultilevel"/>
    <w:tmpl w:val="D1B6E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97807"/>
    <w:multiLevelType w:val="hybridMultilevel"/>
    <w:tmpl w:val="2640AF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A1FAD"/>
    <w:multiLevelType w:val="hybridMultilevel"/>
    <w:tmpl w:val="BAD61AEE"/>
    <w:lvl w:ilvl="0" w:tplc="0407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8" w15:restartNumberingAfterBreak="0">
    <w:nsid w:val="38695472"/>
    <w:multiLevelType w:val="hybridMultilevel"/>
    <w:tmpl w:val="B4362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30149"/>
    <w:multiLevelType w:val="hybridMultilevel"/>
    <w:tmpl w:val="B6B2499C"/>
    <w:lvl w:ilvl="0" w:tplc="0407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 w15:restartNumberingAfterBreak="0">
    <w:nsid w:val="4403638E"/>
    <w:multiLevelType w:val="hybridMultilevel"/>
    <w:tmpl w:val="6226C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21567"/>
    <w:multiLevelType w:val="hybridMultilevel"/>
    <w:tmpl w:val="416C4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3F31"/>
    <w:multiLevelType w:val="hybridMultilevel"/>
    <w:tmpl w:val="E984E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330FA"/>
    <w:multiLevelType w:val="hybridMultilevel"/>
    <w:tmpl w:val="24E27D82"/>
    <w:lvl w:ilvl="0" w:tplc="724C3C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42D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E4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02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89F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8C7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7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C3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A4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665"/>
    <w:multiLevelType w:val="hybridMultilevel"/>
    <w:tmpl w:val="DBE0B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C7D1D"/>
    <w:multiLevelType w:val="hybridMultilevel"/>
    <w:tmpl w:val="410CB664"/>
    <w:lvl w:ilvl="0" w:tplc="A3CC4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507124">
      <w:start w:val="2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88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E2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00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5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F7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E7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42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07176"/>
    <w:multiLevelType w:val="hybridMultilevel"/>
    <w:tmpl w:val="6506E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6546">
      <w:start w:val="15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844E2"/>
    <w:multiLevelType w:val="hybridMultilevel"/>
    <w:tmpl w:val="A18AD8F0"/>
    <w:lvl w:ilvl="0" w:tplc="0407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abstractNum w:abstractNumId="20" w15:restartNumberingAfterBreak="0">
    <w:nsid w:val="7A8B0B98"/>
    <w:multiLevelType w:val="hybridMultilevel"/>
    <w:tmpl w:val="EF681C6E"/>
    <w:lvl w:ilvl="0" w:tplc="22EAC3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A4E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5062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A0DE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C51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F61E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28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BE77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7291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5"/>
  </w:num>
  <w:num w:numId="5">
    <w:abstractNumId w:val="5"/>
  </w:num>
  <w:num w:numId="6">
    <w:abstractNumId w:val="12"/>
  </w:num>
  <w:num w:numId="7">
    <w:abstractNumId w:val="18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4"/>
  </w:num>
  <w:num w:numId="16">
    <w:abstractNumId w:val="1"/>
  </w:num>
  <w:num w:numId="17">
    <w:abstractNumId w:val="13"/>
  </w:num>
  <w:num w:numId="18">
    <w:abstractNumId w:val="14"/>
  </w:num>
  <w:num w:numId="19">
    <w:abstractNumId w:val="20"/>
  </w:num>
  <w:num w:numId="20">
    <w:abstractNumId w:val="17"/>
  </w:num>
  <w:num w:numId="21">
    <w:abstractNumId w:val="16"/>
  </w:num>
  <w:num w:numId="22">
    <w:abstractNumId w:val="8"/>
  </w:num>
  <w:num w:numId="2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3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2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2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1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4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6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Gesamtdokument_Testen-in-Schulen_2021-02-11_v4.doc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npassung_Testkriterien-SARS-CoV-2_2021-02-12_v1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ronaKita_Krisenstab_2021-02-15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ge-National_2021-02-15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solationszeit_Beschlussvorlage_KriSta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Kontaktpersonenmanagement_2021_02_15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EC3E9-714C-490A-B978-8364FA08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1763</Words>
  <Characters>11108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14</cp:revision>
  <cp:lastPrinted>2021-02-15T09:54:00Z</cp:lastPrinted>
  <dcterms:created xsi:type="dcterms:W3CDTF">2021-02-16T11:28:00Z</dcterms:created>
  <dcterms:modified xsi:type="dcterms:W3CDTF">2021-05-10T14:56:00Z</dcterms:modified>
</cp:coreProperties>
</file>