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17.02.2021,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Janna </w:t>
      </w:r>
      <w:r>
        <w:rPr>
          <w:rStyle w:val="highlight"/>
          <w:sz w:val="22"/>
          <w:szCs w:val="22"/>
        </w:rPr>
        <w:t>Seifried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  <w:szCs w:val="22"/>
        </w:rPr>
        <w:t>Johanna</w:t>
      </w:r>
      <w:r>
        <w:rPr>
          <w:sz w:val="22"/>
        </w:rPr>
        <w:t xml:space="preserve">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Mardjan Arvand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Viviane Bremer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Matthias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Maria an der Heiden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  <w:r>
        <w:rPr>
          <w:sz w:val="22"/>
        </w:rPr>
        <w:br w:type="column"/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Esther-Maria Antao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Susanne </w:t>
      </w:r>
      <w:r>
        <w:rPr>
          <w:rStyle w:val="highlight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Jamela Seedat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Sarah Esquevin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Martin Dietrich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BMG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Christophe Bayer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Iris Andernach</w:t>
      </w:r>
    </w:p>
    <w:p>
      <w: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</w:pP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sz w:val="22"/>
                <w:szCs w:val="22"/>
              </w:rPr>
              <w:t>(nur freitags)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2.350.399 (+7.556), davon 66.164 (+560) Todesfälle, 7-Tage-Inzidenz 57/100.000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Ähnliches Niveau wie in Vorwoche, kein deutlicher Rückgang der Fallzahlen.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einer Impfung 2.894.028 (3,5%), mit 2 Impfungen 1.525.943 (1,8%)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DIVI-Intensivregister: 3.352 Fälle in Behandlung (-87)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der Bundesländer nach Berichtsdatum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Plateaubildung, in einigen BL Rückgang.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Leichter Anstieg in Thüringen, Situation in Thüringen wird im Anschluss an Krisenstabsitzung geklärt.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180 LK mit Inzidenz &lt; 50.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Östliche LK und LK an der Grenze zu Tschechien und Österreich stärker betroffen.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Importierte Fälle aus Nachbarländern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Hinweis: Unterschiedliche Skalierung der Achse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Während 2. Welle viele Fälle aus Frankreich, Polen, Tschechien und weiteren Nachbarländern.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Jahresbeginn im Meldewesen keine nennens</w:t>
            </w:r>
            <w:r>
              <w:rPr>
                <w:sz w:val="22"/>
                <w:szCs w:val="22"/>
              </w:rPr>
              <w:softHyphen/>
              <w:t>werten Einträge aus den Nachbarländern dokumentiert.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Wurde bisher nicht mit BMG geteilt, ist für BMG von großem Interesse.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mehr als 25 Importfälle in letzten 2 Wochen: Polen und Rumänien.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epidemiologisch bestätigter Fälle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kann in verschiedenen Variablen erfasst werden (Anteil Information vorhanden).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40% Kontakt zu bestätigtem Fall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20% Zugehörigkeit zu Ausbruch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20% wahrscheinliches Infektionsumfeld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ca. 50% Fall bekannt durch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„Mutmaßlich angesteckt durch“ wird nicht mehr erfasst.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5% manuelle </w:t>
            </w:r>
            <w:proofErr w:type="spellStart"/>
            <w:r>
              <w:rPr>
                <w:sz w:val="22"/>
                <w:szCs w:val="22"/>
              </w:rPr>
              <w:t>Epi</w:t>
            </w:r>
            <w:proofErr w:type="spellEnd"/>
            <w:r>
              <w:rPr>
                <w:sz w:val="22"/>
                <w:szCs w:val="22"/>
              </w:rPr>
              <w:t>-Bestätigung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Angabe zum epidemiologischen Kontext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ca. 50% der Fälle Angaben zum Infektionsumfeld. Anteil hat sich über gesamten Verlauf kaum verändert.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wie vielen von diesen hat Kontakt tatsächlich stattgefunden? Noch nicht analysiert.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Analyse soll noch verfeinert werden.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Testkapazität und Testungen (mittwochs)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Testzahlenerfassung am RKI</w:t>
            </w:r>
            <w:r>
              <w:rPr>
                <w:sz w:val="22"/>
                <w:szCs w:val="22"/>
              </w:rPr>
              <w:t xml:space="preserve"> 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PCR Testungen ging leicht zurück, in KW 6 lag die </w:t>
            </w:r>
            <w:proofErr w:type="spellStart"/>
            <w:r>
              <w:rPr>
                <w:sz w:val="22"/>
                <w:szCs w:val="22"/>
              </w:rPr>
              <w:t>Positivenquote</w:t>
            </w:r>
            <w:proofErr w:type="spellEnd"/>
            <w:r>
              <w:rPr>
                <w:sz w:val="22"/>
                <w:szCs w:val="22"/>
              </w:rPr>
              <w:t xml:space="preserve"> bei 6,5%.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übermittelnden Labore blieb in letzten Wochen vergleichbar.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Auslastung der Kapazitäten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Testkapazitäten nach wie vor hoch, zurzeit Nutzung der Hälfte der vorhandenen PCR-Kapazität.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AG-POCT in Einrichtungen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teilnehmender Einrichtungen hat sich etwas erhöht, zurzeit knapp 200 Einrichtungen beteiligt.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Von 58.718 AG-POCT waren 450 positiv.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98% (442) davon gingen in die PCR. Davon waren nur 116 in der PCR auch positiv.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Dass nur 116 von 442 Antigentests bestätigt wurden, sollte in Bulletin Artikel eingebaut werden. Bestätigung wurde bei fast allen veranlasst.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 in der Testzahlerfassung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Untersuchungen auf Varianten sind zusammengefasst.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 KW 2-6 ist die Zahl der meldenden Labore und der gemeldeten Tests auf Hinweis auf VOC deutlich angestiegen.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 6: ca. 7.000 Tests mit Hinweis auf VOC, Anteil der Varianten hat sich deutlich erhöht auf ca. 20% (keine Zufallsstichprobe!).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den Varianten überwiegt B.1.1.7 bei weitem.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Zweiwöchentliche Erhebung zu VOC - Karte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Convenience sample/ad hoc Erhebung: Anzahl der Proben mit Hinweis auf Varianten nach PLZ: am höchsten in Nähe zu Tschechien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Knapp die Hälfte aller detektierten Proben konnten nachgetestet werden.</w:t>
            </w:r>
          </w:p>
          <w:p>
            <w:pPr>
              <w:pStyle w:val="Listenabsatz"/>
              <w:ind w:left="1080"/>
              <w:rPr>
                <w:sz w:val="22"/>
                <w:szCs w:val="22"/>
              </w:rPr>
            </w:pP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Testungen und </w:t>
            </w:r>
            <w:proofErr w:type="spellStart"/>
            <w:r>
              <w:rPr>
                <w:b/>
                <w:sz w:val="22"/>
                <w:szCs w:val="22"/>
              </w:rPr>
              <w:t>Positivenanteile</w:t>
            </w:r>
            <w:proofErr w:type="spellEnd"/>
            <w:r>
              <w:rPr>
                <w:b/>
                <w:sz w:val="22"/>
                <w:szCs w:val="22"/>
              </w:rPr>
              <w:t xml:space="preserve"> in ARS</w:t>
            </w:r>
            <w:r>
              <w:rPr>
                <w:sz w:val="22"/>
                <w:szCs w:val="22"/>
              </w:rPr>
              <w:t xml:space="preserve"> 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und </w:t>
            </w:r>
            <w:proofErr w:type="spellStart"/>
            <w:r>
              <w:rPr>
                <w:sz w:val="22"/>
                <w:szCs w:val="22"/>
              </w:rPr>
              <w:t>Positivenanteile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Deutlicher Rückgang von Proben und </w:t>
            </w:r>
            <w:proofErr w:type="spellStart"/>
            <w:r>
              <w:rPr>
                <w:sz w:val="22"/>
                <w:szCs w:val="22"/>
              </w:rPr>
              <w:t>Positivenrate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Gilt für alle BL, nur in Thüringen noch </w:t>
            </w:r>
            <w:proofErr w:type="spellStart"/>
            <w:r>
              <w:rPr>
                <w:sz w:val="22"/>
                <w:szCs w:val="22"/>
              </w:rPr>
              <w:t>Positivenrate</w:t>
            </w:r>
            <w:proofErr w:type="spellEnd"/>
            <w:r>
              <w:rPr>
                <w:sz w:val="22"/>
                <w:szCs w:val="22"/>
              </w:rPr>
              <w:t xml:space="preserve"> &gt;10%.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Obwohl weniger getestet wurde, geht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in allen Altersgruppen deutlich zurück, auch bei Älteren. Bei Kindern geht er dagegen kaum zurück.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Abnahmeort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wird weniger getestet. Testungen in Arztpraxen nehmen ab, weniger Testungen in KH letzte Woche, weniger Testungen auch in anderen Teststellen.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 (Daten aus 8 Laboren)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alle Proben wurden auf die Deletion getestet. Anstieg des Anteils von positiven Proben mit Hinweis auf B.1.1.7.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 nach BL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manchen BL noch keine Daten dazu.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 Bayern und Niedersachsen hoher Anteil positiver PCR mit Zusatznachweis delH69/V70.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Bisher nur Daten aus 8 Laboren und nicht aus allen BL, soll noch nicht nach außen gegeben werden.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Thüringen Anstieg der Inzidenz, Anteil Varianten jedoch &lt;10%. Fällt in dieser Hinsicht nicht besonders auf.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Altenheimen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Deutlicher Rückgang der Ausbrüche, in KW 6 weniger als 50 neue Ausbrüche gemeldet.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KH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KH werden wieder etwas mehr Ausbrüche gemeldet, kaum ein Rückgang in KH.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Selbst wenn alle Personen in Altenheimen geimpft wurden, sollen diese weiterhin routinemäßig getestet werden. Testung soll nicht gestoppt werden. Wird so von FG37 kommuniziert: keine Änderungen beim Testen! 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proofErr w:type="gramStart"/>
            <w:r>
              <w:rPr>
                <w:sz w:val="22"/>
                <w:szCs w:val="22"/>
              </w:rPr>
              <w:t>4 Jährige</w:t>
            </w:r>
            <w:proofErr w:type="gramEnd"/>
            <w:r>
              <w:rPr>
                <w:sz w:val="22"/>
                <w:szCs w:val="22"/>
              </w:rPr>
              <w:t xml:space="preserve">: viele Ausbrüche in Kitas mit neuer Variante.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 xml:space="preserve"> sinkt nicht weiter. Kinder und Jugendliche sollten zunehmend im Auge behalten werden. Es wäre sinnvoll, für die neuen Varianten eine Grafik nach Alter Grafik zu erstellen. -&gt; Schaut sich FG37 an 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korreliert Zunahme der Varianten mit Zunahme der Fallzahlen? Ist Zunahme der Varianten mit Zunahme der Inzidenz verknüpft?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RKI erhält Daten direkt von Laboren.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Außerdem vom Surveillance-System im Rahmen der molekularen Surveillance, dies läuft jetzt erst an.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im Meldewesen sind zwischenzeitlich Angaben möglich. Liegen in allen BL in Promillebereich.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allen BL ansteigender Trend. Noch sind keine Trends darstellbar und mit Sequenzdaten verknüpfbar. Wird in nächsten Tagen zunehmend vollständiger im Meldesystem abrufbar sein.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 die Hälfte der PCR positiven Befunde wurden nachgetestet.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sollen so schnell wie möglich neue Ergebnisse über diesen Zusammenhang im Krisenstab gesammelt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verschiedene Epidemien: allgemeiner Rückgang, gleichzeitig Anstieg der neuen Varianten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Sollte nicht als 2 Epidemien bezeichnet werden. Wird bei Subtypen bei anderen Epidemien (z.B. Influenza) auch nicht gemacht. Es ist normal, dass bei Atemwegserregern neue Subtypen auftreten, ist weiterhin das gleiche pandemische Geschehen.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Könnte als 2 Ausbrüche betrachtet werden. Eine Unterscheidung sollte stattfinden.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Sprachregelung 2 Epidemien wäre relevanter, wenn Anteil stabiler geschätzt werden könnte und Entwicklung in letzten Wochen nachvollzogen werden kann.</w:t>
            </w:r>
          </w:p>
          <w:p>
            <w:pPr>
              <w:rPr>
                <w:i/>
                <w:sz w:val="22"/>
                <w:szCs w:val="22"/>
              </w:rPr>
            </w:pPr>
            <w:commentRangeStart w:id="1"/>
            <w:proofErr w:type="spellStart"/>
            <w:r>
              <w:rPr>
                <w:i/>
                <w:sz w:val="22"/>
                <w:szCs w:val="22"/>
              </w:rPr>
              <w:lastRenderedPageBreak/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räumlich adjustierte Auswertung der regelmäßigen Ad-hoc-Erhebungen des Vorkommens von VOCs, FF Hr. </w:t>
            </w:r>
            <w:proofErr w:type="gramStart"/>
            <w:r>
              <w:rPr>
                <w:i/>
                <w:sz w:val="22"/>
                <w:szCs w:val="22"/>
              </w:rPr>
              <w:t>an der Heiden</w:t>
            </w:r>
            <w:proofErr w:type="gramEnd"/>
            <w:r>
              <w:rPr>
                <w:i/>
                <w:sz w:val="22"/>
                <w:szCs w:val="22"/>
              </w:rPr>
              <w:t>, Hr. Kröger, Aufgabe vom LZ</w:t>
            </w:r>
            <w:commentRangeEnd w:id="1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1"/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Sinnvoll wäre es, lokale Inzidenzen mit Zunahme von Varianten zu korrelieren.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 Moment fehlen noch Daten, ist geplant.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Gibt es Werte für die Variante B.1.351? Gibt es Informationen zur Variante B.1.525?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Hr. Wieler hat Hr. Bayer Berichtsentwurf zugeschickt.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wäre sinnvoll Varianten in Fallzahlen (Anteil der Varianten in %-Angaben) auszuweisen. Soll nicht in ganzer Komplexität in Lagebericht aufgenommen werden, hierzu Verweis auf Bericht zu Virusvarianten.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Wichtigste Angabe in Lagebericht aufnehmen.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(mittwochs)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ARE-Rate liegt deutlich unter Vorjahren, aktuell ist jedoch ein Anstieg zu sehen, muss gut beobachtet werden.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Sprung von 5. auf 6. KW vor allem bei 0-</w:t>
            </w:r>
            <w:proofErr w:type="gramStart"/>
            <w:r>
              <w:rPr>
                <w:sz w:val="22"/>
                <w:szCs w:val="22"/>
              </w:rPr>
              <w:t>4 Jährigen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ARE-Konsultationen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Dieser Anstieg ist bei Arztbesuchen nicht zu sehen, weiterhin auf sehr niedrigem Niveau.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Schwere Krankheitsverläufe gehen zurück, liegen bei Kindern deutlich unter Werten der Vorjahre.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bei 15-</w:t>
            </w:r>
            <w:proofErr w:type="gramStart"/>
            <w:r>
              <w:rPr>
                <w:sz w:val="22"/>
                <w:szCs w:val="22"/>
              </w:rPr>
              <w:t>34 Jährigen</w:t>
            </w:r>
            <w:proofErr w:type="gramEnd"/>
            <w:r>
              <w:rPr>
                <w:sz w:val="22"/>
                <w:szCs w:val="22"/>
              </w:rPr>
              <w:t xml:space="preserve"> deutlich unter Vorjahres</w:t>
            </w:r>
            <w:r>
              <w:rPr>
                <w:sz w:val="22"/>
                <w:szCs w:val="22"/>
              </w:rPr>
              <w:softHyphen/>
              <w:t>niveau.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Weiterer Rückgang bei allen schweren Fällen, inklusive der noch liegenden Patienten.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Fällen mit max. Verweildauer von 7 Tagen ist der Rückgang bei &gt;</w:t>
            </w:r>
            <w:proofErr w:type="gramStart"/>
            <w:r>
              <w:rPr>
                <w:sz w:val="22"/>
                <w:szCs w:val="22"/>
              </w:rPr>
              <w:t>80 Jährigen</w:t>
            </w:r>
            <w:proofErr w:type="gramEnd"/>
            <w:r>
              <w:rPr>
                <w:sz w:val="22"/>
                <w:szCs w:val="22"/>
              </w:rPr>
              <w:t xml:space="preserve"> etwas verzögert.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Zahlen zum DIVI-Intensivregister (mittwochs)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3.260 Patienten auf ITS, in fast allen BL geht Belegung kontinuierlich zurück.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der Neuaufnahmen (inkl. Verlegungen) und Anzahl der Verstorbenen nimmt ab.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COVID-19 Patienten an Gesamtzahl der Intensivbetten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noch in einem BL (BE) &gt;20%, in 6 BL &gt;15%.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Belastungslage auf Intensivstationen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Lage stabilisiert sich weiter.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Personalmangel verbessert sich weiter, Raummangel bleibt bestehen.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Freie Behandlungskapazitäten steigen tendenziell wieder an.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Verfügbarkeit von High-Care noch verbesserungs</w:t>
            </w:r>
            <w:r>
              <w:rPr>
                <w:sz w:val="22"/>
                <w:szCs w:val="22"/>
              </w:rPr>
              <w:softHyphen/>
              <w:t>würdig.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Prognosen intensivpflichtiger COVID-19 Patienten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Trend zeigt nach unten, auch im Norden zeigt die Prognose jetzt nach unten.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 Woche wird das Stufenkonzept veröffentlicht. Die Auslastung in den Intensivstationen ist als Indikator genannt.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Kann die Karte zum Anteil an der Gesamtzahl der Intensivbetten auf der Webseite zur Verfügung gestellt werden? Karte ist auf Seite des Intensiv</w:t>
            </w:r>
            <w:r>
              <w:rPr>
                <w:sz w:val="22"/>
                <w:szCs w:val="22"/>
              </w:rPr>
              <w:softHyphen/>
              <w:t xml:space="preserve">registers bereits zugänglich. 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hospitalisierten &gt;</w:t>
            </w:r>
            <w:proofErr w:type="gramStart"/>
            <w:r>
              <w:rPr>
                <w:sz w:val="22"/>
                <w:szCs w:val="22"/>
              </w:rPr>
              <w:t>60 Jährigen</w:t>
            </w:r>
            <w:proofErr w:type="gramEnd"/>
            <w:r>
              <w:rPr>
                <w:sz w:val="22"/>
                <w:szCs w:val="22"/>
              </w:rPr>
              <w:t xml:space="preserve"> wurde auch als Indikator genannt. Wo könnte dieser verfügbar gemacht werden? -&gt; Daten vorbereiten</w:t>
            </w:r>
          </w:p>
          <w:p>
            <w:pPr>
              <w:ind w:left="144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Warum steigt ITS-Auslastung in Hamburg? Gründe?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Evtl. hoher Anteil von UK-Variante, erhöhte Schwere der Erkrankung?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Verlegungen? Haben in letzten 2 Wochen nicht stattgefunden.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Mehrere Ausbruchsgeschehen in Hamburg, großer Airbusausbruch.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Datenqualitätsmängel in Hamburg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Situation in Hamburg über STAKOB Behandlungszentrum klären, FF Hr. Herzog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Wäre es sinnvoll den Anteil von VOC im Intensivregister zu erfassen?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Muss immer im Vergleich zu nicht schweren Erkrankungen betrachtet werden.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Schwerpunkt sollte auf der fallbasierten Erhebung mit Meldedaten liegen. Dies lässt sich besser auswerten.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Eine Erfassung über DIVI Register sollte nicht erzwungen werden. -&gt; Prüfen, wie aufwändig eine Erfassung der VOC wäre.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Michaela 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Abt.3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(Eckmanns)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Impfbereitschaft in der Bevölkerung und beim Gesundheits</w:t>
            </w:r>
            <w:r>
              <w:rPr>
                <w:sz w:val="22"/>
                <w:szCs w:val="22"/>
              </w:rPr>
              <w:softHyphen/>
              <w:t>personal liegt bei ca. 75%.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Akzeptanz von Impfstoffen ist bei AstraZeneca am geringsten, am höchsten bei </w:t>
            </w:r>
            <w:proofErr w:type="spellStart"/>
            <w:r>
              <w:rPr>
                <w:sz w:val="22"/>
                <w:szCs w:val="22"/>
              </w:rPr>
              <w:t>Biontech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Auf Facebook wurden Inhalte gepostet zu: wie berechnet sich Wirksamkeit von Impfstoffen, Infos zu AstraZeneca Impfstoff, wie meldet man Nebenwirkungen.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Weitere Themen für soziale Medien werden vorbereitet.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Wurde Kommunikation zu nicht pharmakologischen Maßnahmen (NPI) angegangen?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Kontakt zu öffentlich-rechtlichen Medien wurde aufgenommen, Kommunikation zu Masken von BZgA in Angriff genommen.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Schnell- und Selbsttests werden in der Öffentlichkeit intensiv diskutiert (Game </w:t>
            </w:r>
            <w:proofErr w:type="spellStart"/>
            <w:r>
              <w:rPr>
                <w:sz w:val="22"/>
                <w:szCs w:val="22"/>
              </w:rPr>
              <w:t>changer</w:t>
            </w:r>
            <w:proofErr w:type="spellEnd"/>
            <w:r>
              <w:rPr>
                <w:sz w:val="22"/>
                <w:szCs w:val="22"/>
              </w:rPr>
              <w:t xml:space="preserve">?).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entwickelt FAQ dazu, wie kann die Bevölkerung gut informiert werden.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AHA-Regeln + L + krank zuhause bleiben, sollten immer als Paket kommuniziert werden.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Game </w:t>
            </w:r>
            <w:proofErr w:type="spellStart"/>
            <w:r>
              <w:rPr>
                <w:sz w:val="22"/>
                <w:szCs w:val="22"/>
              </w:rPr>
              <w:t>Changer</w:t>
            </w:r>
            <w:proofErr w:type="spellEnd"/>
            <w:r>
              <w:rPr>
                <w:sz w:val="22"/>
                <w:szCs w:val="22"/>
              </w:rPr>
              <w:t xml:space="preserve"> ist Impfangebot für alle Impfwilligen. Es wäre für die Bevölkerung hilfreich zu wissen, wann welche Altersgruppe mit einem Impfangebot rechnen kann.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ist schwierig, diese Info verlässlich aus den BL zu erhalten.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Antigentests werden häufig missverstanden. NPI sollten als Gesamtpaket dargestellt werden, damit sich Bevölkerung nicht in falscher Sicherheit wiegt.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muss klar kommuniziert werden, dass Selbsttests nicht für Kontaktpersonen zur Verkürzung der Quarantäne gedacht sind. </w:t>
            </w:r>
          </w:p>
          <w:p>
            <w:pPr>
              <w:spacing w:before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Epidemiologie im Schulsetting soll diese Woche im </w:t>
            </w:r>
            <w:proofErr w:type="spellStart"/>
            <w:r>
              <w:rPr>
                <w:sz w:val="22"/>
                <w:szCs w:val="22"/>
              </w:rPr>
              <w:t>EpidBull</w:t>
            </w:r>
            <w:proofErr w:type="spellEnd"/>
            <w:r>
              <w:rPr>
                <w:sz w:val="22"/>
                <w:szCs w:val="22"/>
              </w:rPr>
              <w:t xml:space="preserve"> veröffentlicht werden.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Weiterhin geringe Besetzung beim Internet Team, Belastung durch Emails hat deutlich zugenommen. 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(Dietrich)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(Seedat)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Modellierungsstudie (mittwochs)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Signale von Kitas über Ausbrüche, auch große Ausbrüche; die Gruppen der Kinder könnten zukünftig eine größere Bedeutung bei der Übertragung spielen. Konzepte zur Offenhaltung/Wiederöffnung Kitas und Schulen werden eine besondere Rolle spielen.</w:t>
            </w:r>
          </w:p>
          <w:p>
            <w:pPr>
              <w:ind w:left="113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Sprechzettel für BPK zu Signalen aus Kita/Schule vorbereiten, FF Hr. Haas</w:t>
            </w:r>
            <w:r>
              <w:rPr>
                <w:sz w:val="22"/>
                <w:szCs w:val="22"/>
              </w:rPr>
              <w:t>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Ideen für bessere Bezeichnung von „Nicht pharmakologischen Interventionen“ (NPI) gesucht, Begriff ist schwer verständlich.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Health Maßnahmen nicht geeignet, da dies auch Impfungen miteinschließt.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Bei ständiger Nennung aller Maßnahmen wird der Text relativ lang.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Virologische Surveillance (Folien </w:t>
            </w:r>
            <w:hyperlink r:id="rId20" w:history="1">
              <w:r>
                <w:rPr>
                  <w:rStyle w:val="Hyperlink"/>
                  <w:sz w:val="22"/>
                </w:rPr>
                <w:t>hier</w:t>
              </w:r>
            </w:hyperlink>
            <w:r>
              <w:rPr>
                <w:sz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Stagnation der Entwicklung, Anzahl Proben seit Wochen auf konstantem Niveau, ca. 150 Proben/Woche.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6. Woche leichter Rückgang trotz Rekrutierung neuer Praxen erkennbar, bedingt durch Rückgang der Aktivität in Arztpraxen.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 6: 147 Einsendungen, davon 11 pos. Nachweise von SARS-CoV-2 (7,5%).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von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liegt konstant um 10%.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Nachweise von saisonalen Coronaviren, hauptsächlich bei Kindern, bei einem Patienten </w:t>
            </w:r>
            <w:proofErr w:type="spellStart"/>
            <w:r>
              <w:rPr>
                <w:sz w:val="22"/>
                <w:szCs w:val="22"/>
              </w:rPr>
              <w:t>Koinfektion</w:t>
            </w:r>
            <w:proofErr w:type="spellEnd"/>
            <w:r>
              <w:rPr>
                <w:sz w:val="22"/>
                <w:szCs w:val="22"/>
              </w:rPr>
              <w:t xml:space="preserve"> mit Sars-CoV-2 und saisonalem Coronavirus.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Auch bei RESPVIR saisonale </w:t>
            </w:r>
            <w:proofErr w:type="spellStart"/>
            <w:r>
              <w:rPr>
                <w:sz w:val="22"/>
                <w:szCs w:val="22"/>
              </w:rPr>
              <w:t>Coronaaktivität</w:t>
            </w:r>
            <w:proofErr w:type="spellEnd"/>
            <w:r>
              <w:rPr>
                <w:sz w:val="22"/>
                <w:szCs w:val="22"/>
              </w:rPr>
              <w:t xml:space="preserve"> in letzten Jahren sichtbar.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ca. 10% der positiven SARS-CoV-2 Proben Nachweis von VOC, zumeist UK-Variante.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 (Dürrwald)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Zulassung des Antikörper-Mittels wird erwartet, Fachhinweise von PEI und BfArM werden erstellt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Urin Proteom Test hat mittlerweile CE Zertifizierung, kann angewendet werden.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</w:t>
            </w:r>
            <w:proofErr w:type="spellStart"/>
            <w:r>
              <w:rPr>
                <w:sz w:val="22"/>
                <w:szCs w:val="22"/>
              </w:rPr>
              <w:t>Rekonvaleszenzplasma</w:t>
            </w:r>
            <w:proofErr w:type="spellEnd"/>
            <w:r>
              <w:rPr>
                <w:sz w:val="22"/>
                <w:szCs w:val="22"/>
              </w:rPr>
              <w:t xml:space="preserve"> noch Thema? Die Hoffnung wird eher auf Antikörper gesetzt, diese werden spürbar häufiger angefragt.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(Herzog)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19.02.2021,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jikhina, Katja" w:date="2021-02-19T14:08:00Z" w:initials="KK">
    <w:p>
      <w:pPr>
        <w:pStyle w:val="Kommentartext"/>
      </w:pPr>
      <w:r>
        <w:rPr>
          <w:rStyle w:val="Kommentarzeichen"/>
        </w:rPr>
        <w:annotationRef/>
      </w:r>
      <w:r>
        <w:t>Aufgabe vergeben ID 2862 (19.02.2021)</w:t>
      </w:r>
    </w:p>
    <w:p>
      <w:pPr>
        <w:pStyle w:val="Kommentartext"/>
      </w:pP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7807"/>
    <w:multiLevelType w:val="hybridMultilevel"/>
    <w:tmpl w:val="6E182EA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7"/>
  </w:num>
  <w:num w:numId="5">
    <w:abstractNumId w:val="7"/>
  </w:num>
  <w:num w:numId="6">
    <w:abstractNumId w:val="18"/>
  </w:num>
  <w:num w:numId="7">
    <w:abstractNumId w:val="23"/>
  </w:num>
  <w:num w:numId="8">
    <w:abstractNumId w:val="13"/>
  </w:num>
  <w:num w:numId="9">
    <w:abstractNumId w:val="5"/>
  </w:num>
  <w:num w:numId="10">
    <w:abstractNumId w:val="27"/>
  </w:num>
  <w:num w:numId="11">
    <w:abstractNumId w:val="22"/>
  </w:num>
  <w:num w:numId="12">
    <w:abstractNumId w:val="15"/>
  </w:num>
  <w:num w:numId="13">
    <w:abstractNumId w:val="12"/>
  </w:num>
  <w:num w:numId="14">
    <w:abstractNumId w:val="19"/>
  </w:num>
  <w:num w:numId="15">
    <w:abstractNumId w:val="16"/>
  </w:num>
  <w:num w:numId="16">
    <w:abstractNumId w:val="0"/>
  </w:num>
  <w:num w:numId="17">
    <w:abstractNumId w:val="11"/>
  </w:num>
  <w:num w:numId="18">
    <w:abstractNumId w:val="25"/>
  </w:num>
  <w:num w:numId="19">
    <w:abstractNumId w:val="9"/>
  </w:num>
  <w:num w:numId="20">
    <w:abstractNumId w:val="24"/>
  </w:num>
  <w:num w:numId="21">
    <w:abstractNumId w:val="6"/>
  </w:num>
  <w:num w:numId="22">
    <w:abstractNumId w:val="8"/>
  </w:num>
  <w:num w:numId="23">
    <w:abstractNumId w:val="2"/>
  </w:num>
  <w:num w:numId="24">
    <w:abstractNumId w:val="20"/>
  </w:num>
  <w:num w:numId="25">
    <w:abstractNumId w:val="14"/>
  </w:num>
  <w:num w:numId="26">
    <w:abstractNumId w:val="1"/>
  </w:num>
  <w:num w:numId="27">
    <w:abstractNumId w:val="21"/>
  </w:num>
  <w:num w:numId="28">
    <w:abstractNumId w:val="26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jikhina, Katja">
    <w15:presenceInfo w15:providerId="None" w15:userId="Kajikhina, Katj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S:\Wissdaten\RKI_nCoV-Lage\1.Lagemanagement\1.3.Besprechungen_TKs\1.Lage_AG\2021-02-17_Lage_AG\syndrom-ARE-SARI-COVID_bis_KW6_2021_f&#252;r-Krisenstab.ppt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hyperlink" Target="210217_SARS-CoV-2%20in%20ARS_Krisenstabssitzung.pptx" TargetMode="External"/><Relationship Id="rId20" Type="http://schemas.openxmlformats.org/officeDocument/2006/relationships/hyperlink" Target="file:///S:\Wissdaten\RKI_nCoV-Lage\1.Lagemanagement\1.3.Besprechungen_TKs\1.Lage_AG\2021-02-17_Lage_AG\NRZ%20Influenzaviren%20Krisenstab%2017022021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Testzahlerfassung%20am%20RKI_2021-02-17.pptx" TargetMode="Externa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file:///S:\Wissdaten\RKI_nCoV-Lage\1.Lagemanagement\1.3.Besprechungen_TKs\1.Lage_AG\2021-02-17_Lage_AG\2021-02-17_Intensivregister_SPoCK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1-02-17_Lage_AG\Lage-National_2021-02-17.pptx" TargetMode="Externa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09E27-0F7F-4319-A25F-4582EEA6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2113</Words>
  <Characters>13313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21</cp:revision>
  <cp:lastPrinted>2020-05-06T16:43:00Z</cp:lastPrinted>
  <dcterms:created xsi:type="dcterms:W3CDTF">2021-02-17T14:24:00Z</dcterms:created>
  <dcterms:modified xsi:type="dcterms:W3CDTF">2021-05-10T14:56:00Z</dcterms:modified>
</cp:coreProperties>
</file>