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26.02.2021,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Moderation: Lars Schaade</w:t>
      </w:r>
    </w:p>
    <w:p>
      <w:pPr>
        <w:spacing w:after="0"/>
        <w:rPr>
          <w:b/>
          <w:color w:val="000000" w:themeColor="text1"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color w:val="000000" w:themeColor="text1"/>
          <w:sz w:val="22"/>
        </w:rPr>
      </w:pPr>
      <w:bookmarkStart w:id="1" w:name="_Hlk63788354"/>
      <w:r>
        <w:rPr>
          <w:b/>
          <w:color w:val="000000" w:themeColor="text1"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Abt. 2    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FG24/Thomas Ziese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ZfKD</w:t>
      </w:r>
      <w:proofErr w:type="spellEnd"/>
      <w:r>
        <w:rPr>
          <w:color w:val="000000" w:themeColor="text1"/>
          <w:sz w:val="22"/>
        </w:rPr>
        <w:t>/Maren Imhoff (Protokoll)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Osamah Hamouda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FG16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Anton Aebischer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Dschin-Je Oh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FG21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Wolfgang 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Ole Wichmann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Anna Loenenbach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Maria </w:t>
      </w:r>
      <w:proofErr w:type="gramStart"/>
      <w:r>
        <w:rPr>
          <w:color w:val="000000" w:themeColor="text1"/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Inessa Markus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Annegret Schneider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MF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Susanne </w:t>
      </w:r>
      <w:r>
        <w:rPr>
          <w:rStyle w:val="highlight"/>
          <w:color w:val="000000" w:themeColor="text1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Ronja Wenchel</w:t>
      </w:r>
    </w:p>
    <w:p>
      <w:pPr>
        <w:pStyle w:val="Listenabsatz"/>
        <w:numPr>
          <w:ilvl w:val="0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ZBS1</w:t>
      </w:r>
    </w:p>
    <w:p>
      <w:pPr>
        <w:pStyle w:val="Listenabsatz"/>
        <w:numPr>
          <w:ilvl w:val="1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Janine Michel</w:t>
      </w:r>
    </w:p>
    <w:p>
      <w:pPr>
        <w:pStyle w:val="Listenabsatz"/>
        <w:numPr>
          <w:ilvl w:val="0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ZIG</w:t>
      </w:r>
    </w:p>
    <w:p>
      <w:pPr>
        <w:pStyle w:val="Listenabsatz"/>
        <w:numPr>
          <w:ilvl w:val="1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Johanna Hanefeld</w:t>
      </w:r>
    </w:p>
    <w:p>
      <w:pPr>
        <w:pStyle w:val="Listenabsatz"/>
        <w:numPr>
          <w:ilvl w:val="1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ZIG 1/Luisa Denkel</w:t>
      </w:r>
    </w:p>
    <w:p>
      <w:pPr>
        <w:pStyle w:val="Listenabsatz"/>
        <w:numPr>
          <w:ilvl w:val="0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BZgA</w:t>
      </w:r>
    </w:p>
    <w:p>
      <w:pPr>
        <w:pStyle w:val="Listenabsatz"/>
        <w:numPr>
          <w:ilvl w:val="1"/>
          <w:numId w:val="10"/>
        </w:numPr>
        <w:spacing w:after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Oliver Ommen</w:t>
      </w:r>
    </w:p>
    <w:p>
      <w:pPr>
        <w:spacing w:after="0"/>
        <w:rPr>
          <w:color w:val="A6A6A6" w:themeColor="background1" w:themeShade="A6"/>
          <w:sz w:val="22"/>
        </w:rPr>
      </w:pPr>
    </w:p>
    <w:p>
      <w:pPr>
        <w:spacing w:after="0"/>
        <w:rPr>
          <w:color w:val="A6A6A6" w:themeColor="background1" w:themeShade="A6"/>
          <w:sz w:val="22"/>
        </w:rPr>
      </w:pPr>
    </w:p>
    <w:p>
      <w:pPr>
        <w:spacing w:after="0"/>
        <w:rPr>
          <w:color w:val="A6A6A6" w:themeColor="background1" w:themeShade="A6"/>
          <w:sz w:val="22"/>
        </w:rPr>
      </w:pPr>
    </w:p>
    <w:p>
      <w:pPr>
        <w:spacing w:after="0"/>
        <w:rPr>
          <w:color w:val="A6A6A6" w:themeColor="background1" w:themeShade="A6"/>
          <w:sz w:val="22"/>
        </w:rPr>
      </w:pPr>
    </w:p>
    <w:p>
      <w:pPr>
        <w:spacing w:after="0"/>
        <w:rPr>
          <w:color w:val="A6A6A6" w:themeColor="background1" w:themeShade="A6"/>
          <w:sz w:val="22"/>
        </w:rPr>
      </w:pPr>
    </w:p>
    <w:p>
      <w:pPr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br w:type="page"/>
      </w:r>
    </w:p>
    <w:bookmarkEnd w:id="1"/>
    <w:p>
      <w:pPr>
        <w:pStyle w:val="Listenabsatz"/>
        <w:spacing w:after="0"/>
        <w:ind w:left="1440"/>
        <w:contextualSpacing w:val="0"/>
        <w:rPr>
          <w:color w:val="A6A6A6" w:themeColor="background1" w:themeShade="A6"/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color w:val="A6A6A6" w:themeColor="background1" w:themeShade="A6"/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br w:type="page"/>
            </w:r>
            <w:r>
              <w:rPr>
                <w:color w:val="000000" w:themeColor="text1"/>
              </w:rPr>
              <w:br w:type="page"/>
            </w:r>
            <w:r>
              <w:rPr>
                <w:b/>
                <w:color w:val="000000" w:themeColor="text1"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eingebracht von</w:t>
            </w:r>
          </w:p>
        </w:tc>
      </w:tr>
      <w:tr>
        <w:trPr>
          <w:trHeight w:val="743"/>
        </w:trP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Aktuelle Lage </w:t>
            </w:r>
          </w:p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t xml:space="preserve">International </w:t>
            </w:r>
            <w:r>
              <w:rPr>
                <w:b/>
                <w:color w:val="FF0000"/>
              </w:rPr>
              <w:t>(nur freitags)</w:t>
            </w:r>
            <w:r>
              <w:t xml:space="preserve"> (Folien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  <w:r>
              <w:rPr>
                <w:rStyle w:val="Hyperlink"/>
                <w:color w:val="auto"/>
                <w:u w:val="none"/>
              </w:rPr>
              <w:t>)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weltweit &gt; 112 Mio. Fälle, Trend bewegt sich leicht nach oben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color w:val="000000" w:themeColor="text1"/>
                <w:sz w:val="22"/>
                <w:szCs w:val="22"/>
              </w:rPr>
              <w:t>Top 10 Länder nach Anzahl neuer COVID-19-Fälle:</w:t>
            </w:r>
          </w:p>
          <w:p>
            <w:pPr>
              <w:pStyle w:val="Listenabsatz"/>
              <w:numPr>
                <w:ilvl w:val="1"/>
                <w:numId w:val="16"/>
              </w:numPr>
              <w:ind w:left="1043"/>
              <w:rPr>
                <w:color w:val="000000" w:themeColor="text1" w:themeShade="A6"/>
                <w:sz w:val="22"/>
                <w:szCs w:val="22"/>
              </w:rPr>
            </w:pPr>
            <w:r>
              <w:rPr>
                <w:color w:val="000000" w:themeColor="text1" w:themeShade="A6"/>
                <w:sz w:val="22"/>
                <w:szCs w:val="22"/>
              </w:rPr>
              <w:t xml:space="preserve">Top 3 </w:t>
            </w:r>
            <w:r>
              <w:rPr>
                <w:color w:val="000000" w:themeColor="text1"/>
                <w:sz w:val="22"/>
                <w:szCs w:val="22"/>
              </w:rPr>
              <w:t>in Reihenfolge unverändert seit letzter Woche</w:t>
            </w:r>
            <w:r>
              <w:rPr>
                <w:color w:val="000000" w:themeColor="text1" w:themeShade="A6"/>
                <w:sz w:val="22"/>
                <w:szCs w:val="22"/>
              </w:rPr>
              <w:t>: US, BR, FR</w:t>
            </w:r>
            <w:r>
              <w:rPr>
                <w:color w:val="000000" w:themeColor="text1"/>
                <w:sz w:val="22"/>
                <w:szCs w:val="22"/>
              </w:rPr>
              <w:t>; neu in Top 10: PL; nicht mehr in Top 10: MX</w:t>
            </w:r>
          </w:p>
          <w:p>
            <w:pPr>
              <w:pStyle w:val="Listenabsatz"/>
              <w:numPr>
                <w:ilvl w:val="1"/>
                <w:numId w:val="16"/>
              </w:numPr>
              <w:ind w:left="1043"/>
              <w:rPr>
                <w:color w:val="000000" w:themeColor="text1" w:themeShade="A6"/>
                <w:sz w:val="22"/>
                <w:szCs w:val="22"/>
              </w:rPr>
            </w:pPr>
            <w:r>
              <w:rPr>
                <w:color w:val="000000" w:themeColor="text1" w:themeShade="A6"/>
                <w:sz w:val="22"/>
                <w:szCs w:val="22"/>
              </w:rPr>
              <w:t xml:space="preserve">7-Tage-Inzidenz (7TI) mit abnehmendem Trend in </w:t>
            </w:r>
            <w:r>
              <w:rPr>
                <w:color w:val="000000" w:themeColor="text1"/>
                <w:sz w:val="22"/>
                <w:szCs w:val="22"/>
              </w:rPr>
              <w:t xml:space="preserve">US, RU, UK, in übrigen Top 10-Ländern 7TI zunehmend, bes. starker Anstieg in CZ (7T-Fallzahlen +29 %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ggü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Vorwoche, aktuelle 7TI &gt; 700/100.000), PL (7T-Fallzahlen +34 %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ggü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Vorwoche) </w:t>
            </w:r>
          </w:p>
          <w:p>
            <w:pPr>
              <w:pStyle w:val="Listenabsatz"/>
              <w:numPr>
                <w:ilvl w:val="1"/>
                <w:numId w:val="16"/>
              </w:numPr>
              <w:ind w:left="1043"/>
              <w:rPr>
                <w:color w:val="000000" w:themeColor="text1" w:themeShade="A6"/>
                <w:sz w:val="22"/>
                <w:szCs w:val="22"/>
              </w:rPr>
            </w:pPr>
            <w:r>
              <w:rPr>
                <w:color w:val="000000" w:themeColor="text1" w:themeShade="A6"/>
                <w:sz w:val="22"/>
                <w:szCs w:val="22"/>
              </w:rPr>
              <w:t xml:space="preserve">mind. 1 Impfdosis erhalten: UK 27 %, US 14 % 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Karte: 7TI weltweit pro 100.000 Einwohner</w:t>
            </w:r>
          </w:p>
          <w:p>
            <w:pPr>
              <w:pStyle w:val="Listenabsatz"/>
              <w:numPr>
                <w:ilvl w:val="1"/>
                <w:numId w:val="16"/>
              </w:numPr>
              <w:ind w:left="104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im Vgl. zu Vorwoche erhöht in: DK, BE</w:t>
            </w:r>
          </w:p>
          <w:p>
            <w:pPr>
              <w:pStyle w:val="Listenabsatz"/>
              <w:numPr>
                <w:ilvl w:val="1"/>
                <w:numId w:val="16"/>
              </w:numPr>
              <w:ind w:left="104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im Vgl. zu Vorwoche entspannt in: PT, ES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lt. WHO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Sitrep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(23.02.2021) Nachweis von…</w:t>
            </w:r>
          </w:p>
          <w:p>
            <w:pPr>
              <w:pStyle w:val="Listenabsatz"/>
              <w:numPr>
                <w:ilvl w:val="0"/>
                <w:numId w:val="2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VOC 202012/01 (Linie B.1.1.7) in 101 Ländern, </w:t>
            </w:r>
          </w:p>
          <w:p>
            <w:pPr>
              <w:pStyle w:val="Listenabsatz"/>
              <w:numPr>
                <w:ilvl w:val="0"/>
                <w:numId w:val="2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VOC 501Y.V2 (Linie B1.351) in 51 Ländern,</w:t>
            </w:r>
          </w:p>
          <w:p>
            <w:pPr>
              <w:pStyle w:val="Listenabsatz"/>
              <w:numPr>
                <w:ilvl w:val="0"/>
                <w:numId w:val="2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VOC P1 (Linie B1.128.1) in 29 Ländern;</w:t>
            </w:r>
          </w:p>
          <w:p>
            <w:pPr>
              <w:pStyle w:val="Listenabsatz"/>
              <w:numPr>
                <w:ilvl w:val="0"/>
                <w:numId w:val="21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45 Länder berichten </w:t>
            </w:r>
            <w:proofErr w:type="spellStart"/>
            <w:r>
              <w:rPr>
                <w:i/>
                <w:color w:val="000000" w:themeColor="text1"/>
                <w:sz w:val="22"/>
                <w:szCs w:val="22"/>
              </w:rPr>
              <w:t>community</w:t>
            </w:r>
            <w:proofErr w:type="spellEnd"/>
            <w:r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2"/>
                <w:szCs w:val="22"/>
              </w:rPr>
              <w:t>transmission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von VOC 202012/01 (Linie B.1.1.7)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zu bedenken bei Einordnung int. Zahlen: Länder nutzen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unterschiedl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Methoden zur Detektion von Varianten und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unterschiedl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Berichtsintervalle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VOC B.1.1.7 in dt. Nachbarländern stark verbreitet (DK &gt; 60 %, FR knapp 50 %, BE &gt; 30 %), VOC B.1.351 regional mit hohem Anteil (bspw. &gt; 20 % in Region Grand-Est, FR, knapp 40 % in Tirol, AT)</w:t>
            </w:r>
          </w:p>
          <w:p>
            <w:pPr>
              <w:pStyle w:val="Listenabsatz"/>
              <w:numPr>
                <w:ilvl w:val="0"/>
                <w:numId w:val="16"/>
              </w:numPr>
              <w:ind w:left="61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neue VOI/VOC: </w:t>
            </w:r>
          </w:p>
          <w:p>
            <w:pPr>
              <w:pStyle w:val="Listenabsatz"/>
              <w:numPr>
                <w:ilvl w:val="0"/>
                <w:numId w:val="2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B.1.1.7 + E484K: UK</w:t>
            </w:r>
          </w:p>
          <w:p>
            <w:pPr>
              <w:pStyle w:val="Listenabsatz"/>
              <w:numPr>
                <w:ilvl w:val="0"/>
                <w:numId w:val="2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B.1.525 + E484K: NG, UK, 13 weitere Länder, z. B. DK</w:t>
            </w:r>
          </w:p>
          <w:p>
            <w:pPr>
              <w:pStyle w:val="Listenabsatz"/>
              <w:numPr>
                <w:ilvl w:val="0"/>
                <w:numId w:val="23"/>
              </w:num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B.1.526 + E484K: New York, US</w:t>
            </w:r>
          </w:p>
          <w:p>
            <w:pPr>
              <w:pStyle w:val="Listenabsatz"/>
              <w:numPr>
                <w:ilvl w:val="0"/>
                <w:numId w:val="23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B.1.429: Kalifornien, US, weitere US-Bundesstaaten und Länder (z. B. AU)</w:t>
            </w:r>
          </w:p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National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Dashboard: letzte Nacht fehlerhaftes Datenupdate bei ESRI, dadurch Darstellung falscher Zahlen; Dashboard zwischenzeitlich inaktiv und mit Disclaimer versehen; Fehler inzwischen behoben</w:t>
            </w:r>
          </w:p>
          <w:p>
            <w:pPr>
              <w:pStyle w:val="Listenabsatz"/>
              <w:numPr>
                <w:ilvl w:val="0"/>
                <w:numId w:val="7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Fallzahlen, Todesfälle, Trend (Folien </w:t>
            </w:r>
            <w:hyperlink r:id="rId15" w:history="1">
              <w:r>
                <w:rPr>
                  <w:rStyle w:val="Hyperlink"/>
                  <w:color w:val="0070C0"/>
                  <w:sz w:val="22"/>
                  <w:szCs w:val="22"/>
                </w:rPr>
                <w:t>hier</w:t>
              </w:r>
            </w:hyperlink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)</w:t>
            </w:r>
          </w:p>
          <w:p>
            <w:pPr>
              <w:pStyle w:val="Listenabsatz"/>
              <w:numPr>
                <w:ilvl w:val="1"/>
                <w:numId w:val="7"/>
              </w:numPr>
              <w:spacing w:after="200"/>
              <w:ind w:left="1179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7TI vom bisherigen Plateau (niedrigster Wert um 15.02.) leicht ansteigend, Bewertung schwierig</w:t>
            </w:r>
          </w:p>
          <w:p>
            <w:pPr>
              <w:pStyle w:val="Listenabsatz"/>
              <w:numPr>
                <w:ilvl w:val="1"/>
                <w:numId w:val="7"/>
              </w:numPr>
              <w:spacing w:after="200"/>
              <w:ind w:left="1179" w:hanging="357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SurvNet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übermittelt: 2.424.684 (</w:t>
            </w:r>
            <w:r>
              <w:rPr>
                <w:bCs/>
                <w:color w:val="000000" w:themeColor="text1"/>
                <w:sz w:val="22"/>
                <w:szCs w:val="22"/>
              </w:rPr>
              <w:t>+9.997</w:t>
            </w:r>
            <w:r>
              <w:rPr>
                <w:color w:val="000000" w:themeColor="text1"/>
                <w:sz w:val="22"/>
                <w:szCs w:val="22"/>
              </w:rPr>
              <w:t xml:space="preserve">), davon 69.519 (+394) Todesfälle, 7-Tage-Inzidenz 63 Fälle/100.000 EW 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Impfmonitoring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: Geimpfte mit einer Impfung 3.759.906 (4,5 %), mit 2 Impfungen 1.956.085 (2,4%)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DIVI-Intensivregister: 2.898 Fälle in Behandlung</w:t>
            </w:r>
          </w:p>
          <w:p>
            <w:pPr>
              <w:pStyle w:val="Listenabsatz"/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(-57)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lastRenderedPageBreak/>
              <w:t xml:space="preserve">aus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intensivmed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Behandlung entlassen: +450, davon 27% verstorben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7TI der Bundesländer nach Berichtsdatum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 weiterhin mit höchster Inzidenz, kein BL mit deutlichem Anstieg oder Rückgang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Geografische Verteilung 7TI nach LK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161 LK &lt; 50/100.000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251 LK &gt; 50/100.000</w:t>
            </w:r>
          </w:p>
          <w:p>
            <w:pPr>
              <w:pStyle w:val="Listenabsatz"/>
              <w:numPr>
                <w:ilvl w:val="2"/>
                <w:numId w:val="7"/>
              </w:numPr>
              <w:ind w:left="175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besonders stark betroffen, 7TI &gt; 170/100.000: u. a. SN (Vogtlandkreis), ST (Burgenlandkreis), TH (Schmalkalden-Meiningen, Hildburghausen, Saale-Orla-Kreis), BY: Oberfranken (Wunsiedel, Hof, Kulmbach), Oberpfalz (Tirschenreuth, Weiden, Neustadt)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VOC B.1.1.7 häufig nachgewiesen u. a. in Flensburg, im Norden und Osten Bayerns (Grenzregion DK bzw. CZ)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Altersmedian</w:t>
            </w:r>
          </w:p>
          <w:p>
            <w:pPr>
              <w:pStyle w:val="Listenabsatz"/>
              <w:numPr>
                <w:ilvl w:val="0"/>
                <w:numId w:val="26"/>
              </w:numPr>
              <w:ind w:left="1476" w:hanging="28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zuletzt abnehmend Gesamt und bei Hospitalisierten, konstant bei Verstorbenen</w:t>
            </w:r>
          </w:p>
          <w:p>
            <w:pPr>
              <w:pStyle w:val="Listenabsatz"/>
              <w:numPr>
                <w:ilvl w:val="1"/>
                <w:numId w:val="7"/>
              </w:numPr>
              <w:ind w:left="118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Sterbefallzahlen Deutschland</w:t>
            </w:r>
          </w:p>
          <w:p>
            <w:pPr>
              <w:pStyle w:val="Listenabsatz"/>
              <w:numPr>
                <w:ilvl w:val="0"/>
                <w:numId w:val="26"/>
              </w:numPr>
              <w:ind w:left="1476" w:hanging="283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Übersterblichkeit geht zurück auf Durchschnittsniveau 2017-2020</w:t>
            </w:r>
          </w:p>
          <w:p>
            <w:pPr>
              <w:rPr>
                <w:b/>
                <w:color w:val="000000" w:themeColor="text1"/>
              </w:rPr>
            </w:pPr>
          </w:p>
          <w:p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Ausbruchsuntersuchung Kreis Bergstraße </w:t>
            </w:r>
            <w:r>
              <w:rPr>
                <w:color w:val="000000" w:themeColor="text1"/>
              </w:rPr>
              <w:t xml:space="preserve">(Folien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 w:themeColor="text1"/>
              </w:rPr>
              <w:t>)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Amtshilfeersuchen zu Ausbruchsgeschehen mit B.1.1.7-Hinweis in 3 Kitas; Team vor Ort 15.-18.02.2021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Ausbrüche in Kita 1 und 2 zurückgehend auf jeweils 2 Primärfälle unter Erziehenden; Kitas mit strikten Hygienekonzepten/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Kohortierung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dennoch: hohe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Attackraten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(Kita 1: 25-69 %, Kita 2: 14-43 %) bei Erziehenden und Kindern; hohe sekundäre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Attackrate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auch bei Kindern (29 % in Haushalten); auch Personen, die als KP2 eingestuft worden wären, wurden infiziert; Rolle von Aerosolen?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B.1.1.7 scheint mediane Ausbruchsgröße zu erhöhen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Publikation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geplant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möglw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Eurosurveillance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Rapid Communications</w:t>
            </w:r>
          </w:p>
          <w:p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Situationsbericht GA LK Leer </w:t>
            </w:r>
            <w:r>
              <w:rPr>
                <w:color w:val="000000" w:themeColor="text1"/>
              </w:rPr>
              <w:t xml:space="preserve">(E-Mail von NLGA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 w:themeColor="text1"/>
              </w:rPr>
              <w:t>)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Inzidenzanstieg im LK Leer innerhalb einer Woche von ca. 60 auf 100; B.1.1.7-Anteil wird auf weit &gt; 50 % geschätzt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auch hier wurden Personen, die sonst als KP2 gelten würden (sehr kurzer Aufenthalt im selben Raum, Anwendung von Masken), infiziert; pos. Nachweise bei KP teilweise früher, teilweise später als gewohnt (Tag 13) – Konsequenzen für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Entisolierungskriterien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?</w:t>
            </w:r>
          </w:p>
          <w:p>
            <w:pPr>
              <w:pStyle w:val="Listenabsatz"/>
              <w:numPr>
                <w:ilvl w:val="0"/>
                <w:numId w:val="7"/>
              </w:numPr>
              <w:spacing w:after="20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Ct-Wert deutlich geringer als bei Wildtyp (bis zu 6), auch bei Nachtestung nach 14 Tagen noch hoher Anteil deutlich positiv (Ct-Werte im infektiösen Bereich)</w:t>
            </w:r>
          </w:p>
          <w:p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</w:rPr>
              <w:t>Diskussion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Ausbruchs- und Situationsbericht: </w:t>
            </w: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Wie gut wurden Hygienekonzepte in den Kitas tatsächlich umgesetzt? - Es haben gemeinsame Besprechungen der Erziehenden im Besprechungsraum stattgefunden, erklärt aber nicht die Fälle bei den </w:t>
            </w:r>
            <w:r>
              <w:rPr>
                <w:color w:val="000000" w:themeColor="text1"/>
                <w:sz w:val="22"/>
                <w:szCs w:val="22"/>
              </w:rPr>
              <w:lastRenderedPageBreak/>
              <w:t xml:space="preserve">Kindern. / Was sind die Konsequenzen für den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ControlCovid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-Stufenplan im Hinblick auf Kita-Öffnungen? -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Attackraten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bei B.1.1.7 insgesamt (nicht nur bei Kindern) höher. – Vorläufig keine Anpassung des Stufenplans, Publikation abwarten, für entsprechenden Beschluss ist es zu früh.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ZIG1 (Luisa Denkel)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  <w:szCs w:val="22"/>
              </w:rPr>
              <w:t>FG32 (</w:t>
            </w:r>
            <w:r>
              <w:rPr>
                <w:color w:val="000000" w:themeColor="text1"/>
                <w:sz w:val="22"/>
              </w:rPr>
              <w:t>Michaela Diercke)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FG36 (Anna Loenenbach, Udo Buchholz), FG38 (Inessa Markus)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FG38 (Ute Rexroth)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FF0000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Internationales</w:t>
            </w:r>
            <w:r>
              <w:rPr>
                <w:b/>
                <w:color w:val="A6A6A6" w:themeColor="background1" w:themeShade="A6"/>
              </w:rPr>
              <w:t xml:space="preserve">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Vorbereitung Unterstützungsmission Montenegro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weitere Mission geplant in Erbil, Irak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über GHPP (Global Health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Protection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Programme, BMG) werden &gt; 100 Proben aus Namibia zur Sequenzierung nach DE geschickt; beteiligt: Forschungszentrum Borstel (FZB), RKI; weitere Anfragen ähnlicher Art laufen</w:t>
            </w:r>
          </w:p>
          <w:p>
            <w:pPr>
              <w:pStyle w:val="Listenabsatz"/>
              <w:numPr>
                <w:ilvl w:val="0"/>
                <w:numId w:val="20"/>
              </w:numPr>
              <w:spacing w:after="120"/>
              <w:rPr>
                <w:b/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Frage: warum werden die Proben nicht am NICD sequenziert? - unbekannt,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möglw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ist NICD überlastet</w:t>
            </w:r>
          </w:p>
        </w:tc>
        <w:tc>
          <w:tcPr>
            <w:tcW w:w="1492" w:type="dxa"/>
          </w:tcPr>
          <w:p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ZIG1 (Johanna Hanefeld)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Aktuelle Risikobewertung </w:t>
            </w:r>
            <w:r>
              <w:rPr>
                <w:color w:val="000000" w:themeColor="text1"/>
              </w:rPr>
              <w:t xml:space="preserve">(Dokument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 w:themeColor="text1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aktualisierte Bewertung vorgestellt am 24.02.; Änderung gegenüber Vorversion: v. a. stärkere Bezugnahme auf Verbreitung von VOC in DE, insbes. B.1.1.7; </w:t>
            </w:r>
          </w:p>
          <w:p>
            <w:pPr>
              <w:pStyle w:val="Listenabsatz"/>
              <w:numPr>
                <w:ilvl w:val="0"/>
                <w:numId w:val="19"/>
              </w:numPr>
              <w:ind w:left="768" w:hanging="284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es wurden und werden keine Einwände geäußert; finale Version mit Anpassung zu VOC geht über LZ an webmaster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FG36 (Silke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Buda)/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BZgA</w:t>
            </w:r>
          </w:p>
          <w:p>
            <w:pPr>
              <w:pStyle w:val="Listenabsatz"/>
              <w:numPr>
                <w:ilvl w:val="0"/>
                <w:numId w:val="17"/>
              </w:numPr>
              <w:spacing w:after="12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kein Beitrag</w:t>
            </w:r>
          </w:p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Presse </w:t>
            </w:r>
          </w:p>
          <w:p>
            <w:pPr>
              <w:pStyle w:val="Listenabsatz"/>
              <w:numPr>
                <w:ilvl w:val="0"/>
                <w:numId w:val="17"/>
              </w:numPr>
              <w:spacing w:after="12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bei fehlerhaften Darstellungen im Dashboard bitte neben Pressestelle und Webmaster auch Zentrale und ZV5 in Kenntnis setzen</w:t>
            </w:r>
          </w:p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P1</w:t>
            </w:r>
          </w:p>
          <w:p>
            <w:pPr>
              <w:pStyle w:val="Listenabsatz"/>
              <w:numPr>
                <w:ilvl w:val="0"/>
                <w:numId w:val="17"/>
              </w:numPr>
              <w:spacing w:after="12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nicht anwesend</w:t>
            </w:r>
          </w:p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Lagezentrum</w:t>
            </w:r>
          </w:p>
          <w:p>
            <w:pPr>
              <w:pStyle w:val="Listenabsatz"/>
              <w:numPr>
                <w:ilvl w:val="0"/>
                <w:numId w:val="17"/>
              </w:numPr>
              <w:spacing w:after="12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engl. Lagebericht: angesichts erlahmten Interesses (fehlende Rückmeldungen und Neuanmeldungen) wird die Einstellung erwogen; Ressourcen sollen geschont werden; Daten weiterhin über ECDC erhältlich</w:t>
            </w:r>
          </w:p>
          <w:p>
            <w:pPr>
              <w:pStyle w:val="Listenabsatz"/>
              <w:numPr>
                <w:ilvl w:val="0"/>
                <w:numId w:val="18"/>
              </w:numPr>
              <w:spacing w:after="120"/>
              <w:ind w:left="1051" w:hanging="28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Diskussion: Kürzung statt Einstellung erwägen, engl. Bericht hilfreich für Kommunikation mit int. Presse, int. Partnern, EU, WHO; weitere Option: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wöchentl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statt tägl. Bericht, ggf. auch als Zielstellung für den dt. Lagebericht; mögl. erster Schritt: Verzicht auf Erstellung am WE </w:t>
            </w:r>
          </w:p>
          <w:p>
            <w:pPr>
              <w:pStyle w:val="Listenabsatz"/>
              <w:numPr>
                <w:ilvl w:val="0"/>
                <w:numId w:val="18"/>
              </w:numPr>
              <w:spacing w:after="120"/>
              <w:ind w:left="1051" w:hanging="28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TODO: Ermittlung der Downloadzahlen für engl. Lagebericht; diskutierte Optionen prüfen; Wiedervorlage des Themas nächste Woche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A6A6A6" w:themeColor="background1" w:themeShade="A6"/>
                <w:sz w:val="22"/>
                <w:szCs w:val="22"/>
              </w:rPr>
              <w:t xml:space="preserve">        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BZgA (Oliver Ommen)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Pressestelle (Ronja Wenchel)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Viviane Bremer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theme="maj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17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siehe 10, Entlassungsmanagement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Update Impfen </w:t>
            </w:r>
            <w:r>
              <w:rPr>
                <w:b/>
                <w:color w:val="000000" w:themeColor="text1"/>
              </w:rPr>
              <w:t xml:space="preserve">(nur freitags) </w:t>
            </w:r>
            <w:r>
              <w:rPr>
                <w:color w:val="000000" w:themeColor="text1"/>
              </w:rPr>
              <w:t xml:space="preserve">(Folien </w:t>
            </w:r>
            <w:hyperlink r:id="rId19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 w:themeColor="text1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bisher in DE ca. 8 Mio. Impfstoffdosen ausgeliefert; für 2. Quartal 70 Mio. Dosen, für 3. Quartal 120 Mio. angekündigt; bis März Abschluss der Impfungen in Pflegeheimen; Erreichen „hoher“ Impfquoten unter Berücksichtigung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altersspezif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Impfakzeptanz und ohne „Impf-Rückstau“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voraussichtl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nicht vor Sommer 2021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COVIMO: Befragung durch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Usuma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GmbH in mehreren Wellen; Impfbereitschaft ist hoch und steigt mit dem Alter; ca. 12 % unentschlossen, ca. 4 % Impfverweigerer; ggf. noch Kommunikationsbedarf bei jüngeren Altersgruppen; NW nach der Impfung wurden von ca. 52 % berichtet und als annehmbar bewertet</w:t>
            </w:r>
          </w:p>
          <w:p>
            <w:pPr>
              <w:pStyle w:val="Listenabsatz"/>
              <w:numPr>
                <w:ilvl w:val="0"/>
                <w:numId w:val="5"/>
              </w:numPr>
              <w:ind w:left="476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intensivierte Surveillance zur Erkennung von Impfdurchbrüchen am RKI: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wöchentl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Screening von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SurvNet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, Rückmeldung an Landesbehörde und GA bei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symptomat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. Impfdurchbruch (&gt; 14 Tage nach 2. Impfung), anschließend Anforderung einer Typisierung und ergänzende Datenerhebung durch das GA;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SurvNet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: Stand 25.02.21 haben 331 Fälle die 2. Impfung vor &gt; 14 Tagen erhalten (3,5 %), davon sind 254 symptomfrei, 11 haben einen moderaten bis schweren Verlauf, bei 13 wurde eine VOC nachgewiesen; bei geimpften Fällen ist der Anteil derer mit nur 1 Impfung deutlich höher als der Anteil derer mit 2 Impfungen </w:t>
            </w:r>
          </w:p>
          <w:p>
            <w:pPr>
              <w:pStyle w:val="Listenabsatz"/>
              <w:numPr>
                <w:ilvl w:val="0"/>
                <w:numId w:val="27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Kann bei einem symptomlosen Verlauf von einem Impfdurchbruch gesprochen werden? </w:t>
            </w:r>
          </w:p>
          <w:p>
            <w:pPr>
              <w:pStyle w:val="Listenabsatz"/>
              <w:numPr>
                <w:ilvl w:val="0"/>
                <w:numId w:val="28"/>
              </w:numPr>
              <w:ind w:left="484" w:hanging="28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Studien aus UK und Israel belegen hohe Effektivität von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BioNTech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und AZ bzgl. Schutz vor Infektion, COVID-19 und schweren Verläufen; unveröffentlichte Studien bestätigen die Ergebnisse; noch keine / wenig Daten zur Schutzdauer bzw. Effekt VOC auf Wirksamkeit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FG33 (Wichmann)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  <w:highlight w:val="yellow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FG 17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104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Insgesamt 576 Proben analysiert, davon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38 Proben SARS-CoV-2-positiv (Positivanteil 7%)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0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60 Proben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Rhinovirus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-positiv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0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 Parainfluenza virus-positiv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14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positiv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für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saisonales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Coronavirus (NL-63)</w:t>
            </w:r>
          </w:p>
          <w:p>
            <w:pPr>
              <w:pStyle w:val="Listenabsatz"/>
              <w:numPr>
                <w:ilvl w:val="2"/>
                <w:numId w:val="5"/>
              </w:numPr>
              <w:ind w:left="161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Labor Berlin: erster Influenza-Nachweis in dieser Saison (Reiserückkehrer Tansania); Probenmaterial eingetroffen; Charakterisierung begonnen </w:t>
            </w:r>
          </w:p>
          <w:p>
            <w:pPr>
              <w:pStyle w:val="Listenabsatz"/>
              <w:ind w:left="1610"/>
              <w:rPr>
                <w:color w:val="000000" w:themeColor="text1"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6"/>
              <w:rPr>
                <w:b/>
                <w:color w:val="000000" w:themeColor="text1"/>
                <w:sz w:val="22"/>
                <w:highlight w:val="yellow"/>
              </w:rPr>
            </w:pPr>
            <w:commentRangeStart w:id="2"/>
            <w:r>
              <w:rPr>
                <w:b/>
                <w:color w:val="000000" w:themeColor="text1"/>
                <w:sz w:val="22"/>
                <w:highlight w:val="yellow"/>
              </w:rPr>
              <w:t>ZBS1</w:t>
            </w:r>
            <w:commentRangeEnd w:id="2"/>
            <w:r>
              <w:rPr>
                <w:rStyle w:val="Kommentarzeichen"/>
                <w:rFonts w:ascii="Scala Sans OT" w:hAnsi="Scala Sans OT"/>
                <w:highlight w:val="yellow"/>
                <w:lang w:eastAsia="de-DE"/>
              </w:rPr>
              <w:commentReference w:id="2"/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/>
              <w:ind w:left="1037" w:hanging="357"/>
              <w:rPr>
                <w:color w:val="000000" w:themeColor="text1"/>
                <w:sz w:val="22"/>
                <w:highlight w:val="yellow"/>
              </w:rPr>
            </w:pPr>
            <w:r>
              <w:rPr>
                <w:color w:val="000000" w:themeColor="text1"/>
                <w:sz w:val="22"/>
                <w:highlight w:val="yellow"/>
              </w:rPr>
              <w:t>XX Einsendungen für SARS-CoV-2-Testung, davon XX positiv (21 %)</w:t>
            </w:r>
          </w:p>
          <w:p>
            <w:pPr>
              <w:pStyle w:val="Listenabsatz"/>
              <w:numPr>
                <w:ilvl w:val="1"/>
                <w:numId w:val="5"/>
              </w:numPr>
              <w:spacing w:after="120"/>
              <w:ind w:left="1037" w:hanging="357"/>
              <w:rPr>
                <w:color w:val="A6A6A6" w:themeColor="background1" w:themeShade="A6"/>
                <w:sz w:val="22"/>
              </w:rPr>
            </w:pPr>
            <w:r>
              <w:rPr>
                <w:color w:val="000000" w:themeColor="text1"/>
                <w:sz w:val="22"/>
                <w:highlight w:val="yellow"/>
                <w:lang w:val="en-US"/>
              </w:rPr>
              <w:t xml:space="preserve">N501Y-Vorscreening von SARS-CoV-2-pos. </w:t>
            </w:r>
            <w:r>
              <w:rPr>
                <w:color w:val="000000" w:themeColor="text1"/>
                <w:sz w:val="22"/>
                <w:highlight w:val="yellow"/>
              </w:rPr>
              <w:t>Proben: ca. 40 % weisen Mutation auf; Proben vorwiegend über Berliner Gesundheitsämter zugesandt, teilw. Mehrfachproben einer Person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FG17 (Oh)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ZBS1 (Janine Michel)</w:t>
            </w: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000000" w:themeColor="text1"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11"/>
              </w:numPr>
              <w:spacing w:after="120"/>
              <w:ind w:left="476" w:hanging="357"/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Anpassung Kriterien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Entlassmanagement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(Dokument </w:t>
            </w:r>
            <w:hyperlink r:id="rId2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color w:val="000000" w:themeColor="text1"/>
                <w:sz w:val="22"/>
                <w:szCs w:val="22"/>
              </w:rPr>
              <w:t xml:space="preserve">): bei V. a. oder Nachweis von VOC 14-tägige Isolierung und Testung vor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Entisolierung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(PCR- oder Antigentest) empfohlen; Anpassung beschlossen; neue Version wird noch heute online gestellt, zusätzlich Tweet, um Aufmerksamkeit zu erhöhen</w:t>
            </w:r>
          </w:p>
        </w:tc>
        <w:tc>
          <w:tcPr>
            <w:tcW w:w="1492" w:type="dxa"/>
          </w:tcPr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IBBS (Annegret Schneider, Michaela Niebank)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11"/>
              </w:numPr>
              <w:spacing w:after="120"/>
              <w:ind w:left="484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FG14 nicht anwesend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8"/>
              </w:rPr>
              <w:t>Surveillance</w:t>
            </w:r>
          </w:p>
          <w:p>
            <w:pPr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IMS/DESH</w:t>
            </w:r>
          </w:p>
          <w:p>
            <w:pPr>
              <w:pStyle w:val="Listenabsatz"/>
              <w:numPr>
                <w:ilvl w:val="0"/>
                <w:numId w:val="29"/>
              </w:numPr>
              <w:spacing w:after="12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insges.ca. 14.000 Sequenzen, weit unterhalb 5 % Deckungsgrenze, Tendenz steigend</w:t>
            </w:r>
          </w:p>
          <w:p>
            <w:pPr>
              <w:pStyle w:val="Listenabsatz"/>
              <w:numPr>
                <w:ilvl w:val="0"/>
                <w:numId w:val="29"/>
              </w:numPr>
              <w:spacing w:after="12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Verknüpfung/</w:t>
            </w:r>
            <w:proofErr w:type="spellStart"/>
            <w:r>
              <w:rPr>
                <w:color w:val="000000" w:themeColor="text1"/>
                <w:sz w:val="22"/>
              </w:rPr>
              <w:t>Matching</w:t>
            </w:r>
            <w:proofErr w:type="spellEnd"/>
            <w:r>
              <w:rPr>
                <w:color w:val="000000" w:themeColor="text1"/>
                <w:sz w:val="22"/>
              </w:rPr>
              <w:t xml:space="preserve"> von Sequenz und Meldefall noch problematisch</w:t>
            </w:r>
          </w:p>
        </w:tc>
        <w:tc>
          <w:tcPr>
            <w:tcW w:w="1492" w:type="dxa"/>
          </w:tcPr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  <w:szCs w:val="22"/>
              </w:rPr>
              <w:t>FG36 (Stefan Kröger)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</w:rPr>
              <w:t>Kein Beitrag</w:t>
            </w:r>
          </w:p>
        </w:tc>
        <w:tc>
          <w:tcPr>
            <w:tcW w:w="1492" w:type="dxa"/>
          </w:tcPr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FG38 (Maria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an der Heiden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>)</w:t>
            </w: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84" w:hanging="283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</w:rPr>
              <w:t>Kein Beitrag</w:t>
            </w:r>
          </w:p>
        </w:tc>
        <w:tc>
          <w:tcPr>
            <w:tcW w:w="1492" w:type="dxa"/>
          </w:tcPr>
          <w:p>
            <w:pPr>
              <w:rPr>
                <w:color w:val="000000" w:themeColor="text1"/>
                <w:sz w:val="22"/>
                <w:szCs w:val="22"/>
              </w:rPr>
            </w:pP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FG38/alle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70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Nicht besprochen </w:t>
            </w:r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Nächste Sitzung: Montag, 01.03.2021, 13:00 Uhr, via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  <w:p>
            <w:pPr>
              <w:rPr>
                <w:color w:val="A6A6A6" w:themeColor="background1" w:themeShade="A6"/>
                <w:sz w:val="22"/>
                <w:szCs w:val="22"/>
              </w:rPr>
            </w:pPr>
          </w:p>
        </w:tc>
      </w:tr>
    </w:tbl>
    <w:p>
      <w:pPr>
        <w:spacing w:after="240" w:line="360" w:lineRule="auto"/>
        <w:rPr>
          <w:b/>
          <w:color w:val="A6A6A6" w:themeColor="background1" w:themeShade="A6"/>
        </w:rPr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Imhoff, Maren" w:date="2021-03-01T09:48:00Z" w:initials="MI">
    <w:p>
      <w:pPr>
        <w:pStyle w:val="Kommentartext"/>
      </w:pPr>
      <w:r>
        <w:rPr>
          <w:rStyle w:val="Kommentarzeichen"/>
        </w:rPr>
        <w:annotationRef/>
      </w:r>
      <w:r>
        <w:t>Bitte an ZBS1 hier die Zahlen zu ergänzen/korrigieren. Danke.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3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09D"/>
    <w:multiLevelType w:val="hybridMultilevel"/>
    <w:tmpl w:val="2CA87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1C8B"/>
    <w:multiLevelType w:val="hybridMultilevel"/>
    <w:tmpl w:val="4ACE512A"/>
    <w:lvl w:ilvl="0" w:tplc="04070003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03FFB"/>
    <w:multiLevelType w:val="hybridMultilevel"/>
    <w:tmpl w:val="D1B6E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77454"/>
    <w:multiLevelType w:val="hybridMultilevel"/>
    <w:tmpl w:val="2780E4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B03E6"/>
    <w:multiLevelType w:val="hybridMultilevel"/>
    <w:tmpl w:val="27F8A7F0"/>
    <w:lvl w:ilvl="0" w:tplc="470A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A033B"/>
    <w:multiLevelType w:val="hybridMultilevel"/>
    <w:tmpl w:val="341C88E6"/>
    <w:lvl w:ilvl="0" w:tplc="04070003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EB78F5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A385E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0BDE9BD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 w:themeColor="text1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A1FAD"/>
    <w:multiLevelType w:val="hybridMultilevel"/>
    <w:tmpl w:val="7EB8E72E"/>
    <w:lvl w:ilvl="0" w:tplc="63FADBCC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1" w15:restartNumberingAfterBreak="0">
    <w:nsid w:val="30417D3C"/>
    <w:multiLevelType w:val="hybridMultilevel"/>
    <w:tmpl w:val="6D54BF1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496E56"/>
    <w:multiLevelType w:val="hybridMultilevel"/>
    <w:tmpl w:val="542207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6E5A4B"/>
    <w:multiLevelType w:val="hybridMultilevel"/>
    <w:tmpl w:val="71EE559C"/>
    <w:lvl w:ilvl="0" w:tplc="04070003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930149"/>
    <w:multiLevelType w:val="hybridMultilevel"/>
    <w:tmpl w:val="B6B2499C"/>
    <w:lvl w:ilvl="0" w:tplc="0407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4403638E"/>
    <w:multiLevelType w:val="hybridMultilevel"/>
    <w:tmpl w:val="6226C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C0845"/>
    <w:multiLevelType w:val="hybridMultilevel"/>
    <w:tmpl w:val="04FA270C"/>
    <w:lvl w:ilvl="0" w:tplc="0409000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 w15:restartNumberingAfterBreak="0">
    <w:nsid w:val="45382E73"/>
    <w:multiLevelType w:val="hybridMultilevel"/>
    <w:tmpl w:val="406C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416C4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63F31"/>
    <w:multiLevelType w:val="hybridMultilevel"/>
    <w:tmpl w:val="FF5CF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33345"/>
    <w:multiLevelType w:val="hybridMultilevel"/>
    <w:tmpl w:val="9B2A0B5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0B590A"/>
    <w:multiLevelType w:val="hybridMultilevel"/>
    <w:tmpl w:val="FDDC95FA"/>
    <w:lvl w:ilvl="0" w:tplc="1430C7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13E3E"/>
    <w:multiLevelType w:val="hybridMultilevel"/>
    <w:tmpl w:val="981C14C2"/>
    <w:lvl w:ilvl="0" w:tplc="AC44474A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5" w15:restartNumberingAfterBreak="0">
    <w:nsid w:val="72D07176"/>
    <w:multiLevelType w:val="hybridMultilevel"/>
    <w:tmpl w:val="6506E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6546">
      <w:start w:val="15"/>
      <w:numFmt w:val="bullet"/>
      <w:lvlText w:val="-"/>
      <w:lvlJc w:val="left"/>
      <w:pPr>
        <w:ind w:left="2880" w:hanging="360"/>
      </w:pPr>
      <w:rPr>
        <w:rFonts w:ascii="Cambria" w:eastAsiaTheme="minorHAnsi" w:hAnsi="Cambria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844E2"/>
    <w:multiLevelType w:val="hybridMultilevel"/>
    <w:tmpl w:val="A18AD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21"/>
  </w:num>
  <w:num w:numId="5">
    <w:abstractNumId w:val="8"/>
  </w:num>
  <w:num w:numId="6">
    <w:abstractNumId w:val="19"/>
  </w:num>
  <w:num w:numId="7">
    <w:abstractNumId w:val="25"/>
  </w:num>
  <w:num w:numId="8">
    <w:abstractNumId w:val="16"/>
  </w:num>
  <w:num w:numId="9">
    <w:abstractNumId w:val="9"/>
  </w:num>
  <w:num w:numId="10">
    <w:abstractNumId w:val="15"/>
  </w:num>
  <w:num w:numId="11">
    <w:abstractNumId w:val="10"/>
  </w:num>
  <w:num w:numId="12">
    <w:abstractNumId w:val="1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4"/>
  </w:num>
  <w:num w:numId="16">
    <w:abstractNumId w:val="0"/>
  </w:num>
  <w:num w:numId="17">
    <w:abstractNumId w:val="20"/>
  </w:num>
  <w:num w:numId="18">
    <w:abstractNumId w:val="11"/>
  </w:num>
  <w:num w:numId="19">
    <w:abstractNumId w:val="1"/>
  </w:num>
  <w:num w:numId="20">
    <w:abstractNumId w:val="24"/>
  </w:num>
  <w:num w:numId="21">
    <w:abstractNumId w:val="13"/>
  </w:num>
  <w:num w:numId="22">
    <w:abstractNumId w:val="12"/>
  </w:num>
  <w:num w:numId="23">
    <w:abstractNumId w:val="22"/>
  </w:num>
  <w:num w:numId="24">
    <w:abstractNumId w:val="5"/>
  </w:num>
  <w:num w:numId="25">
    <w:abstractNumId w:val="17"/>
  </w:num>
  <w:num w:numId="26">
    <w:abstractNumId w:val="23"/>
  </w:num>
  <w:num w:numId="27">
    <w:abstractNumId w:val="7"/>
  </w:num>
  <w:num w:numId="28">
    <w:abstractNumId w:val="6"/>
  </w:num>
  <w:num w:numId="29">
    <w:abstractNumId w:val="1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mhoff, Maren">
    <w15:presenceInfo w15:providerId="None" w15:userId="Imhoff, Ma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1-02-26_Lage_AG\Aktualisierung_Risikobewertung%20zu%20COVID-2021-02-26-final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S:\Wissdaten\RKI_nCoV-Lage\1.Lagemanagement\1.3.Besprechungen_TKs\1.Lage_AG\2021-02-26_Lage_AG\Entlassmanagement-Entwurf.pdf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1-02-26_Lage_AG\Situationsbericht%20Lk%20Leer%20wegen%20britischer%20VOC.ms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02-26_Lage_AG\Krisenstab%20Vorl&#228;ufige%20Ergebnisse%20Amtshilfe%20GA%20Bergstra&#223;e_final.pptx" TargetMode="Externa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02-26_Lage_AG\Lage-National_2021-02-26.pptx" TargetMode="Externa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1-02-26_Lage_AG\Update-Impfen_26Feb2021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1-02-26_Lage_AG\COVID-19_Internationale_Lage_2021-02-26.ppt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6C443-182A-4976-B78E-41DA9747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1630</Words>
  <Characters>10274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7</cp:revision>
  <cp:lastPrinted>2020-05-06T16:43:00Z</cp:lastPrinted>
  <dcterms:created xsi:type="dcterms:W3CDTF">2021-02-26T20:42:00Z</dcterms:created>
  <dcterms:modified xsi:type="dcterms:W3CDTF">2021-05-10T15:09:00Z</dcterms:modified>
</cp:coreProperties>
</file>