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berschrift1"/>
      </w:pPr>
      <w:r>
        <w:t>Krisenstabssitzung „Neuartiges Coronavirus (COVID-19)“</w:t>
      </w:r>
    </w:p>
    <w:p>
      <w:r>
        <w:t>Ergebnisprotokoll</w:t>
      </w:r>
    </w:p>
    <w:p>
      <w:pPr>
        <w:rPr>
          <w:i/>
        </w:rPr>
      </w:pPr>
      <w:r>
        <w:rPr>
          <w:i/>
        </w:rPr>
        <w:t>(Aktenzeichen: 4.06.02/0024#0014)</w:t>
      </w:r>
    </w:p>
    <w:p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solid" w:color="D9D9D9" w:themeColor="background1" w:themeShade="D9" w:fill="auto"/>
        <w:spacing w:line="276" w:lineRule="auto"/>
        <w:rPr>
          <w:i/>
          <w:sz w:val="22"/>
        </w:rPr>
      </w:pPr>
      <w:r>
        <w:rPr>
          <w:b/>
          <w:i/>
          <w:sz w:val="22"/>
        </w:rPr>
        <w:t>Anlass:</w:t>
      </w:r>
      <w:r>
        <w:rPr>
          <w:i/>
          <w:sz w:val="22"/>
        </w:rPr>
        <w:t xml:space="preserve"> </w:t>
      </w:r>
      <w:r>
        <w:rPr>
          <w:i/>
          <w:sz w:val="22"/>
        </w:rPr>
        <w:tab/>
      </w:r>
      <w:r>
        <w:rPr>
          <w:i/>
          <w:sz w:val="22"/>
        </w:rPr>
        <w:tab/>
      </w:r>
      <w:sdt>
        <w:sdtPr>
          <w:rPr>
            <w:i/>
            <w:sz w:val="22"/>
          </w:rPr>
          <w:id w:val="-1069258484"/>
          <w:placeholder>
            <w:docPart w:val="DefaultPlaceholder_1082065158"/>
          </w:placeholder>
        </w:sdtPr>
        <w:sdtContent>
          <w:sdt>
            <w:sdtPr>
              <w:rPr>
                <w:i/>
                <w:sz w:val="22"/>
              </w:rPr>
              <w:id w:val="334350100"/>
              <w:placeholder>
                <w:docPart w:val="0A67EC378ADB4363968F76466F3994ED"/>
              </w:placeholder>
            </w:sdtPr>
            <w:sdtContent>
              <w:r>
                <w:rPr>
                  <w:sz w:val="22"/>
                </w:rPr>
                <w:t>Neuartiges Coronavirus (COVID-19)</w:t>
              </w:r>
            </w:sdtContent>
          </w:sdt>
        </w:sdtContent>
      </w:sdt>
    </w:p>
    <w:p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solid" w:color="D9D9D9" w:themeColor="background1" w:themeShade="D9" w:fill="auto"/>
        <w:spacing w:line="276" w:lineRule="auto"/>
        <w:rPr>
          <w:i/>
          <w:sz w:val="22"/>
        </w:rPr>
      </w:pPr>
      <w:r>
        <w:rPr>
          <w:b/>
          <w:i/>
          <w:sz w:val="22"/>
        </w:rPr>
        <w:t>Datum:</w:t>
      </w:r>
      <w:r>
        <w:rPr>
          <w:i/>
          <w:sz w:val="22"/>
        </w:rPr>
        <w:t xml:space="preserve"> </w:t>
      </w:r>
      <w:r>
        <w:rPr>
          <w:i/>
          <w:sz w:val="22"/>
        </w:rPr>
        <w:tab/>
      </w:r>
      <w:r>
        <w:rPr>
          <w:i/>
          <w:sz w:val="22"/>
        </w:rPr>
        <w:tab/>
      </w:r>
      <w:sdt>
        <w:sdtPr>
          <w:rPr>
            <w:i/>
            <w:sz w:val="22"/>
          </w:rPr>
          <w:id w:val="1092433924"/>
          <w:placeholder>
            <w:docPart w:val="DefaultPlaceholder_1082065158"/>
          </w:placeholder>
        </w:sdtPr>
        <w:sdtContent>
          <w:r>
            <w:rPr>
              <w:i/>
              <w:sz w:val="22"/>
            </w:rPr>
            <w:t>05.03.2021, 11:00 Uhr</w:t>
          </w:r>
        </w:sdtContent>
      </w:sdt>
    </w:p>
    <w:p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solid" w:color="D9D9D9" w:themeColor="background1" w:themeShade="D9" w:fill="auto"/>
        <w:spacing w:line="276" w:lineRule="auto"/>
        <w:rPr>
          <w:sz w:val="22"/>
        </w:rPr>
      </w:pPr>
      <w:r>
        <w:rPr>
          <w:b/>
          <w:i/>
          <w:sz w:val="22"/>
        </w:rPr>
        <w:t>Sitzungsort:</w:t>
      </w:r>
      <w:r>
        <w:rPr>
          <w:b/>
          <w:i/>
          <w:sz w:val="22"/>
        </w:rPr>
        <w:tab/>
      </w:r>
      <w:r>
        <w:rPr>
          <w:b/>
          <w:i/>
          <w:sz w:val="22"/>
        </w:rPr>
        <w:tab/>
      </w:r>
      <w:sdt>
        <w:sdtPr>
          <w:rPr>
            <w:sz w:val="22"/>
          </w:rPr>
          <w:id w:val="1344203332"/>
          <w:placeholder>
            <w:docPart w:val="0F773A1FCB61483A80E8B309D8E6A01A"/>
          </w:placeholder>
        </w:sdtPr>
        <w:sdtContent>
          <w:r>
            <w:rPr>
              <w:i/>
              <w:sz w:val="22"/>
              <w:szCs w:val="22"/>
            </w:rPr>
            <w:t>WebEx Konferenz</w:t>
          </w:r>
        </w:sdtContent>
      </w:sdt>
    </w:p>
    <w:p>
      <w:pPr>
        <w:rPr>
          <w:b/>
          <w:sz w:val="22"/>
        </w:rPr>
      </w:pPr>
      <w:r>
        <w:rPr>
          <w:b/>
          <w:sz w:val="22"/>
        </w:rPr>
        <w:t>Moderation:  Lars Schaade</w:t>
      </w:r>
    </w:p>
    <w:p>
      <w:pPr>
        <w:rPr>
          <w:b/>
          <w:sz w:val="22"/>
        </w:rPr>
      </w:pPr>
      <w:r>
        <w:rPr>
          <w:b/>
          <w:sz w:val="22"/>
        </w:rPr>
        <w:t xml:space="preserve">Teilnehmende: 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9"/>
        <w:gridCol w:w="4151"/>
      </w:tblGrid>
      <w:tr>
        <w:tc>
          <w:tcPr>
            <w:tcW w:w="4220" w:type="dxa"/>
          </w:tcPr>
          <w:p>
            <w:pPr>
              <w:pStyle w:val="Listenabsatz"/>
              <w:numPr>
                <w:ilvl w:val="0"/>
                <w:numId w:val="4"/>
              </w:numPr>
              <w:contextualSpacing w:val="0"/>
              <w:rPr>
                <w:sz w:val="22"/>
              </w:rPr>
            </w:pPr>
            <w:r>
              <w:rPr>
                <w:sz w:val="22"/>
              </w:rPr>
              <w:t>Institutsleitung</w:t>
            </w:r>
          </w:p>
          <w:p>
            <w:pPr>
              <w:pStyle w:val="Listenabsatz"/>
              <w:numPr>
                <w:ilvl w:val="1"/>
                <w:numId w:val="2"/>
              </w:numPr>
              <w:contextualSpacing w:val="0"/>
              <w:rPr>
                <w:sz w:val="22"/>
              </w:rPr>
            </w:pPr>
            <w:r>
              <w:rPr>
                <w:sz w:val="22"/>
              </w:rPr>
              <w:t>Lars Schaade</w:t>
            </w:r>
          </w:p>
          <w:p>
            <w:pPr>
              <w:pStyle w:val="Listenabsatz"/>
              <w:numPr>
                <w:ilvl w:val="1"/>
                <w:numId w:val="2"/>
              </w:numPr>
              <w:contextualSpacing w:val="0"/>
              <w:rPr>
                <w:sz w:val="22"/>
              </w:rPr>
            </w:pPr>
            <w:r>
              <w:rPr>
                <w:sz w:val="22"/>
              </w:rPr>
              <w:t>Lothar Wieler</w:t>
            </w:r>
          </w:p>
          <w:p>
            <w:pPr>
              <w:pStyle w:val="Listenabsatz"/>
              <w:numPr>
                <w:ilvl w:val="0"/>
                <w:numId w:val="2"/>
              </w:numPr>
              <w:contextualSpacing w:val="0"/>
              <w:rPr>
                <w:sz w:val="22"/>
              </w:rPr>
            </w:pPr>
            <w:r>
              <w:rPr>
                <w:sz w:val="22"/>
              </w:rPr>
              <w:t xml:space="preserve">AL2 </w:t>
            </w:r>
          </w:p>
          <w:p>
            <w:pPr>
              <w:pStyle w:val="Listenabsatz"/>
              <w:numPr>
                <w:ilvl w:val="1"/>
                <w:numId w:val="2"/>
              </w:numPr>
              <w:contextualSpacing w:val="0"/>
              <w:rPr>
                <w:sz w:val="22"/>
              </w:rPr>
            </w:pPr>
            <w:r>
              <w:rPr>
                <w:sz w:val="22"/>
              </w:rPr>
              <w:t>Thomas Ziese</w:t>
            </w:r>
          </w:p>
          <w:p>
            <w:pPr>
              <w:pStyle w:val="Listenabsatz"/>
              <w:numPr>
                <w:ilvl w:val="0"/>
                <w:numId w:val="2"/>
              </w:numPr>
              <w:contextualSpacing w:val="0"/>
              <w:rPr>
                <w:sz w:val="22"/>
              </w:rPr>
            </w:pPr>
            <w:r>
              <w:rPr>
                <w:sz w:val="22"/>
              </w:rPr>
              <w:t>AL3/Abt. 3</w:t>
            </w:r>
          </w:p>
          <w:p>
            <w:pPr>
              <w:pStyle w:val="Listenabsatz"/>
              <w:numPr>
                <w:ilvl w:val="1"/>
                <w:numId w:val="2"/>
              </w:numPr>
              <w:contextualSpacing w:val="0"/>
              <w:rPr>
                <w:sz w:val="22"/>
              </w:rPr>
            </w:pPr>
            <w:r>
              <w:rPr>
                <w:sz w:val="22"/>
              </w:rPr>
              <w:t>Osamah Hamouda</w:t>
            </w:r>
          </w:p>
          <w:p>
            <w:pPr>
              <w:pStyle w:val="Listenabsatz"/>
              <w:numPr>
                <w:ilvl w:val="1"/>
                <w:numId w:val="2"/>
              </w:numPr>
              <w:rPr>
                <w:sz w:val="22"/>
              </w:rPr>
            </w:pPr>
            <w:r>
              <w:rPr>
                <w:sz w:val="22"/>
              </w:rPr>
              <w:t>Tanja Jung-Sendzik</w:t>
            </w:r>
          </w:p>
          <w:p>
            <w:pPr>
              <w:pStyle w:val="Listenabsatz"/>
              <w:numPr>
                <w:ilvl w:val="0"/>
                <w:numId w:val="2"/>
              </w:numPr>
              <w:spacing w:line="233" w:lineRule="auto"/>
              <w:ind w:hanging="357"/>
              <w:contextualSpacing w:val="0"/>
              <w:rPr>
                <w:sz w:val="22"/>
              </w:rPr>
            </w:pPr>
            <w:r>
              <w:rPr>
                <w:sz w:val="22"/>
              </w:rPr>
              <w:t>ZIG</w:t>
            </w:r>
          </w:p>
          <w:p>
            <w:pPr>
              <w:pStyle w:val="Listenabsatz"/>
              <w:numPr>
                <w:ilvl w:val="1"/>
                <w:numId w:val="2"/>
              </w:numPr>
              <w:spacing w:line="233" w:lineRule="auto"/>
              <w:ind w:hanging="357"/>
              <w:contextualSpacing w:val="0"/>
              <w:rPr>
                <w:sz w:val="22"/>
              </w:rPr>
            </w:pPr>
            <w:r>
              <w:rPr>
                <w:sz w:val="22"/>
              </w:rPr>
              <w:t>Luisa Denkel</w:t>
            </w:r>
          </w:p>
          <w:p>
            <w:pPr>
              <w:pStyle w:val="Listenabsatz"/>
              <w:numPr>
                <w:ilvl w:val="0"/>
                <w:numId w:val="4"/>
              </w:numPr>
              <w:contextualSpacing w:val="0"/>
              <w:rPr>
                <w:sz w:val="22"/>
              </w:rPr>
            </w:pPr>
            <w:r>
              <w:rPr>
                <w:sz w:val="22"/>
              </w:rPr>
              <w:t>FG12</w:t>
            </w:r>
          </w:p>
          <w:p>
            <w:pPr>
              <w:pStyle w:val="Listenabsatz"/>
              <w:numPr>
                <w:ilvl w:val="1"/>
                <w:numId w:val="2"/>
              </w:numPr>
              <w:contextualSpacing w:val="0"/>
              <w:rPr>
                <w:sz w:val="22"/>
              </w:rPr>
            </w:pPr>
            <w:r>
              <w:rPr>
                <w:sz w:val="22"/>
              </w:rPr>
              <w:t>Annette Mankertz</w:t>
            </w:r>
          </w:p>
          <w:p>
            <w:pPr>
              <w:pStyle w:val="Listenabsatz"/>
              <w:numPr>
                <w:ilvl w:val="0"/>
                <w:numId w:val="4"/>
              </w:numPr>
              <w:contextualSpacing w:val="0"/>
              <w:rPr>
                <w:sz w:val="22"/>
              </w:rPr>
            </w:pPr>
            <w:r>
              <w:rPr>
                <w:sz w:val="22"/>
              </w:rPr>
              <w:t>FG14</w:t>
            </w:r>
          </w:p>
          <w:p>
            <w:pPr>
              <w:pStyle w:val="Listenabsatz"/>
              <w:numPr>
                <w:ilvl w:val="1"/>
                <w:numId w:val="2"/>
              </w:numPr>
              <w:contextualSpacing w:val="0"/>
              <w:rPr>
                <w:sz w:val="22"/>
              </w:rPr>
            </w:pPr>
            <w:r>
              <w:rPr>
                <w:sz w:val="22"/>
              </w:rPr>
              <w:t>Melanie Brunke</w:t>
            </w:r>
          </w:p>
          <w:p>
            <w:pPr>
              <w:pStyle w:val="Listenabsatz"/>
              <w:numPr>
                <w:ilvl w:val="0"/>
                <w:numId w:val="2"/>
              </w:numPr>
              <w:contextualSpacing w:val="0"/>
              <w:rPr>
                <w:sz w:val="22"/>
              </w:rPr>
            </w:pPr>
            <w:r>
              <w:rPr>
                <w:sz w:val="22"/>
              </w:rPr>
              <w:t>FG17</w:t>
            </w:r>
          </w:p>
          <w:p>
            <w:pPr>
              <w:pStyle w:val="Listenabsatz"/>
              <w:numPr>
                <w:ilvl w:val="1"/>
                <w:numId w:val="2"/>
              </w:numPr>
              <w:contextualSpacing w:val="0"/>
              <w:rPr>
                <w:sz w:val="22"/>
              </w:rPr>
            </w:pPr>
            <w:r>
              <w:rPr>
                <w:sz w:val="22"/>
              </w:rPr>
              <w:t>Djin-Ye Oh</w:t>
            </w:r>
          </w:p>
          <w:p>
            <w:pPr>
              <w:pStyle w:val="Listenabsatz"/>
              <w:numPr>
                <w:ilvl w:val="0"/>
                <w:numId w:val="2"/>
              </w:numPr>
              <w:contextualSpacing w:val="0"/>
              <w:rPr>
                <w:sz w:val="22"/>
              </w:rPr>
            </w:pPr>
            <w:r>
              <w:rPr>
                <w:sz w:val="22"/>
              </w:rPr>
              <w:t>FG21</w:t>
            </w:r>
          </w:p>
          <w:p>
            <w:pPr>
              <w:pStyle w:val="Listenabsatz"/>
              <w:numPr>
                <w:ilvl w:val="1"/>
                <w:numId w:val="2"/>
              </w:numPr>
              <w:contextualSpacing w:val="0"/>
              <w:rPr>
                <w:sz w:val="22"/>
              </w:rPr>
            </w:pPr>
            <w:r>
              <w:rPr>
                <w:sz w:val="22"/>
              </w:rPr>
              <w:t>Patrick Schmich</w:t>
            </w:r>
          </w:p>
          <w:p>
            <w:pPr>
              <w:pStyle w:val="Listenabsatz"/>
              <w:numPr>
                <w:ilvl w:val="1"/>
                <w:numId w:val="2"/>
              </w:numPr>
              <w:contextualSpacing w:val="0"/>
              <w:rPr>
                <w:sz w:val="22"/>
              </w:rPr>
            </w:pPr>
            <w:r>
              <w:rPr>
                <w:sz w:val="22"/>
              </w:rPr>
              <w:t>Hendrik Wilking</w:t>
            </w:r>
          </w:p>
          <w:p>
            <w:pPr>
              <w:pStyle w:val="Listenabsatz"/>
              <w:numPr>
                <w:ilvl w:val="1"/>
                <w:numId w:val="2"/>
              </w:numPr>
              <w:contextualSpacing w:val="0"/>
              <w:rPr>
                <w:sz w:val="22"/>
              </w:rPr>
            </w:pPr>
            <w:r>
              <w:rPr>
                <w:sz w:val="22"/>
              </w:rPr>
              <w:t>Wolfgang Scheida</w:t>
            </w:r>
          </w:p>
          <w:p>
            <w:pPr>
              <w:pStyle w:val="Listenabsatz"/>
              <w:numPr>
                <w:ilvl w:val="0"/>
                <w:numId w:val="5"/>
              </w:numPr>
              <w:contextualSpacing w:val="0"/>
              <w:rPr>
                <w:sz w:val="22"/>
              </w:rPr>
            </w:pPr>
            <w:r>
              <w:rPr>
                <w:sz w:val="22"/>
              </w:rPr>
              <w:t>FG 32</w:t>
            </w:r>
          </w:p>
          <w:p>
            <w:pPr>
              <w:pStyle w:val="Listenabsatz"/>
              <w:numPr>
                <w:ilvl w:val="1"/>
                <w:numId w:val="2"/>
              </w:numPr>
              <w:contextualSpacing w:val="0"/>
              <w:rPr>
                <w:sz w:val="22"/>
              </w:rPr>
            </w:pPr>
            <w:r>
              <w:rPr>
                <w:sz w:val="22"/>
              </w:rPr>
              <w:t>Michaela Diercke</w:t>
            </w:r>
          </w:p>
          <w:p>
            <w:pPr>
              <w:pStyle w:val="Listenabsatz"/>
              <w:numPr>
                <w:ilvl w:val="0"/>
                <w:numId w:val="2"/>
              </w:numPr>
              <w:contextualSpacing w:val="0"/>
              <w:rPr>
                <w:sz w:val="22"/>
              </w:rPr>
            </w:pPr>
            <w:r>
              <w:rPr>
                <w:sz w:val="22"/>
              </w:rPr>
              <w:t>FG33</w:t>
            </w:r>
          </w:p>
          <w:p>
            <w:pPr>
              <w:pStyle w:val="Listenabsatz"/>
              <w:numPr>
                <w:ilvl w:val="1"/>
                <w:numId w:val="2"/>
              </w:numPr>
              <w:contextualSpacing w:val="0"/>
              <w:rPr>
                <w:sz w:val="22"/>
              </w:rPr>
            </w:pPr>
            <w:r>
              <w:rPr>
                <w:sz w:val="22"/>
              </w:rPr>
              <w:t>Ole Wichmann</w:t>
            </w:r>
          </w:p>
          <w:p>
            <w:pPr>
              <w:pStyle w:val="Listenabsatz"/>
              <w:numPr>
                <w:ilvl w:val="0"/>
                <w:numId w:val="2"/>
              </w:numPr>
              <w:contextualSpacing w:val="0"/>
              <w:rPr>
                <w:sz w:val="22"/>
              </w:rPr>
            </w:pPr>
            <w:r>
              <w:rPr>
                <w:sz w:val="22"/>
              </w:rPr>
              <w:t>FG34</w:t>
            </w:r>
          </w:p>
          <w:p>
            <w:pPr>
              <w:pStyle w:val="Listenabsatz"/>
              <w:numPr>
                <w:ilvl w:val="1"/>
                <w:numId w:val="2"/>
              </w:numPr>
              <w:contextualSpacing w:val="0"/>
              <w:rPr>
                <w:sz w:val="22"/>
              </w:rPr>
            </w:pPr>
            <w:r>
              <w:rPr>
                <w:sz w:val="22"/>
              </w:rPr>
              <w:t>Viviane Bremer</w:t>
            </w:r>
          </w:p>
          <w:p>
            <w:pPr>
              <w:pStyle w:val="Listenabsatz"/>
              <w:numPr>
                <w:ilvl w:val="1"/>
                <w:numId w:val="2"/>
              </w:numPr>
              <w:contextualSpacing w:val="0"/>
              <w:rPr>
                <w:sz w:val="22"/>
              </w:rPr>
            </w:pPr>
            <w:r>
              <w:rPr>
                <w:sz w:val="22"/>
              </w:rPr>
              <w:t>Matthias an der Heiden</w:t>
            </w:r>
          </w:p>
        </w:tc>
        <w:tc>
          <w:tcPr>
            <w:tcW w:w="4220" w:type="dxa"/>
          </w:tcPr>
          <w:p>
            <w:pPr>
              <w:pStyle w:val="Listenabsatz"/>
              <w:numPr>
                <w:ilvl w:val="0"/>
                <w:numId w:val="2"/>
              </w:numPr>
              <w:contextualSpacing w:val="0"/>
              <w:rPr>
                <w:sz w:val="22"/>
              </w:rPr>
            </w:pPr>
            <w:r>
              <w:rPr>
                <w:sz w:val="22"/>
              </w:rPr>
              <w:t>FG36</w:t>
            </w:r>
          </w:p>
          <w:p>
            <w:pPr>
              <w:pStyle w:val="Listenabsatz"/>
              <w:numPr>
                <w:ilvl w:val="1"/>
                <w:numId w:val="2"/>
              </w:numPr>
              <w:contextualSpacing w:val="0"/>
              <w:rPr>
                <w:sz w:val="22"/>
              </w:rPr>
            </w:pPr>
            <w:r>
              <w:rPr>
                <w:sz w:val="22"/>
              </w:rPr>
              <w:t>Walther Haas</w:t>
            </w:r>
          </w:p>
          <w:p>
            <w:pPr>
              <w:pStyle w:val="Listenabsatz"/>
              <w:numPr>
                <w:ilvl w:val="1"/>
                <w:numId w:val="2"/>
              </w:numPr>
              <w:contextualSpacing w:val="0"/>
              <w:rPr>
                <w:sz w:val="22"/>
              </w:rPr>
            </w:pPr>
            <w:r>
              <w:rPr>
                <w:sz w:val="22"/>
              </w:rPr>
              <w:t>Stefan Kröger</w:t>
            </w:r>
          </w:p>
          <w:p>
            <w:pPr>
              <w:pStyle w:val="Listenabsatz"/>
              <w:numPr>
                <w:ilvl w:val="0"/>
                <w:numId w:val="2"/>
              </w:numPr>
              <w:contextualSpacing w:val="0"/>
              <w:rPr>
                <w:sz w:val="22"/>
              </w:rPr>
            </w:pPr>
            <w:r>
              <w:rPr>
                <w:sz w:val="22"/>
              </w:rPr>
              <w:t>FG37</w:t>
            </w:r>
          </w:p>
          <w:p>
            <w:pPr>
              <w:pStyle w:val="Listenabsatz"/>
              <w:numPr>
                <w:ilvl w:val="1"/>
                <w:numId w:val="2"/>
              </w:numPr>
              <w:contextualSpacing w:val="0"/>
              <w:rPr>
                <w:sz w:val="22"/>
              </w:rPr>
            </w:pPr>
            <w:r>
              <w:rPr>
                <w:sz w:val="22"/>
              </w:rPr>
              <w:t>Sebastian Haller</w:t>
            </w:r>
          </w:p>
          <w:p>
            <w:pPr>
              <w:pStyle w:val="Listenabsatz"/>
              <w:numPr>
                <w:ilvl w:val="0"/>
                <w:numId w:val="2"/>
              </w:numPr>
              <w:contextualSpacing w:val="0"/>
              <w:rPr>
                <w:sz w:val="22"/>
              </w:rPr>
            </w:pPr>
            <w:r>
              <w:rPr>
                <w:sz w:val="22"/>
              </w:rPr>
              <w:t>FG38</w:t>
            </w:r>
          </w:p>
          <w:p>
            <w:pPr>
              <w:pStyle w:val="Listenabsatz"/>
              <w:numPr>
                <w:ilvl w:val="1"/>
                <w:numId w:val="2"/>
              </w:numPr>
              <w:contextualSpacing w:val="0"/>
              <w:rPr>
                <w:sz w:val="22"/>
              </w:rPr>
            </w:pPr>
            <w:r>
              <w:rPr>
                <w:sz w:val="22"/>
              </w:rPr>
              <w:t>Ute Rexroth</w:t>
            </w:r>
          </w:p>
          <w:p>
            <w:pPr>
              <w:pStyle w:val="Listenabsatz"/>
              <w:numPr>
                <w:ilvl w:val="1"/>
                <w:numId w:val="2"/>
              </w:numPr>
              <w:contextualSpacing w:val="0"/>
              <w:rPr>
                <w:sz w:val="22"/>
              </w:rPr>
            </w:pPr>
            <w:r>
              <w:rPr>
                <w:sz w:val="22"/>
              </w:rPr>
              <w:t>Maria an der Heiden</w:t>
            </w:r>
          </w:p>
          <w:p>
            <w:pPr>
              <w:pStyle w:val="Listenabsatz"/>
              <w:numPr>
                <w:ilvl w:val="1"/>
                <w:numId w:val="2"/>
              </w:numPr>
              <w:contextualSpacing w:val="0"/>
              <w:rPr>
                <w:sz w:val="22"/>
              </w:rPr>
            </w:pPr>
            <w:r>
              <w:rPr>
                <w:sz w:val="22"/>
              </w:rPr>
              <w:t>Petra v. Berenberg (Protokoll)</w:t>
            </w:r>
          </w:p>
          <w:p>
            <w:pPr>
              <w:pStyle w:val="Listenabsatz"/>
              <w:numPr>
                <w:ilvl w:val="0"/>
                <w:numId w:val="2"/>
              </w:numPr>
              <w:contextualSpacing w:val="0"/>
              <w:rPr>
                <w:sz w:val="22"/>
              </w:rPr>
            </w:pPr>
            <w:r>
              <w:rPr>
                <w:sz w:val="22"/>
              </w:rPr>
              <w:t>P1</w:t>
            </w:r>
          </w:p>
          <w:p>
            <w:pPr>
              <w:pStyle w:val="Listenabsatz"/>
              <w:numPr>
                <w:ilvl w:val="1"/>
                <w:numId w:val="2"/>
              </w:numPr>
              <w:contextualSpacing w:val="0"/>
              <w:rPr>
                <w:sz w:val="22"/>
              </w:rPr>
            </w:pPr>
            <w:r>
              <w:rPr>
                <w:sz w:val="22"/>
              </w:rPr>
              <w:t>Ines Lein</w:t>
            </w:r>
          </w:p>
          <w:p>
            <w:pPr>
              <w:pStyle w:val="Listenabsatz"/>
              <w:numPr>
                <w:ilvl w:val="0"/>
                <w:numId w:val="2"/>
              </w:numPr>
              <w:contextualSpacing w:val="0"/>
              <w:rPr>
                <w:sz w:val="22"/>
              </w:rPr>
            </w:pPr>
            <w:r>
              <w:rPr>
                <w:sz w:val="22"/>
              </w:rPr>
              <w:t>Presse</w:t>
            </w:r>
          </w:p>
          <w:p>
            <w:pPr>
              <w:pStyle w:val="Listenabsatz"/>
              <w:numPr>
                <w:ilvl w:val="1"/>
                <w:numId w:val="2"/>
              </w:numPr>
              <w:contextualSpacing w:val="0"/>
              <w:rPr>
                <w:sz w:val="22"/>
              </w:rPr>
            </w:pPr>
            <w:r>
              <w:rPr>
                <w:sz w:val="22"/>
              </w:rPr>
              <w:t>Jamela Seedat</w:t>
            </w:r>
          </w:p>
          <w:p>
            <w:pPr>
              <w:pStyle w:val="Listenabsatz"/>
              <w:numPr>
                <w:ilvl w:val="0"/>
                <w:numId w:val="2"/>
              </w:numPr>
              <w:contextualSpacing w:val="0"/>
              <w:rPr>
                <w:sz w:val="22"/>
              </w:rPr>
            </w:pPr>
            <w:r>
              <w:rPr>
                <w:sz w:val="22"/>
              </w:rPr>
              <w:t>ZBS1</w:t>
            </w:r>
          </w:p>
          <w:p>
            <w:pPr>
              <w:pStyle w:val="Listenabsatz"/>
              <w:numPr>
                <w:ilvl w:val="1"/>
                <w:numId w:val="2"/>
              </w:numPr>
              <w:contextualSpacing w:val="0"/>
              <w:rPr>
                <w:sz w:val="22"/>
              </w:rPr>
            </w:pPr>
            <w:r>
              <w:rPr>
                <w:sz w:val="22"/>
              </w:rPr>
              <w:t>Janine Michel</w:t>
            </w:r>
          </w:p>
          <w:p>
            <w:pPr>
              <w:pStyle w:val="Listenabsatz"/>
              <w:numPr>
                <w:ilvl w:val="1"/>
                <w:numId w:val="2"/>
              </w:numPr>
              <w:rPr>
                <w:sz w:val="22"/>
              </w:rPr>
            </w:pPr>
            <w:r>
              <w:rPr>
                <w:sz w:val="22"/>
              </w:rPr>
              <w:t>Claudia Schulz-Weidhaas</w:t>
            </w:r>
          </w:p>
          <w:p>
            <w:pPr>
              <w:pStyle w:val="Listenabsatz"/>
              <w:numPr>
                <w:ilvl w:val="0"/>
                <w:numId w:val="2"/>
              </w:numPr>
              <w:contextualSpacing w:val="0"/>
              <w:rPr>
                <w:sz w:val="22"/>
              </w:rPr>
            </w:pPr>
            <w:r>
              <w:rPr>
                <w:sz w:val="22"/>
              </w:rPr>
              <w:t>ZIG1</w:t>
            </w:r>
          </w:p>
          <w:p>
            <w:pPr>
              <w:pStyle w:val="Listenabsatz"/>
              <w:numPr>
                <w:ilvl w:val="1"/>
                <w:numId w:val="2"/>
              </w:numPr>
              <w:rPr>
                <w:sz w:val="22"/>
              </w:rPr>
            </w:pPr>
            <w:r>
              <w:rPr>
                <w:sz w:val="22"/>
              </w:rPr>
              <w:t>Regina Singer</w:t>
            </w:r>
          </w:p>
          <w:p>
            <w:pPr>
              <w:pStyle w:val="Listenabsatz"/>
              <w:ind w:left="1440"/>
              <w:contextualSpacing w:val="0"/>
              <w:rPr>
                <w:sz w:val="22"/>
              </w:rPr>
            </w:pPr>
          </w:p>
        </w:tc>
      </w:tr>
      <w:tr>
        <w:tc>
          <w:tcPr>
            <w:tcW w:w="4220" w:type="dxa"/>
          </w:tcPr>
          <w:p>
            <w:pPr>
              <w:rPr>
                <w:sz w:val="22"/>
                <w:highlight w:val="yellow"/>
              </w:rPr>
            </w:pPr>
          </w:p>
        </w:tc>
        <w:tc>
          <w:tcPr>
            <w:tcW w:w="4220" w:type="dxa"/>
          </w:tcPr>
          <w:p>
            <w:pPr>
              <w:rPr>
                <w:sz w:val="22"/>
                <w:highlight w:val="yellow"/>
              </w:rPr>
            </w:pPr>
          </w:p>
        </w:tc>
      </w:tr>
    </w:tbl>
    <w:p>
      <w:pPr>
        <w:rPr>
          <w:b/>
          <w:sz w:val="22"/>
        </w:rPr>
      </w:pPr>
    </w:p>
    <w:p>
      <w:pPr>
        <w:rPr>
          <w:b/>
          <w:sz w:val="22"/>
        </w:rPr>
      </w:pPr>
    </w:p>
    <w:p>
      <w:pPr>
        <w:rPr>
          <w:b/>
          <w:sz w:val="22"/>
        </w:rPr>
      </w:pPr>
    </w:p>
    <w:p>
      <w:pPr>
        <w:rPr>
          <w:b/>
          <w:sz w:val="22"/>
        </w:rPr>
      </w:pPr>
    </w:p>
    <w:p>
      <w:pPr>
        <w:spacing w:after="0"/>
        <w:rPr>
          <w:sz w:val="22"/>
          <w:highlight w:val="yellow"/>
        </w:rPr>
      </w:pPr>
    </w:p>
    <w:p/>
    <w:tbl>
      <w:tblPr>
        <w:tblStyle w:val="Tabellenraster"/>
        <w:tblW w:w="8971" w:type="dxa"/>
        <w:tblLayout w:type="fixed"/>
        <w:tblLook w:val="00A0" w:firstRow="1" w:lastRow="0" w:firstColumn="1" w:lastColumn="0" w:noHBand="0" w:noVBand="0"/>
      </w:tblPr>
      <w:tblGrid>
        <w:gridCol w:w="684"/>
        <w:gridCol w:w="6795"/>
        <w:gridCol w:w="1492"/>
      </w:tblGrid>
      <w:tr>
        <w:tc>
          <w:tcPr>
            <w:tcW w:w="684" w:type="dxa"/>
          </w:tcPr>
          <w:p>
            <w:pPr>
              <w:rPr>
                <w:b/>
              </w:rPr>
            </w:pPr>
            <w:r>
              <w:br w:type="page"/>
            </w:r>
            <w:r>
              <w:rPr>
                <w:b/>
              </w:rPr>
              <w:t>TOP</w:t>
            </w:r>
          </w:p>
        </w:tc>
        <w:tc>
          <w:tcPr>
            <w:tcW w:w="6795" w:type="dxa"/>
          </w:tcPr>
          <w:p>
            <w:pPr>
              <w:rPr>
                <w:b/>
              </w:rPr>
            </w:pPr>
            <w:r>
              <w:rPr>
                <w:b/>
              </w:rPr>
              <w:t>Beitrag/Thema</w:t>
            </w:r>
          </w:p>
        </w:tc>
        <w:tc>
          <w:tcPr>
            <w:tcW w:w="1492" w:type="dxa"/>
          </w:tcPr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eingebracht von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Aktuelle Lage </w:t>
            </w:r>
          </w:p>
          <w:p>
            <w:pPr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International </w:t>
            </w:r>
            <w:r>
              <w:rPr>
                <w:b/>
                <w:color w:val="FF0000"/>
                <w:sz w:val="22"/>
                <w:szCs w:val="22"/>
              </w:rPr>
              <w:t>(nur freitags)</w:t>
            </w:r>
          </w:p>
          <w:p>
            <w:pPr>
              <w:pStyle w:val="Listenabsatz"/>
              <w:numPr>
                <w:ilvl w:val="0"/>
                <w:numId w:val="44"/>
              </w:numPr>
              <w:ind w:left="450" w:hanging="23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Trendanalyse international (Folien </w:t>
            </w:r>
            <w:hyperlink r:id="rId8" w:history="1">
              <w:r>
                <w:rPr>
                  <w:rStyle w:val="Hyperlink"/>
                </w:rPr>
                <w:t>hier</w:t>
              </w:r>
            </w:hyperlink>
            <w:r>
              <w:t>)</w:t>
            </w:r>
            <w:r>
              <w:rPr>
                <w:sz w:val="22"/>
                <w:szCs w:val="22"/>
              </w:rPr>
              <w:t xml:space="preserve"> </w:t>
            </w:r>
          </w:p>
          <w:p>
            <w:pPr>
              <w:pStyle w:val="Listenabsatz"/>
              <w:numPr>
                <w:ilvl w:val="1"/>
                <w:numId w:val="44"/>
              </w:numPr>
              <w:ind w:left="87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Weltweit 114,8 </w:t>
            </w:r>
            <w:proofErr w:type="spellStart"/>
            <w:r>
              <w:rPr>
                <w:sz w:val="22"/>
                <w:szCs w:val="22"/>
              </w:rPr>
              <w:t>Mio</w:t>
            </w:r>
            <w:proofErr w:type="spellEnd"/>
            <w:r>
              <w:rPr>
                <w:sz w:val="22"/>
                <w:szCs w:val="22"/>
              </w:rPr>
              <w:t xml:space="preserve"> Fälle, Trend zur Zunahme (+ 4,8%) </w:t>
            </w:r>
          </w:p>
          <w:p>
            <w:pPr>
              <w:pStyle w:val="Listenabsatz"/>
              <w:numPr>
                <w:ilvl w:val="1"/>
                <w:numId w:val="44"/>
              </w:numPr>
              <w:ind w:left="87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Top 10 Länder nach Anzahl neuer Fälle/letzte 7 Tage</w:t>
            </w:r>
          </w:p>
          <w:p>
            <w:pPr>
              <w:pStyle w:val="Listenabsatz"/>
              <w:numPr>
                <w:ilvl w:val="2"/>
                <w:numId w:val="44"/>
              </w:numPr>
              <w:ind w:left="144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Neu unter den Top 10: Türkei und Iran, </w:t>
            </w:r>
          </w:p>
          <w:p>
            <w:pPr>
              <w:pStyle w:val="Listenabsatz"/>
              <w:numPr>
                <w:ilvl w:val="2"/>
                <w:numId w:val="44"/>
              </w:numPr>
              <w:ind w:left="144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Weiterhin dabei: USA, BRA, FRA, ITA, IND, CZE, RUS, POL</w:t>
            </w:r>
          </w:p>
          <w:p>
            <w:pPr>
              <w:pStyle w:val="Listenabsatz"/>
              <w:numPr>
                <w:ilvl w:val="2"/>
                <w:numId w:val="44"/>
              </w:numPr>
              <w:ind w:left="144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Nicht mehr dabei: UK und Indonesien</w:t>
            </w:r>
          </w:p>
          <w:p>
            <w:pPr>
              <w:pStyle w:val="Listenabsatz"/>
              <w:numPr>
                <w:ilvl w:val="2"/>
                <w:numId w:val="44"/>
              </w:numPr>
              <w:ind w:left="144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Zunahme der Fallzahlen in den meisten Ländern, Ausnahmen sind USA und RUS, hier leichte Abnahme </w:t>
            </w:r>
          </w:p>
          <w:p>
            <w:pPr>
              <w:pStyle w:val="Listenabsatz"/>
              <w:numPr>
                <w:ilvl w:val="1"/>
                <w:numId w:val="44"/>
              </w:numPr>
              <w:ind w:left="87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7-Tage-Inzidenz weltweit pro 100.000 Einwohner (Karte)</w:t>
            </w:r>
          </w:p>
          <w:p>
            <w:pPr>
              <w:pStyle w:val="Listenabsatz"/>
              <w:numPr>
                <w:ilvl w:val="2"/>
                <w:numId w:val="44"/>
              </w:numPr>
              <w:ind w:left="144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Weiterhin in Europa und USA hohe Zahlen, </w:t>
            </w:r>
          </w:p>
          <w:p>
            <w:pPr>
              <w:pStyle w:val="Listenabsatz"/>
              <w:ind w:left="144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 Europa besonders CZE und EST, positive Entwicklung in Portugal mit jetzt 60/100.000 </w:t>
            </w:r>
          </w:p>
          <w:p>
            <w:pPr>
              <w:pStyle w:val="Listenabsatz"/>
              <w:numPr>
                <w:ilvl w:val="2"/>
                <w:numId w:val="44"/>
              </w:numPr>
              <w:ind w:left="144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Aufwärtstrend in allen Kontinenten außer Afrika</w:t>
            </w:r>
          </w:p>
          <w:p>
            <w:pPr>
              <w:pStyle w:val="Listenabsatz"/>
              <w:numPr>
                <w:ilvl w:val="2"/>
                <w:numId w:val="44"/>
              </w:numPr>
              <w:ind w:left="144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 Amerika v. a. Südamerika mit BRA, CHL und PER betroffen</w:t>
            </w:r>
          </w:p>
          <w:p>
            <w:pPr>
              <w:pStyle w:val="Listenabsatz"/>
              <w:numPr>
                <w:ilvl w:val="2"/>
                <w:numId w:val="44"/>
              </w:numPr>
              <w:ind w:left="144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 Afrika Aufwärtstrend in LBY und BWA, leichte Besserung in Namibia</w:t>
            </w:r>
          </w:p>
          <w:p>
            <w:pPr>
              <w:pStyle w:val="Listenabsatz"/>
              <w:numPr>
                <w:ilvl w:val="1"/>
                <w:numId w:val="44"/>
              </w:numPr>
              <w:ind w:left="87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 und 2. Impfdosis</w:t>
            </w:r>
          </w:p>
          <w:p>
            <w:pPr>
              <w:pStyle w:val="Listenabsatz"/>
              <w:numPr>
                <w:ilvl w:val="2"/>
                <w:numId w:val="44"/>
              </w:numPr>
              <w:ind w:left="144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USA 8,1%, keine Zahlen für Iran, dort wurden seit 2/2021 etwa 10.000 Dosen Sputnik V verimpft </w:t>
            </w:r>
          </w:p>
          <w:p>
            <w:pPr>
              <w:pStyle w:val="Listenabsatz"/>
              <w:numPr>
                <w:ilvl w:val="1"/>
                <w:numId w:val="44"/>
              </w:numPr>
              <w:ind w:left="87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Nachbarländer Deutschland (Quelle nationale Daten, WHO-Medien, Stand 04.03.2021)</w:t>
            </w:r>
          </w:p>
          <w:p>
            <w:pPr>
              <w:pStyle w:val="Listenabsatz"/>
              <w:numPr>
                <w:ilvl w:val="2"/>
                <w:numId w:val="44"/>
              </w:numPr>
              <w:ind w:left="144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Spitzenreiter CZE &gt; 500/100.000</w:t>
            </w:r>
          </w:p>
          <w:p>
            <w:pPr>
              <w:pStyle w:val="Listenabsatz"/>
              <w:numPr>
                <w:ilvl w:val="2"/>
                <w:numId w:val="44"/>
              </w:numPr>
              <w:ind w:left="144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ITA und POL &gt; 200/100.000</w:t>
            </w:r>
          </w:p>
          <w:p>
            <w:pPr>
              <w:pStyle w:val="Listenabsatz"/>
              <w:numPr>
                <w:ilvl w:val="0"/>
                <w:numId w:val="44"/>
              </w:numPr>
              <w:ind w:left="450" w:hanging="23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Maßnahmen in UK und England</w:t>
            </w:r>
          </w:p>
          <w:p>
            <w:pPr>
              <w:pStyle w:val="Listenabsatz"/>
              <w:numPr>
                <w:ilvl w:val="1"/>
                <w:numId w:val="44"/>
              </w:numPr>
              <w:ind w:left="87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Hohes Infektionsgeschehen mit Inzidenz-Spitzenwert            &gt; 600/100.000 im Januar, insbes. Nordirland und </w:t>
            </w:r>
            <w:proofErr w:type="spellStart"/>
            <w:r>
              <w:rPr>
                <w:sz w:val="22"/>
                <w:szCs w:val="22"/>
              </w:rPr>
              <w:t>südöstl</w:t>
            </w:r>
            <w:proofErr w:type="spellEnd"/>
            <w:r>
              <w:rPr>
                <w:sz w:val="22"/>
                <w:szCs w:val="22"/>
              </w:rPr>
              <w:t xml:space="preserve">. Landesteile, derzeit um 180/100.000 </w:t>
            </w:r>
          </w:p>
          <w:p>
            <w:pPr>
              <w:pStyle w:val="Listenabsatz"/>
              <w:numPr>
                <w:ilvl w:val="1"/>
                <w:numId w:val="44"/>
              </w:numPr>
              <w:ind w:left="87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Tier- System: 4 risikoabhängige Stufen, Maßnahmen, werden von den Regionalregierungen in Nordirland, Schottland, Wales und England bestimmt</w:t>
            </w:r>
          </w:p>
          <w:p>
            <w:pPr>
              <w:pStyle w:val="Listenabsatz"/>
              <w:numPr>
                <w:ilvl w:val="1"/>
                <w:numId w:val="44"/>
              </w:numPr>
              <w:ind w:left="876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 xml:space="preserve">Stufe 4: “You </w:t>
            </w:r>
            <w:r>
              <w:rPr>
                <w:b/>
                <w:sz w:val="22"/>
                <w:szCs w:val="22"/>
                <w:lang w:val="en-US"/>
              </w:rPr>
              <w:t>must</w:t>
            </w:r>
            <w:r>
              <w:rPr>
                <w:sz w:val="22"/>
                <w:szCs w:val="22"/>
                <w:lang w:val="en-US"/>
              </w:rPr>
              <w:t xml:space="preserve"> stay at home” (Stufe 3: “You should stay at home”), diverse Ausnahmen, z. B.  </w:t>
            </w:r>
            <w:r>
              <w:rPr>
                <w:sz w:val="22"/>
                <w:szCs w:val="22"/>
              </w:rPr>
              <w:t>Schulbesuch, Arztbesuche, Kinder(not)</w:t>
            </w:r>
            <w:proofErr w:type="spellStart"/>
            <w:r>
              <w:rPr>
                <w:sz w:val="22"/>
                <w:szCs w:val="22"/>
              </w:rPr>
              <w:t>betreuung</w:t>
            </w:r>
            <w:proofErr w:type="spellEnd"/>
            <w:r>
              <w:rPr>
                <w:sz w:val="22"/>
                <w:szCs w:val="22"/>
              </w:rPr>
              <w:t xml:space="preserve"> und “social </w:t>
            </w:r>
            <w:proofErr w:type="spellStart"/>
            <w:r>
              <w:rPr>
                <w:sz w:val="22"/>
                <w:szCs w:val="22"/>
              </w:rPr>
              <w:t>bubble</w:t>
            </w:r>
            <w:proofErr w:type="spellEnd"/>
            <w:r>
              <w:rPr>
                <w:sz w:val="22"/>
                <w:szCs w:val="22"/>
              </w:rPr>
              <w:t xml:space="preserve">” (=gleichbleibende Kontaktgruppe aus 2 Haushalten, insbes. für 1-Personen-Haushalte erlaubt) </w:t>
            </w:r>
          </w:p>
          <w:p>
            <w:pPr>
              <w:pStyle w:val="Listenabsatz"/>
              <w:numPr>
                <w:ilvl w:val="1"/>
                <w:numId w:val="44"/>
              </w:numPr>
              <w:ind w:left="87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Lockdown </w:t>
            </w:r>
            <w:proofErr w:type="spellStart"/>
            <w:r>
              <w:rPr>
                <w:sz w:val="22"/>
                <w:szCs w:val="22"/>
              </w:rPr>
              <w:t>nationwide</w:t>
            </w:r>
            <w:proofErr w:type="spellEnd"/>
            <w:r>
              <w:rPr>
                <w:sz w:val="22"/>
                <w:szCs w:val="22"/>
              </w:rPr>
              <w:t xml:space="preserve"> kann verhängt werden, seit 04.01. besteht Lockdown Nr. 3, ab 08.03. Lockerungen (zunächst Bildungseinrichtungen) geplant</w:t>
            </w:r>
          </w:p>
          <w:p>
            <w:pPr>
              <w:pStyle w:val="Listenabsatz"/>
              <w:numPr>
                <w:ilvl w:val="1"/>
                <w:numId w:val="44"/>
              </w:numPr>
              <w:ind w:left="87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Vergleich Maßnahmen in UK und DEU</w:t>
            </w:r>
          </w:p>
          <w:p>
            <w:pPr>
              <w:pStyle w:val="Listenabsatz"/>
              <w:ind w:left="876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Stringency-Index (</w:t>
            </w:r>
            <w:r>
              <w:rPr>
                <w:lang w:val="en-US"/>
              </w:rPr>
              <w:t>nine response indicators incl. school closures, workplace closures, travel bans</w:t>
            </w:r>
            <w:r>
              <w:rPr>
                <w:sz w:val="22"/>
                <w:szCs w:val="22"/>
                <w:lang w:val="en-US"/>
              </w:rPr>
              <w:t xml:space="preserve">, Quelle: Our </w:t>
            </w:r>
            <w:r>
              <w:rPr>
                <w:sz w:val="22"/>
                <w:szCs w:val="22"/>
                <w:lang w:val="en-US"/>
              </w:rPr>
              <w:lastRenderedPageBreak/>
              <w:t xml:space="preserve">World in Data) nur geringfügig unterschiedlich zwischen DEU (81,5) und UK (88), </w:t>
            </w:r>
          </w:p>
          <w:p>
            <w:pPr>
              <w:pStyle w:val="Listenabsatz"/>
              <w:ind w:left="87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UK: mehr Schulschließungen und Mobilitätsrestriktionen, DEU: mehr </w:t>
            </w:r>
            <w:proofErr w:type="spellStart"/>
            <w:r>
              <w:rPr>
                <w:sz w:val="22"/>
                <w:szCs w:val="22"/>
              </w:rPr>
              <w:t>internat</w:t>
            </w:r>
            <w:proofErr w:type="spellEnd"/>
            <w:r>
              <w:rPr>
                <w:sz w:val="22"/>
                <w:szCs w:val="22"/>
              </w:rPr>
              <w:t xml:space="preserve">. Reisebeschränkungen </w:t>
            </w:r>
          </w:p>
          <w:p>
            <w:pPr>
              <w:pStyle w:val="Listenabsatz"/>
              <w:numPr>
                <w:ilvl w:val="1"/>
                <w:numId w:val="44"/>
              </w:numPr>
              <w:ind w:left="87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Maßnahmen in UK, etwas strenger (hatte höhere Inzidenz)</w:t>
            </w:r>
          </w:p>
          <w:p>
            <w:pPr>
              <w:pStyle w:val="Listenabsatz"/>
              <w:numPr>
                <w:ilvl w:val="1"/>
                <w:numId w:val="44"/>
              </w:numPr>
              <w:ind w:left="87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Seit 2/2021 in UK Inzidenzhalbierungszeit verdoppelt (von 15 auf 30 Tage)  </w:t>
            </w:r>
          </w:p>
          <w:p>
            <w:pPr>
              <w:pStyle w:val="Listenabsatz"/>
              <w:numPr>
                <w:ilvl w:val="1"/>
                <w:numId w:val="44"/>
              </w:numPr>
              <w:ind w:left="87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Fragen: Vergleichbarkeit? Unterschiedliche Effekte bei unterschiedlichen Fallzahlen? Einfluss anderer Faktoren, z.B.“ Lockdown Fatigue“?  </w:t>
            </w:r>
          </w:p>
          <w:p>
            <w:pPr>
              <w:pStyle w:val="Listenabsatz"/>
              <w:numPr>
                <w:ilvl w:val="0"/>
                <w:numId w:val="44"/>
              </w:numPr>
              <w:ind w:left="450" w:hanging="23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Diskussion</w:t>
            </w:r>
          </w:p>
          <w:p>
            <w:pPr>
              <w:pStyle w:val="Listenabsatz"/>
              <w:numPr>
                <w:ilvl w:val="1"/>
                <w:numId w:val="44"/>
              </w:numPr>
              <w:ind w:left="87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Frage: Gibt es zuverlässige Daten zum Mobilitätsvergleich zw. DEU und UK?</w:t>
            </w:r>
          </w:p>
          <w:p>
            <w:pPr>
              <w:pStyle w:val="Listenabsatz"/>
              <w:numPr>
                <w:ilvl w:val="1"/>
                <w:numId w:val="44"/>
              </w:numPr>
              <w:ind w:left="87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AW: Es gibt Daten von </w:t>
            </w:r>
            <w:proofErr w:type="spellStart"/>
            <w:r>
              <w:rPr>
                <w:i/>
                <w:sz w:val="22"/>
                <w:szCs w:val="22"/>
              </w:rPr>
              <w:t>Our</w:t>
            </w:r>
            <w:proofErr w:type="spellEnd"/>
            <w:r>
              <w:rPr>
                <w:i/>
                <w:sz w:val="22"/>
                <w:szCs w:val="22"/>
              </w:rPr>
              <w:t xml:space="preserve"> World in Data, </w:t>
            </w:r>
            <w:r>
              <w:rPr>
                <w:sz w:val="22"/>
                <w:szCs w:val="22"/>
              </w:rPr>
              <w:t>Zuverlässigkeit</w:t>
            </w:r>
            <w:r>
              <w:rPr>
                <w:i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ist nicht ganz sicher beurteilbar, eher positiv zu bewerten (universitärer Hintergrund?) </w:t>
            </w:r>
          </w:p>
          <w:p>
            <w:pPr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National </w:t>
            </w:r>
          </w:p>
          <w:p>
            <w:pPr>
              <w:pStyle w:val="Listenabsatz"/>
              <w:numPr>
                <w:ilvl w:val="0"/>
                <w:numId w:val="31"/>
              </w:numPr>
              <w:ind w:left="450" w:hanging="23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Fallzahlen, Inzidenzen, Todesfälle, Trend (Folien </w:t>
            </w:r>
            <w:hyperlink r:id="rId9" w:history="1">
              <w:r>
                <w:rPr>
                  <w:rStyle w:val="Hyperlink"/>
                </w:rPr>
                <w:t>hier</w:t>
              </w:r>
            </w:hyperlink>
            <w:r>
              <w:rPr>
                <w:sz w:val="22"/>
                <w:szCs w:val="22"/>
              </w:rPr>
              <w:t xml:space="preserve">) </w:t>
            </w:r>
          </w:p>
          <w:p>
            <w:pPr>
              <w:pStyle w:val="Listenabsatz"/>
              <w:numPr>
                <w:ilvl w:val="1"/>
                <w:numId w:val="44"/>
              </w:numPr>
              <w:ind w:left="876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SurvNet</w:t>
            </w:r>
            <w:proofErr w:type="spellEnd"/>
            <w:r>
              <w:rPr>
                <w:sz w:val="22"/>
                <w:szCs w:val="22"/>
              </w:rPr>
              <w:t xml:space="preserve"> übermittelt: 2.482.522(+10.580), davon 71.504 (2,8%) Todesfälle (+264), 7-Tage-Inzidenz 65/100.000 EW</w:t>
            </w:r>
          </w:p>
          <w:p>
            <w:pPr>
              <w:pStyle w:val="Listenabsatz"/>
              <w:numPr>
                <w:ilvl w:val="1"/>
                <w:numId w:val="44"/>
              </w:numPr>
              <w:ind w:left="87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Fälle ICU 2813 (-10)</w:t>
            </w:r>
          </w:p>
          <w:p>
            <w:pPr>
              <w:pStyle w:val="Listenabsatz"/>
              <w:numPr>
                <w:ilvl w:val="1"/>
                <w:numId w:val="44"/>
              </w:numPr>
              <w:ind w:left="87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Geimpfte N1 4.389.074 (5,3%, +146.773), N2 2.215.504 (2,7%, +52.581)</w:t>
            </w:r>
          </w:p>
          <w:p>
            <w:pPr>
              <w:pStyle w:val="Listenabsatz"/>
              <w:numPr>
                <w:ilvl w:val="1"/>
                <w:numId w:val="44"/>
              </w:numPr>
              <w:ind w:left="87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Keine großen Veränderungen, 7-Tage-Inzidenz in etwa gleichbleibend, etwas weniger Verstorbene, Zahl der Geimpften steigt kontinuierlich, Zahl der Patienten in ICU Behandlung stagniert  </w:t>
            </w:r>
          </w:p>
          <w:p>
            <w:pPr>
              <w:pStyle w:val="Listenabsatz"/>
              <w:numPr>
                <w:ilvl w:val="1"/>
                <w:numId w:val="44"/>
              </w:numPr>
              <w:ind w:left="87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7-Tage-Inzidenz der BL nach Berichtsdatum</w:t>
            </w:r>
          </w:p>
          <w:p>
            <w:pPr>
              <w:pStyle w:val="Listenabsatz"/>
              <w:numPr>
                <w:ilvl w:val="2"/>
                <w:numId w:val="44"/>
              </w:numPr>
              <w:ind w:left="144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Uneindeutig, weder deutliche Anstiege, noch Rückgänge in den BL, sehr schwer zu bewerten bzw. weiteren Verlauf zu prognostizieren</w:t>
            </w:r>
          </w:p>
          <w:p>
            <w:pPr>
              <w:pStyle w:val="Listenabsatz"/>
              <w:numPr>
                <w:ilvl w:val="1"/>
                <w:numId w:val="44"/>
              </w:numPr>
              <w:ind w:left="87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7-Tage-Inzidenz - geografische Verteilung nach Landkreis</w:t>
            </w:r>
          </w:p>
          <w:p>
            <w:pPr>
              <w:pStyle w:val="Listenabsatz"/>
              <w:numPr>
                <w:ilvl w:val="2"/>
                <w:numId w:val="44"/>
              </w:numPr>
              <w:ind w:left="144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LK an der Grenze zu CZE besonders betroffen: TH, SA, südl. BB</w:t>
            </w:r>
          </w:p>
          <w:p>
            <w:pPr>
              <w:pStyle w:val="Listenabsatz"/>
              <w:numPr>
                <w:ilvl w:val="2"/>
                <w:numId w:val="44"/>
              </w:numPr>
              <w:ind w:left="144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Nur 150 LK &lt; 50/100.000</w:t>
            </w:r>
          </w:p>
          <w:p>
            <w:pPr>
              <w:pStyle w:val="Listenabsatz"/>
              <w:numPr>
                <w:ilvl w:val="2"/>
                <w:numId w:val="44"/>
              </w:numPr>
              <w:ind w:left="144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Entwicklung der 7-Tage-Inzidenz in den LK/SK:</w:t>
            </w:r>
          </w:p>
          <w:p>
            <w:pPr>
              <w:pStyle w:val="Listenabsatz"/>
              <w:ind w:left="144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Sowohl LK mit Zunahme als auch LK mit Abnahme der Inzidenz sind über alle BL verteilt </w:t>
            </w:r>
          </w:p>
          <w:p>
            <w:pPr>
              <w:pStyle w:val="Listenabsatz"/>
              <w:numPr>
                <w:ilvl w:val="1"/>
                <w:numId w:val="44"/>
              </w:numPr>
              <w:ind w:left="87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Sterbefallzahlen in Deutschland, wöchentlich </w:t>
            </w:r>
          </w:p>
          <w:p>
            <w:pPr>
              <w:pStyle w:val="Listenabsatz"/>
              <w:numPr>
                <w:ilvl w:val="2"/>
                <w:numId w:val="44"/>
              </w:numPr>
              <w:ind w:left="144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Übersterblichkeit hat abgenommen, hier macht sich die Abnahme der Inzidenz bei den &gt; 80jährigen bemerkbar </w:t>
            </w:r>
          </w:p>
          <w:p>
            <w:pPr>
              <w:pStyle w:val="Listenabsatz"/>
              <w:numPr>
                <w:ilvl w:val="1"/>
                <w:numId w:val="44"/>
              </w:numPr>
              <w:ind w:left="87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Hospitalisierung und CFR -Vergleich VOC und herkömmliche Varianten (Folien </w:t>
            </w:r>
            <w:hyperlink r:id="rId10" w:history="1">
              <w:r>
                <w:rPr>
                  <w:rStyle w:val="Hyperlink"/>
                  <w:sz w:val="22"/>
                  <w:szCs w:val="22"/>
                </w:rPr>
                <w:t>hier</w:t>
              </w:r>
            </w:hyperlink>
            <w:r>
              <w:rPr>
                <w:sz w:val="22"/>
                <w:szCs w:val="22"/>
              </w:rPr>
              <w:t>)</w:t>
            </w:r>
          </w:p>
          <w:p>
            <w:pPr>
              <w:pStyle w:val="Listenabsatz"/>
              <w:numPr>
                <w:ilvl w:val="2"/>
                <w:numId w:val="44"/>
              </w:numPr>
              <w:ind w:left="144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Vergleich von B.1.1.7 (gesichert) mit allen anderen (hier sind eventuell auch VOC enthalten, es liegt aber keine Info dazu vor)</w:t>
            </w:r>
          </w:p>
          <w:p>
            <w:pPr>
              <w:pStyle w:val="Listenabsatz"/>
              <w:numPr>
                <w:ilvl w:val="2"/>
                <w:numId w:val="44"/>
              </w:numPr>
              <w:ind w:left="144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279 LK mit einer Vollständigkeit der Angaben von mind. 85% wurden einbezogen</w:t>
            </w:r>
          </w:p>
          <w:p>
            <w:pPr>
              <w:pStyle w:val="Listenabsatz"/>
              <w:numPr>
                <w:ilvl w:val="2"/>
                <w:numId w:val="44"/>
              </w:numPr>
              <w:ind w:left="144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Anteil der Hospitalisierten ist über fast alle Altersgruppen verteilt höher</w:t>
            </w:r>
          </w:p>
          <w:p>
            <w:pPr>
              <w:pStyle w:val="Listenabsatz"/>
              <w:numPr>
                <w:ilvl w:val="2"/>
                <w:numId w:val="44"/>
              </w:numPr>
              <w:ind w:left="144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Ausnahme: bei Kleinkindern und Kindern gleich oder niedriger </w:t>
            </w:r>
          </w:p>
          <w:p>
            <w:pPr>
              <w:pStyle w:val="Listenabsatz"/>
              <w:numPr>
                <w:ilvl w:val="2"/>
                <w:numId w:val="44"/>
              </w:numPr>
              <w:ind w:left="144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Mortalität: In den AG &gt;60J und &gt;80J nicht signifikant erhöht (bei bisher 180 Todesfällen mit VOC)</w:t>
            </w:r>
          </w:p>
          <w:p>
            <w:pPr>
              <w:pStyle w:val="Listenabsatz"/>
              <w:numPr>
                <w:ilvl w:val="2"/>
                <w:numId w:val="44"/>
              </w:numPr>
              <w:ind w:left="144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Auch aus DK und UK liegen Daten zu höherer Hospitalisierungsrate vor</w:t>
            </w:r>
          </w:p>
          <w:p>
            <w:pPr>
              <w:pStyle w:val="Listenabsatz"/>
              <w:ind w:left="144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  <w:p>
            <w:pPr>
              <w:pStyle w:val="Listenabsatz"/>
              <w:numPr>
                <w:ilvl w:val="0"/>
                <w:numId w:val="44"/>
              </w:numPr>
              <w:ind w:left="450" w:hanging="23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Diskussion</w:t>
            </w:r>
          </w:p>
          <w:p>
            <w:pPr>
              <w:pStyle w:val="Listenabsatz"/>
              <w:numPr>
                <w:ilvl w:val="1"/>
                <w:numId w:val="44"/>
              </w:numPr>
              <w:ind w:left="87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Zeitnahe Publikation sollte angestrebt werden, u.a. zur Bestätigung bereits vorliegender Daten </w:t>
            </w:r>
          </w:p>
          <w:p>
            <w:pPr>
              <w:pStyle w:val="Listenabsatz"/>
              <w:numPr>
                <w:ilvl w:val="1"/>
                <w:numId w:val="44"/>
              </w:numPr>
              <w:ind w:left="87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Verzerrungen können nicht ausgeschlossen werden, können in Meldedaten aber letztendlich nie ausgeschlossen werden</w:t>
            </w:r>
          </w:p>
          <w:p>
            <w:pPr>
              <w:pStyle w:val="Listenabsatz"/>
              <w:numPr>
                <w:ilvl w:val="1"/>
                <w:numId w:val="44"/>
              </w:numPr>
              <w:ind w:left="87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Frage: Welches Bild ergibt sich ohne regionale Datenselektion nach Vollständigkeit (Auswertung aller vorhandenen Daten)?</w:t>
            </w:r>
          </w:p>
          <w:p>
            <w:pPr>
              <w:pStyle w:val="Listenabsatz"/>
              <w:numPr>
                <w:ilvl w:val="1"/>
                <w:numId w:val="44"/>
              </w:numPr>
              <w:ind w:left="87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AW: Es gibt zwei mögliche Vergleichsgruppen </w:t>
            </w:r>
          </w:p>
          <w:p>
            <w:pPr>
              <w:pStyle w:val="Listenabsatz"/>
              <w:ind w:left="87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i) </w:t>
            </w:r>
            <w:r>
              <w:rPr>
                <w:i/>
                <w:sz w:val="22"/>
                <w:szCs w:val="22"/>
              </w:rPr>
              <w:t xml:space="preserve">Hospitalisierte </w:t>
            </w:r>
            <w:r>
              <w:rPr>
                <w:sz w:val="22"/>
                <w:szCs w:val="22"/>
              </w:rPr>
              <w:t xml:space="preserve">mit </w:t>
            </w:r>
            <w:r>
              <w:rPr>
                <w:i/>
                <w:sz w:val="22"/>
                <w:szCs w:val="22"/>
              </w:rPr>
              <w:t>Alle</w:t>
            </w:r>
            <w:r>
              <w:rPr>
                <w:sz w:val="22"/>
                <w:szCs w:val="22"/>
              </w:rPr>
              <w:t xml:space="preserve"> (fehlende Information wird als </w:t>
            </w:r>
            <w:r>
              <w:rPr>
                <w:i/>
                <w:sz w:val="22"/>
                <w:szCs w:val="22"/>
              </w:rPr>
              <w:t>nicht hospitalisiert</w:t>
            </w:r>
            <w:r>
              <w:rPr>
                <w:sz w:val="22"/>
                <w:szCs w:val="22"/>
              </w:rPr>
              <w:t xml:space="preserve"> gewertet) oder </w:t>
            </w:r>
          </w:p>
          <w:p>
            <w:pPr>
              <w:pStyle w:val="Listenabsatz"/>
              <w:ind w:left="87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ii)</w:t>
            </w:r>
            <w:r>
              <w:rPr>
                <w:i/>
                <w:sz w:val="22"/>
                <w:szCs w:val="22"/>
              </w:rPr>
              <w:t xml:space="preserve"> Hospitalisierte</w:t>
            </w:r>
            <w:r>
              <w:rPr>
                <w:sz w:val="22"/>
                <w:szCs w:val="22"/>
              </w:rPr>
              <w:t xml:space="preserve"> mit </w:t>
            </w:r>
            <w:r>
              <w:rPr>
                <w:i/>
                <w:sz w:val="22"/>
                <w:szCs w:val="22"/>
              </w:rPr>
              <w:t>nicht Hospitalisierte</w:t>
            </w:r>
            <w:r>
              <w:rPr>
                <w:sz w:val="22"/>
                <w:szCs w:val="22"/>
              </w:rPr>
              <w:t xml:space="preserve"> (Information vorhanden)</w:t>
            </w:r>
          </w:p>
          <w:p>
            <w:pPr>
              <w:pStyle w:val="Listenabsatz"/>
              <w:ind w:left="87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Möglichkeit i)</w:t>
            </w:r>
            <w:r>
              <w:rPr>
                <w:i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führt zu ähnlichen Ergebnissen 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ToDo (Feststellung L. Wieler):  Einigung über bestmögliche Auswertungsmethodik, Veröffentlichung ist zeitnah anzustreben, um Vorwürfen der Langsamkeit entgegenzuwirken und u.a. die positiven Aspekte von Meldewesen und Meldedaten zu zeigen </w:t>
            </w:r>
          </w:p>
          <w:p>
            <w:pPr>
              <w:pStyle w:val="Listenabsatz"/>
              <w:ind w:left="876"/>
              <w:rPr>
                <w:sz w:val="22"/>
                <w:szCs w:val="22"/>
              </w:rPr>
            </w:pP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ZIG1 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R. Singer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FG32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M. Diercke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FG 38 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Matthias an der Heiden 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Alle 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S. Kröger, M. an der Heiden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lastRenderedPageBreak/>
              <w:t>2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Internationales</w:t>
            </w:r>
            <w:r>
              <w:rPr>
                <w:b/>
                <w:color w:val="FF0000"/>
              </w:rPr>
              <w:t xml:space="preserve"> (nur freitags)</w:t>
            </w:r>
          </w:p>
          <w:p>
            <w:pPr>
              <w:pStyle w:val="Listenabsatz"/>
              <w:numPr>
                <w:ilvl w:val="0"/>
                <w:numId w:val="31"/>
              </w:numPr>
              <w:ind w:left="450" w:hanging="23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Keine Beiträge</w:t>
            </w:r>
          </w:p>
          <w:p>
            <w:pPr>
              <w:pStyle w:val="Listenabsatz"/>
              <w:ind w:left="876"/>
              <w:rPr>
                <w:i/>
                <w:sz w:val="22"/>
                <w:szCs w:val="22"/>
              </w:rPr>
            </w:pP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ZIG </w:t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Update digitale Projekte </w:t>
            </w:r>
            <w:r>
              <w:rPr>
                <w:b/>
                <w:color w:val="FF0000"/>
              </w:rPr>
              <w:t>(nur montags)</w:t>
            </w:r>
          </w:p>
          <w:p>
            <w:pPr>
              <w:pStyle w:val="Listenabsatz"/>
              <w:numPr>
                <w:ilvl w:val="0"/>
                <w:numId w:val="31"/>
              </w:numPr>
              <w:ind w:left="450" w:hanging="23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Beobachtung der Zahlen des DIVI Registers</w:t>
            </w:r>
          </w:p>
          <w:p>
            <w:pPr>
              <w:numPr>
                <w:ilvl w:val="1"/>
                <w:numId w:val="31"/>
              </w:numPr>
              <w:spacing w:after="200"/>
              <w:ind w:left="876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DIVI Zahlen sollten im Zusammenhang mit der nationalen Lage engmaschiger beobachtet werden</w:t>
            </w:r>
          </w:p>
          <w:p>
            <w:pPr>
              <w:numPr>
                <w:ilvl w:val="1"/>
                <w:numId w:val="31"/>
              </w:numPr>
              <w:spacing w:after="200"/>
              <w:ind w:left="876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Bisher täglich im Lagebericht, nur Mittwoch im Krisenstab</w:t>
            </w:r>
          </w:p>
          <w:p>
            <w:pPr>
              <w:numPr>
                <w:ilvl w:val="1"/>
                <w:numId w:val="31"/>
              </w:numPr>
              <w:spacing w:after="200"/>
              <w:ind w:left="876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Wichtiger Indikator bei derzeitiger Seitwärtsbewegung in der Inzidenzentwicklung  </w:t>
            </w:r>
          </w:p>
          <w:p>
            <w:pPr>
              <w:spacing w:after="200"/>
              <w:contextualSpacing/>
              <w:rPr>
                <w:sz w:val="22"/>
                <w:szCs w:val="22"/>
              </w:rPr>
            </w:pPr>
          </w:p>
          <w:p>
            <w:pPr>
              <w:spacing w:after="200"/>
              <w:contextualSpacing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ToDo: Frau Fischer soll damit beauftragt werden, bei Auffälligkeiten jederzeit den Krisenstab zu informieren </w:t>
            </w:r>
          </w:p>
          <w:p>
            <w:pPr>
              <w:rPr>
                <w:sz w:val="22"/>
                <w:szCs w:val="22"/>
              </w:rPr>
            </w:pP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 36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W. Haas 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Fischer</w:t>
            </w:r>
          </w:p>
        </w:tc>
      </w:tr>
      <w:tr>
        <w:trPr>
          <w:trHeight w:val="518"/>
        </w:trPr>
        <w:tc>
          <w:tcPr>
            <w:tcW w:w="6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67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Aktuelle Risikobewertung</w:t>
            </w:r>
          </w:p>
          <w:p>
            <w:pPr>
              <w:pStyle w:val="Listenabsatz"/>
              <w:numPr>
                <w:ilvl w:val="0"/>
                <w:numId w:val="31"/>
              </w:numPr>
              <w:ind w:left="450" w:hanging="23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Kein Änderungsbedarf </w:t>
            </w:r>
          </w:p>
          <w:p>
            <w:pPr>
              <w:rPr>
                <w:sz w:val="22"/>
                <w:szCs w:val="22"/>
              </w:rPr>
            </w:pPr>
          </w:p>
        </w:tc>
        <w:tc>
          <w:tcPr>
            <w:tcW w:w="1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pPr>
              <w:rPr>
                <w:sz w:val="22"/>
                <w:szCs w:val="22"/>
              </w:rPr>
            </w:pPr>
          </w:p>
        </w:tc>
      </w:tr>
      <w:tr>
        <w:trPr>
          <w:trHeight w:val="518"/>
        </w:trPr>
        <w:tc>
          <w:tcPr>
            <w:tcW w:w="6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67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Kommunikation</w:t>
            </w:r>
          </w:p>
          <w:p>
            <w:pPr>
              <w:spacing w:line="276" w:lineRule="auto"/>
              <w:rPr>
                <w:b/>
                <w:sz w:val="22"/>
                <w:szCs w:val="22"/>
              </w:rPr>
            </w:pPr>
          </w:p>
          <w:p>
            <w:pPr>
              <w:spacing w:line="276" w:lineRule="auto"/>
              <w:rPr>
                <w:b/>
                <w:sz w:val="22"/>
              </w:rPr>
            </w:pPr>
            <w:r>
              <w:rPr>
                <w:b/>
                <w:sz w:val="22"/>
                <w:szCs w:val="22"/>
              </w:rPr>
              <w:t>BZgA</w:t>
            </w:r>
          </w:p>
          <w:p>
            <w:pPr>
              <w:pStyle w:val="Listenabsatz"/>
              <w:numPr>
                <w:ilvl w:val="0"/>
                <w:numId w:val="31"/>
              </w:numPr>
              <w:ind w:left="450" w:hanging="23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Keine Teilnahme an heutiger Sitzung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Presse</w:t>
            </w:r>
          </w:p>
          <w:p>
            <w:pPr>
              <w:pStyle w:val="Listenabsatz"/>
              <w:numPr>
                <w:ilvl w:val="0"/>
                <w:numId w:val="31"/>
              </w:numPr>
              <w:ind w:left="450" w:hanging="23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Änderungen in den Veröffentlichungen</w:t>
            </w:r>
          </w:p>
          <w:p>
            <w:pPr>
              <w:numPr>
                <w:ilvl w:val="1"/>
                <w:numId w:val="31"/>
              </w:numPr>
              <w:spacing w:after="200"/>
              <w:ind w:left="876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Unkritische Änderungen sind bereits umgesetzt</w:t>
            </w:r>
          </w:p>
          <w:p>
            <w:pPr>
              <w:numPr>
                <w:ilvl w:val="1"/>
                <w:numId w:val="31"/>
              </w:numPr>
              <w:spacing w:after="200"/>
              <w:ind w:left="876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Unterseiten zu Hygiene und Schule sind noch in Diskussion </w:t>
            </w:r>
          </w:p>
          <w:p>
            <w:pPr>
              <w:spacing w:after="200"/>
              <w:contextualSpacing/>
              <w:rPr>
                <w:i/>
                <w:sz w:val="22"/>
                <w:szCs w:val="22"/>
              </w:rPr>
            </w:pPr>
          </w:p>
          <w:p>
            <w:pPr>
              <w:spacing w:after="200"/>
              <w:contextualSpacing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ToDo:  Vordiskussion der Änderungen), dann Vorstellung im Krisenstab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  <w:p>
            <w:pPr>
              <w:pStyle w:val="Listenabsatz"/>
              <w:numPr>
                <w:ilvl w:val="0"/>
                <w:numId w:val="31"/>
              </w:numPr>
              <w:ind w:left="450" w:hanging="23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Hinweis W. Haas: Hinter der Thematik „Testen“ tritt die wichtige und von der Testverfügbarkeit unabhängige Botschaft „bei Symptomatik zu Hause bleiben“ in den Hintergrund</w:t>
            </w:r>
          </w:p>
          <w:p>
            <w:pPr>
              <w:numPr>
                <w:ilvl w:val="1"/>
                <w:numId w:val="31"/>
              </w:numPr>
              <w:spacing w:after="200"/>
              <w:ind w:left="876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Prominente Platzierung möglich?</w:t>
            </w:r>
          </w:p>
          <w:p>
            <w:pPr>
              <w:numPr>
                <w:ilvl w:val="1"/>
                <w:numId w:val="31"/>
              </w:numPr>
              <w:spacing w:after="200"/>
              <w:ind w:left="876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Wird bereits umgesetzt</w:t>
            </w:r>
          </w:p>
          <w:p>
            <w:pPr>
              <w:numPr>
                <w:ilvl w:val="1"/>
                <w:numId w:val="31"/>
              </w:numPr>
              <w:spacing w:after="200"/>
              <w:ind w:left="876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Hinweis L. Wieler: Test-Thematik steht in der Presse zu sehr im Vordergrund </w:t>
            </w:r>
          </w:p>
          <w:p>
            <w:pPr>
              <w:spacing w:after="200"/>
              <w:contextualSpacing/>
              <w:rPr>
                <w:sz w:val="22"/>
                <w:szCs w:val="22"/>
              </w:rPr>
            </w:pPr>
          </w:p>
          <w:p>
            <w:pPr>
              <w:spacing w:after="200"/>
              <w:contextualSpacing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ToDo: Thematik soll aktiv in Abstimmungs- und Diskussionsrunden (z. B. BzgA) hineingetragen werden 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  <w:p>
            <w:pPr>
              <w:pStyle w:val="Listenabsatz"/>
              <w:numPr>
                <w:ilvl w:val="0"/>
                <w:numId w:val="31"/>
              </w:numPr>
              <w:ind w:left="450" w:hanging="23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Hinweis: Das erste einer Reihe von </w:t>
            </w:r>
            <w:proofErr w:type="spellStart"/>
            <w:r>
              <w:rPr>
                <w:sz w:val="22"/>
                <w:szCs w:val="22"/>
              </w:rPr>
              <w:t>BGBlättern</w:t>
            </w:r>
            <w:proofErr w:type="spellEnd"/>
            <w:r>
              <w:rPr>
                <w:sz w:val="22"/>
                <w:szCs w:val="22"/>
              </w:rPr>
              <w:t xml:space="preserve"> zum Thema COVID-19 ist erschienen, mit interessanten Veröffentlichungen u.a. zum Thema bedarfsbezogene Kommunikationsstrategien, ein weiteres Heft mit Beiträgen aus dem RKI wird voraussichtlich im April erscheinen 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  <w:tc>
          <w:tcPr>
            <w:tcW w:w="1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Presse 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J. Seedat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 36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FG36 Haas/ alle 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Alle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pPr>
              <w:rPr>
                <w:b/>
              </w:rPr>
            </w:pPr>
            <w:r>
              <w:rPr>
                <w:b/>
              </w:rPr>
              <w:lastRenderedPageBreak/>
              <w:t>6</w:t>
            </w:r>
          </w:p>
        </w:tc>
        <w:tc>
          <w:tcPr>
            <w:tcW w:w="67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RKI-Strategie Fragen</w:t>
            </w:r>
          </w:p>
          <w:p>
            <w:pPr>
              <w:pStyle w:val="Listenabsatz"/>
              <w:numPr>
                <w:ilvl w:val="0"/>
                <w:numId w:val="45"/>
              </w:numPr>
              <w:spacing w:line="276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Allgemein</w:t>
            </w:r>
          </w:p>
          <w:p>
            <w:pPr>
              <w:pStyle w:val="Listenabsatz"/>
              <w:numPr>
                <w:ilvl w:val="0"/>
                <w:numId w:val="31"/>
              </w:numPr>
              <w:ind w:left="450" w:hanging="23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Frage: Ergeben sich aus den gestrigen MPK-Beschlüssen Handlungsaufträge für das RKI? </w:t>
            </w:r>
          </w:p>
          <w:p>
            <w:pPr>
              <w:pStyle w:val="Listenabsatz"/>
              <w:ind w:left="450"/>
              <w:rPr>
                <w:sz w:val="22"/>
                <w:szCs w:val="22"/>
              </w:rPr>
            </w:pPr>
          </w:p>
          <w:p>
            <w:pPr>
              <w:pStyle w:val="Listenabsatz"/>
              <w:numPr>
                <w:ilvl w:val="0"/>
                <w:numId w:val="31"/>
              </w:numPr>
              <w:ind w:left="450" w:hanging="23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AW: Quarantäne für Einreisende aus Virusvariantengebieten wurde auf 14 Tage erhöht, dies muss in zahlreichen Dokumenten angepasst werden 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pStyle w:val="Listenabsatz"/>
              <w:numPr>
                <w:ilvl w:val="0"/>
                <w:numId w:val="45"/>
              </w:numPr>
              <w:spacing w:line="276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RKI-intern</w:t>
            </w:r>
          </w:p>
          <w:p>
            <w:pPr>
              <w:pStyle w:val="Listenabsatz"/>
              <w:numPr>
                <w:ilvl w:val="0"/>
                <w:numId w:val="31"/>
              </w:numPr>
              <w:ind w:left="450" w:hanging="23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Nicht besprochen</w:t>
            </w:r>
          </w:p>
          <w:p>
            <w:pPr>
              <w:rPr>
                <w:i/>
                <w:sz w:val="22"/>
                <w:szCs w:val="22"/>
              </w:rPr>
            </w:pPr>
          </w:p>
        </w:tc>
        <w:tc>
          <w:tcPr>
            <w:tcW w:w="1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L. Schaade </w:t>
            </w:r>
          </w:p>
        </w:tc>
      </w:tr>
      <w:tr>
        <w:tc>
          <w:tcPr>
            <w:tcW w:w="6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67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Dokumente</w:t>
            </w:r>
          </w:p>
          <w:p>
            <w:pPr>
              <w:pStyle w:val="Listenabsatz"/>
              <w:numPr>
                <w:ilvl w:val="0"/>
                <w:numId w:val="31"/>
              </w:numPr>
              <w:ind w:left="450" w:hanging="23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Nicht besprochen </w:t>
            </w:r>
          </w:p>
          <w:p>
            <w:pPr>
              <w:pStyle w:val="Listenabsatz"/>
              <w:ind w:left="450"/>
              <w:rPr>
                <w:i/>
                <w:sz w:val="22"/>
              </w:rPr>
            </w:pPr>
          </w:p>
        </w:tc>
        <w:tc>
          <w:tcPr>
            <w:tcW w:w="1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Update Impfung</w:t>
            </w:r>
            <w:r>
              <w:rPr>
                <w:b/>
                <w:color w:val="FF0000"/>
              </w:rPr>
              <w:t xml:space="preserve"> (nur freitags)</w:t>
            </w:r>
          </w:p>
          <w:p>
            <w:pPr>
              <w:spacing w:line="276" w:lineRule="auto"/>
              <w:rPr>
                <w:b/>
                <w:sz w:val="22"/>
                <w:szCs w:val="22"/>
              </w:rPr>
            </w:pPr>
          </w:p>
          <w:p>
            <w:pPr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Keine Folien </w:t>
            </w:r>
          </w:p>
          <w:p>
            <w:pPr>
              <w:pStyle w:val="Listenabsatz"/>
              <w:numPr>
                <w:ilvl w:val="0"/>
                <w:numId w:val="31"/>
              </w:numPr>
              <w:ind w:left="450" w:hanging="23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Kurzbericht durch L. Schaade </w:t>
            </w:r>
          </w:p>
          <w:p>
            <w:pPr>
              <w:pStyle w:val="Listenabsatz"/>
              <w:numPr>
                <w:ilvl w:val="1"/>
                <w:numId w:val="44"/>
              </w:numPr>
              <w:ind w:left="87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Themen des Stellungnahmeverfahrens (vermutlich 09.03.2021) sind a) Änderung der Altersgrenze für AstraZeneca Impfstoff (Datengrundlage aus UK), b) Ausnutzung des maximalen Impfintervalls, jedoch kein off </w:t>
            </w:r>
            <w:proofErr w:type="spellStart"/>
            <w:r>
              <w:rPr>
                <w:sz w:val="22"/>
                <w:szCs w:val="22"/>
              </w:rPr>
              <w:lastRenderedPageBreak/>
              <w:t>label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use</w:t>
            </w:r>
            <w:proofErr w:type="spellEnd"/>
            <w:r>
              <w:rPr>
                <w:sz w:val="22"/>
                <w:szCs w:val="22"/>
              </w:rPr>
              <w:t xml:space="preserve">, c) nach stattgehabter SARS-CoV-2 Infektion nur 1 Impfdosis zu empfehlen  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pStyle w:val="Listenabsatz"/>
              <w:numPr>
                <w:ilvl w:val="0"/>
                <w:numId w:val="31"/>
              </w:numPr>
              <w:ind w:left="450" w:hanging="23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STIKO- Treffen </w:t>
            </w:r>
          </w:p>
          <w:p>
            <w:pPr>
              <w:pStyle w:val="Listenabsatz"/>
              <w:numPr>
                <w:ilvl w:val="1"/>
                <w:numId w:val="44"/>
              </w:numPr>
              <w:ind w:left="87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Altersgrenze für AstraZeneca Impfstoff wird erhöht, dies wurde aufgrund des hohen Drucks bereits vorab (vor dem Stellungnahmeverfahren) kommuniziert  </w:t>
            </w:r>
          </w:p>
          <w:p>
            <w:pPr>
              <w:pStyle w:val="Listenabsatz"/>
              <w:numPr>
                <w:ilvl w:val="1"/>
                <w:numId w:val="44"/>
              </w:numPr>
              <w:ind w:left="87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Anpassung der </w:t>
            </w:r>
            <w:proofErr w:type="spellStart"/>
            <w:r>
              <w:rPr>
                <w:sz w:val="22"/>
                <w:szCs w:val="22"/>
              </w:rPr>
              <w:t>ImpfVO</w:t>
            </w:r>
            <w:proofErr w:type="spellEnd"/>
            <w:r>
              <w:rPr>
                <w:sz w:val="22"/>
                <w:szCs w:val="22"/>
              </w:rPr>
              <w:t xml:space="preserve"> durch das BMG muss folgende Änderungen berücksichtigen: </w:t>
            </w:r>
          </w:p>
          <w:p>
            <w:pPr>
              <w:pStyle w:val="Listenabsatz"/>
              <w:numPr>
                <w:ilvl w:val="2"/>
                <w:numId w:val="44"/>
              </w:numPr>
              <w:ind w:left="144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Änderung der Altersgrenze</w:t>
            </w:r>
          </w:p>
          <w:p>
            <w:pPr>
              <w:pStyle w:val="Listenabsatz"/>
              <w:numPr>
                <w:ilvl w:val="2"/>
                <w:numId w:val="44"/>
              </w:numPr>
              <w:ind w:left="144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Impfung von KiTa- und Schulpersonal</w:t>
            </w:r>
          </w:p>
          <w:p>
            <w:pPr>
              <w:pStyle w:val="Listenabsatz"/>
              <w:numPr>
                <w:ilvl w:val="2"/>
                <w:numId w:val="44"/>
              </w:numPr>
              <w:ind w:left="144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Ausweitung der Impfkampagne auf Arztpraxen </w:t>
            </w:r>
          </w:p>
          <w:p>
            <w:pPr>
              <w:pStyle w:val="Listenabsatz"/>
              <w:numPr>
                <w:ilvl w:val="1"/>
                <w:numId w:val="44"/>
              </w:numPr>
              <w:ind w:left="87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Frage; Inwiefern ist die Dokumentation der Impfung durch Arztpraxen gesichert?</w:t>
            </w:r>
          </w:p>
          <w:p>
            <w:pPr>
              <w:pStyle w:val="Listenabsatz"/>
              <w:numPr>
                <w:ilvl w:val="2"/>
                <w:numId w:val="44"/>
              </w:numPr>
              <w:ind w:left="144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Derzeitiger Stand nach Telefonat KBV/BMG/J. Spahn: Aggregierte Daten (3 Alterskategorien, kein Geschlecht) werden dokumentiert 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i/>
                <w:sz w:val="22"/>
                <w:szCs w:val="22"/>
              </w:rPr>
            </w:pPr>
            <w:commentRangeStart w:id="0"/>
            <w:r>
              <w:rPr>
                <w:i/>
                <w:sz w:val="22"/>
                <w:szCs w:val="22"/>
                <w:highlight w:val="yellow"/>
              </w:rPr>
              <w:t xml:space="preserve">ToDo: Einschätzung der Auswirkungen der eingeschränkten Dokumentation auf mögliche Datenauswertungen zu Impfstoffwirkung und AEs, Vergleich mit bzw. Berücksichtigung von bisher verfügbaren Daten zu verabreichten Impfungen, Gegenüberstellungen der Pros und Contras  </w:t>
            </w:r>
            <w:r>
              <w:rPr>
                <w:i/>
                <w:sz w:val="22"/>
                <w:szCs w:val="22"/>
                <w:highlight w:val="yellow"/>
              </w:rPr>
              <w:sym w:font="Wingdings" w:char="F0E0"/>
            </w:r>
            <w:r>
              <w:rPr>
                <w:i/>
                <w:sz w:val="22"/>
                <w:szCs w:val="22"/>
                <w:highlight w:val="yellow"/>
              </w:rPr>
              <w:t xml:space="preserve"> z. Hd. L. Wieler</w:t>
            </w:r>
            <w:r>
              <w:rPr>
                <w:i/>
                <w:sz w:val="22"/>
                <w:szCs w:val="22"/>
              </w:rPr>
              <w:t xml:space="preserve"> </w:t>
            </w:r>
            <w:commentRangeEnd w:id="0"/>
            <w:r>
              <w:rPr>
                <w:rStyle w:val="Kommentarzeichen"/>
                <w:rFonts w:ascii="Scala Sans OT" w:hAnsi="Scala Sans OT"/>
                <w:lang w:eastAsia="de-DE"/>
              </w:rPr>
              <w:commentReference w:id="0"/>
            </w:r>
          </w:p>
          <w:p>
            <w:pPr>
              <w:rPr>
                <w:sz w:val="22"/>
                <w:szCs w:val="22"/>
              </w:rPr>
            </w:pP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FG33 Wichmann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O. Wichmann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lastRenderedPageBreak/>
              <w:t>9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Labordiagnostik</w:t>
            </w:r>
          </w:p>
          <w:p>
            <w:pPr>
              <w:spacing w:line="276" w:lineRule="auto"/>
              <w:rPr>
                <w:b/>
                <w:sz w:val="22"/>
              </w:rPr>
            </w:pPr>
            <w:r>
              <w:rPr>
                <w:b/>
                <w:sz w:val="22"/>
                <w:szCs w:val="22"/>
              </w:rPr>
              <w:t>FG17</w:t>
            </w:r>
          </w:p>
          <w:p>
            <w:pPr>
              <w:pStyle w:val="Listenabsatz"/>
              <w:numPr>
                <w:ilvl w:val="0"/>
                <w:numId w:val="31"/>
              </w:numPr>
              <w:ind w:left="450" w:hanging="23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591 Proben, 38 SARS-CoV-2 positiv</w:t>
            </w:r>
          </w:p>
          <w:p>
            <w:pPr>
              <w:pStyle w:val="Listenabsatz"/>
              <w:ind w:left="45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humane Rhinoviren                           64</w:t>
            </w:r>
          </w:p>
          <w:p>
            <w:pPr>
              <w:pStyle w:val="Listenabsatz"/>
              <w:ind w:left="45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saisonales Coronavirus (NL63)     18</w:t>
            </w:r>
          </w:p>
          <w:p>
            <w:pPr>
              <w:pStyle w:val="Listenabsatz"/>
              <w:ind w:left="45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Parainfluenza Typ 3                             3 </w:t>
            </w:r>
          </w:p>
          <w:p>
            <w:pPr>
              <w:pStyle w:val="Listenabsatz"/>
              <w:ind w:left="45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Keine Influenzanachweise</w:t>
            </w:r>
          </w:p>
          <w:p>
            <w:pPr>
              <w:pStyle w:val="Listenabsatz"/>
              <w:ind w:left="45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ZBS1</w:t>
            </w:r>
          </w:p>
          <w:p>
            <w:pPr>
              <w:pStyle w:val="Listenabsatz"/>
              <w:numPr>
                <w:ilvl w:val="0"/>
                <w:numId w:val="31"/>
              </w:numPr>
              <w:ind w:left="450" w:hanging="23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922 Einsendungen, davon 251 SARS-CoV-2 positiv </w:t>
            </w:r>
          </w:p>
          <w:p>
            <w:pPr>
              <w:pStyle w:val="Listenabsatz"/>
              <w:ind w:left="45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375 Proben auf 501Y untersucht, in 194 (54%) davon nachgewiesen </w:t>
            </w:r>
          </w:p>
          <w:p>
            <w:pPr>
              <w:pStyle w:val="Listenabsatz"/>
              <w:numPr>
                <w:ilvl w:val="0"/>
                <w:numId w:val="31"/>
              </w:numPr>
              <w:ind w:left="450" w:hanging="23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Frage: Wie häufig kommt Mutation 501Y vor ohne Teil einer VOC zu sein? Welchen prädiktiven Wert hat die Detektion von 501Y?</w:t>
            </w:r>
          </w:p>
          <w:p>
            <w:pPr>
              <w:pStyle w:val="Listenabsatz"/>
              <w:numPr>
                <w:ilvl w:val="1"/>
                <w:numId w:val="44"/>
              </w:numPr>
              <w:ind w:left="87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S. Michel: Bisher war 501Y nur in als B.1.1.7 identifizierten Proben vorhanden</w:t>
            </w:r>
          </w:p>
          <w:p>
            <w:pPr>
              <w:pStyle w:val="Listenabsatz"/>
              <w:numPr>
                <w:ilvl w:val="1"/>
                <w:numId w:val="44"/>
              </w:numPr>
              <w:ind w:left="87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D. Oh:   Im Influenza-Sentinel waren bisher alle Proben mit 501Y auch B.1.1.7 (außer 3 Proben von Dezember mit Reiseanamnese Südafrika)</w:t>
            </w:r>
          </w:p>
          <w:p>
            <w:pPr>
              <w:pStyle w:val="Listenabsatz"/>
              <w:numPr>
                <w:ilvl w:val="1"/>
                <w:numId w:val="44"/>
              </w:numPr>
              <w:ind w:left="87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S. Kröger: es gab durchaus einige B.1.525 Proben 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ToDo: S. Kröger bitte internen Bericht mit den entsprechenden Zahlen dazu zirkulieren in </w:t>
            </w:r>
          </w:p>
          <w:p>
            <w:pPr>
              <w:rPr>
                <w:i/>
                <w:sz w:val="22"/>
                <w:szCs w:val="22"/>
              </w:rPr>
            </w:pP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D. Oh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ZBS1 Michel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S. Kröger 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Klinisches Management/Entlassungsmanagement</w:t>
            </w:r>
          </w:p>
          <w:p>
            <w:pPr>
              <w:pStyle w:val="Listenabsatz"/>
              <w:numPr>
                <w:ilvl w:val="0"/>
                <w:numId w:val="31"/>
              </w:numPr>
              <w:ind w:left="450" w:hanging="232"/>
              <w:rPr>
                <w:i/>
              </w:rPr>
            </w:pPr>
            <w:r>
              <w:rPr>
                <w:sz w:val="22"/>
                <w:szCs w:val="22"/>
              </w:rPr>
              <w:t xml:space="preserve">Keine neuen Themen </w:t>
            </w: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A. Schulz-Weidhaas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lastRenderedPageBreak/>
              <w:t>11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Maßnahmen zum Infektionsschutz</w:t>
            </w:r>
          </w:p>
          <w:p>
            <w:pPr>
              <w:pStyle w:val="Listenabsatz"/>
              <w:numPr>
                <w:ilvl w:val="0"/>
                <w:numId w:val="31"/>
              </w:numPr>
              <w:ind w:left="450" w:hanging="23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Auf HSC-Ebene  werden mehrere Dokument diskutiert, RKI wurde um Kommentierung gebeten (Dokumente </w:t>
            </w:r>
            <w:hyperlink r:id="rId12" w:history="1">
              <w:r>
                <w:rPr>
                  <w:rStyle w:val="Hyperlink"/>
                  <w:sz w:val="22"/>
                  <w:szCs w:val="22"/>
                </w:rPr>
                <w:t>hier</w:t>
              </w:r>
            </w:hyperlink>
            <w:r>
              <w:rPr>
                <w:sz w:val="22"/>
                <w:szCs w:val="22"/>
              </w:rPr>
              <w:t xml:space="preserve"> und </w:t>
            </w:r>
            <w:hyperlink r:id="rId13" w:history="1">
              <w:r>
                <w:rPr>
                  <w:rStyle w:val="Hyperlink"/>
                  <w:sz w:val="22"/>
                  <w:szCs w:val="22"/>
                </w:rPr>
                <w:t>hier</w:t>
              </w:r>
            </w:hyperlink>
            <w:r>
              <w:rPr>
                <w:sz w:val="22"/>
                <w:szCs w:val="22"/>
              </w:rPr>
              <w:t xml:space="preserve"> und </w:t>
            </w:r>
            <w:hyperlink r:id="rId14" w:history="1">
              <w:r>
                <w:rPr>
                  <w:rStyle w:val="Hyperlink"/>
                  <w:sz w:val="22"/>
                  <w:szCs w:val="22"/>
                </w:rPr>
                <w:t>hier</w:t>
              </w:r>
            </w:hyperlink>
            <w:r>
              <w:rPr>
                <w:sz w:val="22"/>
                <w:szCs w:val="22"/>
              </w:rPr>
              <w:t>)</w:t>
            </w:r>
          </w:p>
          <w:p>
            <w:pPr>
              <w:pStyle w:val="Listenabsatz"/>
              <w:ind w:left="450"/>
              <w:rPr>
                <w:sz w:val="22"/>
                <w:szCs w:val="22"/>
              </w:rPr>
            </w:pPr>
          </w:p>
          <w:p>
            <w:pPr>
              <w:pStyle w:val="Listenabsatz"/>
              <w:numPr>
                <w:ilvl w:val="1"/>
                <w:numId w:val="44"/>
              </w:numPr>
              <w:ind w:left="87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Harmonisierter Approach zu Impfzertifikaten </w:t>
            </w:r>
          </w:p>
          <w:p>
            <w:pPr>
              <w:pStyle w:val="Listenabsatz"/>
              <w:numPr>
                <w:ilvl w:val="2"/>
                <w:numId w:val="44"/>
              </w:numPr>
              <w:ind w:left="144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Kommentierung durch FG 33 bisher nicht geschehen</w:t>
            </w:r>
          </w:p>
          <w:p>
            <w:pPr>
              <w:pStyle w:val="Listenabsatz"/>
              <w:numPr>
                <w:ilvl w:val="1"/>
                <w:numId w:val="44"/>
              </w:numPr>
              <w:ind w:left="87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Zertifikat für Genesene</w:t>
            </w:r>
          </w:p>
          <w:p>
            <w:pPr>
              <w:pStyle w:val="Listenabsatz"/>
              <w:numPr>
                <w:ilvl w:val="2"/>
                <w:numId w:val="44"/>
              </w:numPr>
              <w:ind w:left="144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Keine Quarantäne bei Einreise oder als KP I </w:t>
            </w:r>
          </w:p>
          <w:p>
            <w:pPr>
              <w:pStyle w:val="Listenabsatz"/>
              <w:numPr>
                <w:ilvl w:val="2"/>
                <w:numId w:val="44"/>
              </w:numPr>
              <w:ind w:left="144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Vorgesehen u.a. in ISR, USA, IND, EST, </w:t>
            </w:r>
          </w:p>
          <w:p>
            <w:pPr>
              <w:pStyle w:val="Listenabsatz"/>
              <w:numPr>
                <w:ilvl w:val="2"/>
                <w:numId w:val="44"/>
              </w:numPr>
              <w:ind w:left="144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DEU, AUT und NLD planen keine Ausnahmen für Genesene oder Geimpfte </w:t>
            </w:r>
          </w:p>
          <w:p>
            <w:pPr>
              <w:pStyle w:val="Listenabsatz"/>
              <w:numPr>
                <w:ilvl w:val="1"/>
                <w:numId w:val="44"/>
              </w:numPr>
              <w:ind w:left="87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Definition Genesene</w:t>
            </w:r>
          </w:p>
          <w:p>
            <w:pPr>
              <w:pStyle w:val="Listenabsatz"/>
              <w:numPr>
                <w:ilvl w:val="2"/>
                <w:numId w:val="44"/>
              </w:numPr>
              <w:ind w:left="144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RT-PCR negativ vor &gt; 20 Tagen </w:t>
            </w:r>
          </w:p>
          <w:p>
            <w:pPr>
              <w:pStyle w:val="Listenabsatz"/>
              <w:numPr>
                <w:ilvl w:val="2"/>
                <w:numId w:val="44"/>
              </w:numPr>
              <w:ind w:left="144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Positiver PCR-Befund &gt; 20 und &lt; 90 Tage alt</w:t>
            </w:r>
          </w:p>
          <w:p>
            <w:pPr>
              <w:pStyle w:val="Listenabsatz"/>
              <w:numPr>
                <w:ilvl w:val="2"/>
                <w:numId w:val="44"/>
              </w:numPr>
              <w:ind w:left="144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Kein ärztl. Attest nötig</w:t>
            </w:r>
          </w:p>
          <w:p>
            <w:pPr>
              <w:pStyle w:val="Listenabsatz"/>
              <w:numPr>
                <w:ilvl w:val="2"/>
                <w:numId w:val="44"/>
              </w:numPr>
              <w:ind w:left="144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Ausnahmen möglich 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pStyle w:val="Listenabsatz"/>
              <w:numPr>
                <w:ilvl w:val="0"/>
                <w:numId w:val="31"/>
              </w:numPr>
              <w:ind w:left="450" w:hanging="23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Diskussion</w:t>
            </w:r>
          </w:p>
          <w:p>
            <w:pPr>
              <w:pStyle w:val="Listenabsatz"/>
              <w:numPr>
                <w:ilvl w:val="1"/>
                <w:numId w:val="44"/>
              </w:numPr>
              <w:ind w:left="87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Frage: Gilt die bisherige Haltung des RKI, keine Ausnahmen für Geimpfte und Genesene zu machen weiter?</w:t>
            </w:r>
          </w:p>
          <w:p>
            <w:pPr>
              <w:pStyle w:val="Listenabsatz"/>
              <w:numPr>
                <w:ilvl w:val="1"/>
                <w:numId w:val="44"/>
              </w:numPr>
              <w:ind w:left="87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Hinweis: FG 36 hat einen Prüfauftrag zu dieser Frage in Bearbeitung</w:t>
            </w:r>
          </w:p>
          <w:p>
            <w:pPr>
              <w:pStyle w:val="Listenabsatz"/>
              <w:numPr>
                <w:ilvl w:val="1"/>
                <w:numId w:val="44"/>
              </w:numPr>
              <w:ind w:left="87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Hohe Dunkelziffer, es ist fachlich nicht begründbar und nicht sinnvoll, ein „</w:t>
            </w:r>
            <w:proofErr w:type="spellStart"/>
            <w:r>
              <w:rPr>
                <w:sz w:val="22"/>
                <w:szCs w:val="22"/>
              </w:rPr>
              <w:t>opportunity</w:t>
            </w:r>
            <w:proofErr w:type="spellEnd"/>
            <w:r>
              <w:rPr>
                <w:sz w:val="22"/>
                <w:szCs w:val="22"/>
              </w:rPr>
              <w:t xml:space="preserve"> sample“ (die Getesteten, die eine Infektion nachweisen können) mit Privilegien denen gegenüber, die es nicht oder nicht mehr (abhängig von AK-Test und Zeitspanne, die vergangen ist) nachweisen können</w:t>
            </w:r>
          </w:p>
          <w:p>
            <w:pPr>
              <w:pStyle w:val="Listenabsatz"/>
              <w:numPr>
                <w:ilvl w:val="1"/>
                <w:numId w:val="44"/>
              </w:numPr>
              <w:ind w:left="87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Das Impfzertifikat soll die Erfassung von Impfwirkung, Spätfolgen etc. ermöglichen, nicht Grundlage für Kategorien und Vorrechte sein</w:t>
            </w:r>
          </w:p>
          <w:p>
            <w:pPr>
              <w:pStyle w:val="Listenabsatz"/>
              <w:numPr>
                <w:ilvl w:val="1"/>
                <w:numId w:val="44"/>
              </w:numPr>
              <w:ind w:left="87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WHO befürwortet die Zertifikate nicht: Lack </w:t>
            </w:r>
            <w:proofErr w:type="spellStart"/>
            <w:r>
              <w:rPr>
                <w:sz w:val="22"/>
                <w:szCs w:val="22"/>
              </w:rPr>
              <w:t>of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data</w:t>
            </w:r>
            <w:proofErr w:type="spellEnd"/>
            <w:r>
              <w:rPr>
                <w:sz w:val="22"/>
                <w:szCs w:val="22"/>
              </w:rPr>
              <w:t>, keine Fälschungssicherheit, ethische Gründe (Diskriminierung)</w:t>
            </w:r>
          </w:p>
          <w:p>
            <w:pPr>
              <w:pStyle w:val="Listenabsatz"/>
              <w:numPr>
                <w:ilvl w:val="1"/>
                <w:numId w:val="44"/>
              </w:numPr>
              <w:ind w:left="87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Frage: Soll sich das RKI trotz Ablehnung der Zertifikate in die Diskussion zur Definition Genesener einbringen?</w:t>
            </w:r>
          </w:p>
          <w:p>
            <w:pPr>
              <w:pStyle w:val="Listenabsatz"/>
              <w:numPr>
                <w:ilvl w:val="1"/>
                <w:numId w:val="44"/>
              </w:numPr>
              <w:ind w:left="87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Definition wird aufgrund der zeitlichen Eingrenzungen (90 Tage) positiv bewertet (das sterile Immunität vermittelnde AK-Level ist kurz nach der Infektion am höchsten), ein negativer PCR wäre einem Schwellenwert von 10E6 Kopien vorzuziehen</w:t>
            </w:r>
          </w:p>
          <w:p>
            <w:pPr>
              <w:pStyle w:val="Listenabsatz"/>
              <w:numPr>
                <w:ilvl w:val="1"/>
                <w:numId w:val="44"/>
              </w:numPr>
              <w:ind w:left="87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Hinweis: Es sind Daten zu </w:t>
            </w:r>
            <w:proofErr w:type="spellStart"/>
            <w:r>
              <w:rPr>
                <w:sz w:val="22"/>
                <w:szCs w:val="22"/>
              </w:rPr>
              <w:t>Novavax</w:t>
            </w:r>
            <w:proofErr w:type="spellEnd"/>
            <w:r>
              <w:rPr>
                <w:sz w:val="22"/>
                <w:szCs w:val="22"/>
              </w:rPr>
              <w:t xml:space="preserve"> erschienen, Nebenergebnisse belegen, dass sich Personen nach stattgehabter SARS-CoV-2-Infektion ebenso mit VOC infizieren können, wie vorher nicht infizierte Personen</w:t>
            </w:r>
            <w:r>
              <w:rPr>
                <w:sz w:val="22"/>
                <w:szCs w:val="22"/>
              </w:rPr>
              <w:sym w:font="Wingdings" w:char="F0E0"/>
            </w:r>
            <w:r>
              <w:rPr>
                <w:sz w:val="22"/>
                <w:szCs w:val="22"/>
              </w:rPr>
              <w:t xml:space="preserve"> Varianten müssen berücksichtigt werden</w:t>
            </w:r>
          </w:p>
          <w:p>
            <w:pPr>
              <w:pStyle w:val="Listenabsatz"/>
              <w:numPr>
                <w:ilvl w:val="1"/>
                <w:numId w:val="44"/>
              </w:numPr>
              <w:ind w:left="87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 besteht Uneinigkeit, ob eine harmonisierte Definition für DEU verpflichtend anzuwenden wäre, vermutlich ist die Durchschlagskraft der harmonisierten Dokumente aber begrenzt</w:t>
            </w:r>
          </w:p>
          <w:p>
            <w:pPr>
              <w:pStyle w:val="Listenabsatz"/>
              <w:numPr>
                <w:ilvl w:val="1"/>
                <w:numId w:val="44"/>
              </w:numPr>
              <w:ind w:left="87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RKI kann einen Arbeitsauftrag nicht allgemein abschlägig beantworten</w:t>
            </w:r>
          </w:p>
          <w:p>
            <w:pPr>
              <w:pStyle w:val="Listenabsatz"/>
              <w:numPr>
                <w:ilvl w:val="1"/>
                <w:numId w:val="44"/>
              </w:numPr>
              <w:ind w:left="87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Entwurf sollte zweiteilig beantwortet werden: Bedenken und Einwände bezüglich der Zertifikate sollen geäußert, die Definition Genesener soll kommentiert werden</w:t>
            </w:r>
          </w:p>
          <w:p>
            <w:pPr>
              <w:pStyle w:val="Listenabsatz"/>
              <w:ind w:left="876"/>
              <w:rPr>
                <w:sz w:val="22"/>
                <w:szCs w:val="22"/>
              </w:rPr>
            </w:pPr>
          </w:p>
          <w:p>
            <w:pPr>
              <w:rPr>
                <w:i/>
                <w:sz w:val="22"/>
                <w:szCs w:val="22"/>
              </w:rPr>
            </w:pPr>
            <w:commentRangeStart w:id="1"/>
            <w:r>
              <w:rPr>
                <w:i/>
                <w:sz w:val="22"/>
                <w:szCs w:val="22"/>
                <w:highlight w:val="yellow"/>
              </w:rPr>
              <w:t>ToDo: M. an der Heiden wird mit FG 36 die Kommentierung des Impfzertifikats besprechen und die Definition Genesener der Diskussion entsprechend kommentieren</w:t>
            </w:r>
            <w:r>
              <w:rPr>
                <w:i/>
                <w:sz w:val="22"/>
                <w:szCs w:val="22"/>
              </w:rPr>
              <w:t xml:space="preserve"> </w:t>
            </w:r>
          </w:p>
          <w:commentRangeEnd w:id="1"/>
          <w:p>
            <w:pPr>
              <w:rPr>
                <w:sz w:val="22"/>
                <w:szCs w:val="22"/>
              </w:rPr>
            </w:pPr>
            <w:r>
              <w:rPr>
                <w:rStyle w:val="Kommentarzeichen"/>
                <w:rFonts w:ascii="Scala Sans OT" w:hAnsi="Scala Sans OT"/>
                <w:lang w:eastAsia="de-DE"/>
              </w:rPr>
              <w:commentReference w:id="1"/>
            </w:r>
          </w:p>
          <w:p>
            <w:pPr>
              <w:pStyle w:val="Listenabsatz"/>
              <w:numPr>
                <w:ilvl w:val="1"/>
                <w:numId w:val="44"/>
              </w:numPr>
              <w:ind w:left="87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Frage: Wie wird der Begriff „Elimination“ kommentiert?</w:t>
            </w:r>
          </w:p>
          <w:p>
            <w:pPr>
              <w:pStyle w:val="Listenabsatz"/>
              <w:numPr>
                <w:ilvl w:val="1"/>
                <w:numId w:val="44"/>
              </w:numPr>
              <w:ind w:left="87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Ist in Europa nicht realisierbar, wurde von M. an der Heiden bereits umfangreich kommentiert </w:t>
            </w:r>
          </w:p>
          <w:p>
            <w:pPr>
              <w:pStyle w:val="Listenabsatz"/>
              <w:numPr>
                <w:ilvl w:val="1"/>
                <w:numId w:val="44"/>
              </w:numPr>
              <w:ind w:left="87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Hinweis: Es gibt zur Frage, welcher Endzustand zu erwarten ist, bereits ein Papier.  Ähnlich wie beim Influenzageschehen:  Balance aus Immunitäten und Virusaktivität </w:t>
            </w:r>
          </w:p>
          <w:p>
            <w:pPr>
              <w:rPr>
                <w:sz w:val="22"/>
              </w:rPr>
            </w:pP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 38 M. an der Heiden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Alle 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M. an der Heiden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L. Schaade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lastRenderedPageBreak/>
              <w:t>12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2"/>
              </w:rPr>
            </w:pPr>
            <w:r>
              <w:rPr>
                <w:b/>
                <w:sz w:val="28"/>
              </w:rPr>
              <w:t>Surveillance</w:t>
            </w:r>
          </w:p>
          <w:p>
            <w:pPr>
              <w:pStyle w:val="Listenabsatz"/>
              <w:numPr>
                <w:ilvl w:val="0"/>
                <w:numId w:val="31"/>
              </w:numPr>
              <w:ind w:left="450" w:hanging="232"/>
              <w:rPr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 xml:space="preserve">Neu: </w:t>
            </w:r>
            <w:r>
              <w:rPr>
                <w:sz w:val="22"/>
                <w:szCs w:val="22"/>
              </w:rPr>
              <w:t xml:space="preserve">Auswertungen zu VOC werden jeweils Freitag im Lagebericht präsentiert </w:t>
            </w:r>
          </w:p>
          <w:p>
            <w:pPr>
              <w:rPr>
                <w:sz w:val="22"/>
                <w:szCs w:val="22"/>
              </w:rPr>
            </w:pP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M. Diercke 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FG32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Transport und Grenzübergangsstellen </w:t>
            </w:r>
            <w:r>
              <w:rPr>
                <w:b/>
                <w:color w:val="FF0000"/>
              </w:rPr>
              <w:t>(nur freitags)</w:t>
            </w:r>
          </w:p>
          <w:p>
            <w:pPr>
              <w:spacing w:line="276" w:lineRule="auto"/>
              <w:rPr>
                <w:b/>
                <w:sz w:val="28"/>
              </w:rPr>
            </w:pPr>
          </w:p>
          <w:p>
            <w:pPr>
              <w:pStyle w:val="Listenabsatz"/>
              <w:numPr>
                <w:ilvl w:val="0"/>
                <w:numId w:val="31"/>
              </w:numPr>
              <w:ind w:left="450" w:hanging="23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Verkürzung Zeitraum </w:t>
            </w:r>
            <w:proofErr w:type="spellStart"/>
            <w:r>
              <w:rPr>
                <w:sz w:val="22"/>
                <w:szCs w:val="22"/>
              </w:rPr>
              <w:t>KoNa</w:t>
            </w:r>
            <w:proofErr w:type="spellEnd"/>
            <w:r>
              <w:rPr>
                <w:sz w:val="22"/>
                <w:szCs w:val="22"/>
              </w:rPr>
              <w:t xml:space="preserve"> nach Exposition im Flugzeug von 28 auf 14 Tage</w:t>
            </w:r>
          </w:p>
          <w:p>
            <w:pPr>
              <w:pStyle w:val="Listenabsatz"/>
              <w:numPr>
                <w:ilvl w:val="1"/>
                <w:numId w:val="44"/>
              </w:numPr>
              <w:ind w:left="87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Bisher: </w:t>
            </w:r>
            <w:proofErr w:type="spellStart"/>
            <w:r>
              <w:rPr>
                <w:sz w:val="22"/>
                <w:szCs w:val="22"/>
              </w:rPr>
              <w:t>KoNa</w:t>
            </w:r>
            <w:proofErr w:type="spellEnd"/>
            <w:r>
              <w:rPr>
                <w:sz w:val="22"/>
                <w:szCs w:val="22"/>
              </w:rPr>
              <w:t xml:space="preserve"> bei Kontakten auf Flugreisen bis 28 Tage (2x Inkubationszeit), stammt noch aus dem Frühjahr 2020</w:t>
            </w:r>
          </w:p>
          <w:p>
            <w:pPr>
              <w:pStyle w:val="Listenabsatz"/>
              <w:numPr>
                <w:ilvl w:val="1"/>
                <w:numId w:val="44"/>
              </w:numPr>
              <w:ind w:left="87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Übliche Zeitspanne zur </w:t>
            </w:r>
            <w:proofErr w:type="spellStart"/>
            <w:r>
              <w:rPr>
                <w:sz w:val="22"/>
                <w:szCs w:val="22"/>
              </w:rPr>
              <w:t>KoNa</w:t>
            </w:r>
            <w:proofErr w:type="spellEnd"/>
            <w:r>
              <w:rPr>
                <w:sz w:val="22"/>
                <w:szCs w:val="22"/>
              </w:rPr>
              <w:t xml:space="preserve"> -Rückverfolgung ist mittlerweile 14 Tage, dies soll angepasst werden</w:t>
            </w:r>
          </w:p>
          <w:p>
            <w:pPr>
              <w:pStyle w:val="Listenabsatz"/>
              <w:numPr>
                <w:ilvl w:val="1"/>
                <w:numId w:val="44"/>
              </w:numPr>
              <w:ind w:left="87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Es werden keine Bedenken geäußert  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pStyle w:val="Listenabsatz"/>
              <w:numPr>
                <w:ilvl w:val="0"/>
                <w:numId w:val="31"/>
              </w:numPr>
              <w:ind w:left="450" w:hanging="23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Kann an die GÄ noch einmal gezielt die Empfehlung kommuniziert werden, alle Proben von KP, die zu Fällen werden zu sequenzieren?  </w:t>
            </w:r>
          </w:p>
          <w:p>
            <w:pPr>
              <w:pStyle w:val="Listenabsatz"/>
              <w:numPr>
                <w:ilvl w:val="1"/>
                <w:numId w:val="44"/>
              </w:numPr>
              <w:ind w:left="87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Hierfür wird „grünes Licht“ signalisiert   </w:t>
            </w:r>
          </w:p>
          <w:p>
            <w:pPr>
              <w:rPr>
                <w:sz w:val="22"/>
              </w:rPr>
            </w:pP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FG38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M. an der Heiden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S. Kröger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Information aus dem Lagezentrum </w:t>
            </w:r>
            <w:r>
              <w:rPr>
                <w:b/>
                <w:color w:val="FF0000"/>
              </w:rPr>
              <w:t>(nur freitags)</w:t>
            </w:r>
          </w:p>
          <w:p>
            <w:pPr>
              <w:pStyle w:val="Listenabsatz"/>
              <w:numPr>
                <w:ilvl w:val="0"/>
                <w:numId w:val="31"/>
              </w:numPr>
              <w:ind w:left="450" w:hanging="23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Am Montag den 08.03.  (Feiertag in Berlin) findet keine Krisenstabssitzung statt </w:t>
            </w:r>
          </w:p>
          <w:p>
            <w:pPr>
              <w:pStyle w:val="Listenabsatz"/>
              <w:numPr>
                <w:ilvl w:val="0"/>
                <w:numId w:val="31"/>
              </w:numPr>
              <w:ind w:left="450" w:hanging="23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Nach Rücksprache mit dem BMG soll der englische Lagebericht nun wöchentlich jeweils am Donnerstag erscheinen </w:t>
            </w:r>
          </w:p>
          <w:p>
            <w:pPr>
              <w:pStyle w:val="Listenabsatz"/>
              <w:numPr>
                <w:ilvl w:val="1"/>
                <w:numId w:val="44"/>
              </w:numPr>
              <w:ind w:left="87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Vorläufig geplante Inhalte sind  </w:t>
            </w:r>
          </w:p>
          <w:p>
            <w:pPr>
              <w:pStyle w:val="Listenabsatz"/>
              <w:ind w:left="87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Syndromische Surveillance</w:t>
            </w:r>
          </w:p>
          <w:p>
            <w:pPr>
              <w:pStyle w:val="Listenabsatz"/>
              <w:ind w:left="87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Demografische Auswertung</w:t>
            </w:r>
          </w:p>
          <w:p>
            <w:pPr>
              <w:pStyle w:val="Listenabsatz"/>
              <w:ind w:left="87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Impfmonitoring</w:t>
            </w:r>
          </w:p>
          <w:p>
            <w:pPr>
              <w:pStyle w:val="Listenabsatz"/>
              <w:numPr>
                <w:ilvl w:val="1"/>
                <w:numId w:val="44"/>
              </w:numPr>
              <w:ind w:left="87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Vorschlag darüber hinaus mitaufzunehmen:</w:t>
            </w:r>
          </w:p>
          <w:p>
            <w:pPr>
              <w:pStyle w:val="Listenabsatz"/>
              <w:ind w:left="87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Geografische Verteilung</w:t>
            </w:r>
          </w:p>
          <w:p>
            <w:pPr>
              <w:pStyle w:val="Listenabsatz"/>
              <w:ind w:left="87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Zeitliche Verläufe</w:t>
            </w:r>
          </w:p>
          <w:p>
            <w:pPr>
              <w:pStyle w:val="Listenabsatz"/>
              <w:ind w:left="87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- Eine Rubrik „geänderte/aktualisierte Dokumente“ </w:t>
            </w:r>
          </w:p>
          <w:p>
            <w:pPr>
              <w:pStyle w:val="Listenabsatz"/>
              <w:numPr>
                <w:ilvl w:val="1"/>
                <w:numId w:val="44"/>
              </w:numPr>
              <w:ind w:left="87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Längerfristiges Ziel ist, auch den deutschen Lagebericht wöchentlich erscheinen zu lassen und dadurch Arbeitskraft einzusparen </w:t>
            </w:r>
          </w:p>
          <w:p>
            <w:pPr>
              <w:pStyle w:val="Listenabsatz"/>
              <w:ind w:left="876"/>
              <w:rPr>
                <w:sz w:val="22"/>
                <w:szCs w:val="22"/>
              </w:rPr>
            </w:pP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U. Rexroth </w:t>
            </w:r>
          </w:p>
          <w:p>
            <w:pPr>
              <w:rPr>
                <w:sz w:val="22"/>
                <w:szCs w:val="22"/>
                <w:lang w:val="en-US"/>
              </w:rPr>
            </w:pPr>
          </w:p>
          <w:p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V. Bremer FG34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Wichtige Termine</w:t>
            </w:r>
          </w:p>
          <w:p>
            <w:pPr>
              <w:pStyle w:val="Listenabsatz"/>
              <w:ind w:left="450"/>
              <w:rPr>
                <w:b/>
                <w:sz w:val="28"/>
              </w:rPr>
            </w:pP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Alle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6795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Andere Themen</w:t>
            </w:r>
          </w:p>
          <w:p>
            <w:pPr>
              <w:pStyle w:val="Listenabsatz"/>
              <w:numPr>
                <w:ilvl w:val="0"/>
                <w:numId w:val="31"/>
              </w:numPr>
              <w:ind w:left="450" w:hanging="23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Nächste Sitzung: Mittwoch, 10.03.2021, 11:00 Uhr, via WebEx</w:t>
            </w:r>
          </w:p>
          <w:p>
            <w:pPr>
              <w:rPr>
                <w:sz w:val="22"/>
              </w:rPr>
            </w:pPr>
          </w:p>
        </w:tc>
        <w:tc>
          <w:tcPr>
            <w:tcW w:w="1492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</w:tbl>
    <w:p>
      <w:pPr>
        <w:spacing w:after="0"/>
        <w:rPr>
          <w:sz w:val="22"/>
          <w:highlight w:val="yellow"/>
        </w:rPr>
      </w:pPr>
    </w:p>
    <w:p>
      <w:pPr>
        <w:spacing w:after="0"/>
        <w:rPr>
          <w:sz w:val="22"/>
          <w:highlight w:val="yellow"/>
        </w:rPr>
      </w:pPr>
    </w:p>
    <w:p>
      <w:pPr>
        <w:spacing w:after="0"/>
        <w:rPr>
          <w:sz w:val="22"/>
          <w:highlight w:val="yellow"/>
        </w:rPr>
      </w:pPr>
    </w:p>
    <w:p>
      <w:pPr>
        <w:spacing w:after="0"/>
        <w:rPr>
          <w:b/>
          <w:sz w:val="22"/>
        </w:rPr>
      </w:pPr>
      <w:r>
        <w:rPr>
          <w:b/>
          <w:sz w:val="22"/>
        </w:rPr>
        <w:t xml:space="preserve">Sitzungsende: 12:24 Uhr </w:t>
      </w:r>
    </w:p>
    <w:sectPr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0" w:h="16840"/>
      <w:pgMar w:top="1440" w:right="1800" w:bottom="1440" w:left="1800" w:header="708" w:footer="708" w:gutter="0"/>
      <w:cols w:space="708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Petasch, Christiane" w:date="2021-03-06T12:06:00Z" w:initials="PC">
    <w:p>
      <w:pPr>
        <w:pStyle w:val="Kommentartext"/>
      </w:pPr>
      <w:r>
        <w:rPr>
          <w:rStyle w:val="Kommentarzeichen"/>
        </w:rPr>
        <w:annotationRef/>
      </w:r>
      <w:r>
        <w:t>ID 3069 vergeben</w:t>
      </w:r>
    </w:p>
  </w:comment>
  <w:comment w:id="1" w:author="Petasch, Christiane" w:date="2021-03-06T12:12:00Z" w:initials="PC">
    <w:p>
      <w:pPr>
        <w:pStyle w:val="Kommentartext"/>
      </w:pPr>
      <w:r>
        <w:rPr>
          <w:rStyle w:val="Kommentarzeichen"/>
        </w:rPr>
        <w:annotationRef/>
      </w:r>
      <w:r>
        <w:t>ID 3070 vergeben</w:t>
      </w:r>
    </w:p>
  </w:comment>
</w:comment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/>
      </w:pPr>
      <w:r>
        <w:separator/>
      </w:r>
    </w:p>
  </w:endnote>
  <w:endnote w:type="continuationSeparator" w:id="0">
    <w:p>
      <w:pPr>
        <w:spacing w:after="0"/>
      </w:pPr>
      <w:r>
        <w:continuationSeparator/>
      </w:r>
    </w:p>
  </w:endnote>
  <w:endnote w:type="continuationNotice" w:id="1">
    <w:p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cala Sans OT">
    <w:panose1 w:val="020B0504030101020104"/>
    <w:charset w:val="00"/>
    <w:family w:val="swiss"/>
    <w:pitch w:val="variable"/>
    <w:sig w:usb0="A00000EF" w:usb1="5000E05B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uzeile"/>
      <w:ind w:right="360"/>
      <w:rPr>
        <w:i/>
        <w:color w:val="7F7F7F" w:themeColor="text1" w:themeTint="80"/>
      </w:rPr>
    </w:pPr>
    <w:r>
      <w:rPr>
        <w:i/>
        <w:color w:val="7F7F7F" w:themeColor="text1" w:themeTint="80"/>
      </w:rPr>
      <w:tab/>
    </w:r>
    <w:bookmarkStart w:id="2" w:name="_GoBack"/>
    <w:bookmarkEnd w:id="2"/>
    <w:r>
      <w:rPr>
        <w:i/>
        <w:color w:val="7F7F7F" w:themeColor="text1" w:themeTint="80"/>
      </w:rPr>
      <w:t xml:space="preserve">Seite </w:t>
    </w:r>
    <w:r>
      <w:rPr>
        <w:b/>
        <w:bCs/>
        <w:i/>
        <w:color w:val="7F7F7F" w:themeColor="text1" w:themeTint="80"/>
      </w:rPr>
      <w:fldChar w:fldCharType="begin"/>
    </w:r>
    <w:r>
      <w:rPr>
        <w:b/>
        <w:bCs/>
        <w:i/>
        <w:color w:val="7F7F7F" w:themeColor="text1" w:themeTint="80"/>
      </w:rPr>
      <w:instrText>PAGE  \* Arabic  \* MERGEFORMAT</w:instrText>
    </w:r>
    <w:r>
      <w:rPr>
        <w:b/>
        <w:bCs/>
        <w:i/>
        <w:color w:val="7F7F7F" w:themeColor="text1" w:themeTint="80"/>
      </w:rPr>
      <w:fldChar w:fldCharType="separate"/>
    </w:r>
    <w:r>
      <w:rPr>
        <w:b/>
        <w:bCs/>
        <w:i/>
        <w:color w:val="7F7F7F" w:themeColor="text1" w:themeTint="80"/>
      </w:rPr>
      <w:t>1</w:t>
    </w:r>
    <w:r>
      <w:rPr>
        <w:b/>
        <w:bCs/>
        <w:i/>
        <w:color w:val="7F7F7F" w:themeColor="text1" w:themeTint="80"/>
      </w:rPr>
      <w:fldChar w:fldCharType="end"/>
    </w:r>
    <w:r>
      <w:rPr>
        <w:i/>
        <w:color w:val="7F7F7F" w:themeColor="text1" w:themeTint="80"/>
      </w:rPr>
      <w:t xml:space="preserve"> von </w:t>
    </w:r>
    <w:r>
      <w:rPr>
        <w:b/>
        <w:bCs/>
        <w:i/>
        <w:color w:val="7F7F7F" w:themeColor="text1" w:themeTint="80"/>
      </w:rPr>
      <w:fldChar w:fldCharType="begin"/>
    </w:r>
    <w:r>
      <w:rPr>
        <w:b/>
        <w:bCs/>
        <w:i/>
        <w:color w:val="7F7F7F" w:themeColor="text1" w:themeTint="80"/>
      </w:rPr>
      <w:instrText>NUMPAGES  \* Arabic  \* MERGEFORMAT</w:instrText>
    </w:r>
    <w:r>
      <w:rPr>
        <w:b/>
        <w:bCs/>
        <w:i/>
        <w:color w:val="7F7F7F" w:themeColor="text1" w:themeTint="80"/>
      </w:rPr>
      <w:fldChar w:fldCharType="separate"/>
    </w:r>
    <w:r>
      <w:rPr>
        <w:b/>
        <w:bCs/>
        <w:i/>
        <w:color w:val="7F7F7F" w:themeColor="text1" w:themeTint="80"/>
      </w:rPr>
      <w:t>2</w:t>
    </w:r>
    <w:r>
      <w:rPr>
        <w:b/>
        <w:bCs/>
        <w:i/>
        <w:color w:val="7F7F7F" w:themeColor="text1" w:themeTint="80"/>
      </w:rPr>
      <w:fldChar w:fldCharType="end"/>
    </w:r>
    <w:r>
      <w:rPr>
        <w:i/>
        <w:color w:val="7F7F7F" w:themeColor="text1" w:themeTint="80"/>
      </w:rPr>
      <w:tab/>
    </w:r>
    <w:r>
      <w:rPr>
        <w:i/>
        <w:color w:val="7F7F7F" w:themeColor="text1" w:themeTint="80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/>
      </w:pPr>
      <w:r>
        <w:separator/>
      </w:r>
    </w:p>
  </w:footnote>
  <w:footnote w:type="continuationSeparator" w:id="0">
    <w:p>
      <w:pPr>
        <w:spacing w:after="0"/>
      </w:pPr>
      <w:r>
        <w:continuationSeparator/>
      </w:r>
    </w:p>
  </w:footnote>
  <w:footnote w:type="continuationNotice" w:id="1">
    <w:p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Kopfzeile"/>
      <w:pBdr>
        <w:bottom w:val="single" w:sz="6" w:space="1" w:color="auto"/>
      </w:pBdr>
      <w:rPr>
        <w:color w:val="1F497D" w:themeColor="text2"/>
      </w:rPr>
    </w:pPr>
    <w:r>
      <w:rPr>
        <w:color w:val="1F497D" w:themeColor="text2"/>
        <w:sz w:val="22"/>
      </w:rPr>
      <w:t>VS – NUR FÜR DEN DIENSTGEBRAUCH</w:t>
    </w:r>
    <w:r>
      <w:rPr>
        <w:color w:val="1F497D" w:themeColor="text2"/>
      </w:rPr>
      <w:tab/>
    </w:r>
    <w:r>
      <w:rPr>
        <w:color w:val="1F497D" w:themeColor="text2"/>
      </w:rPr>
      <w:tab/>
    </w:r>
    <w:r>
      <w:rPr>
        <w:noProof/>
        <w:color w:val="1F497D" w:themeColor="text2"/>
        <w:lang w:eastAsia="de-DE"/>
      </w:rPr>
      <w:drawing>
        <wp:inline distT="0" distB="0" distL="0" distR="0">
          <wp:extent cx="1574800" cy="465667"/>
          <wp:effectExtent l="25400" t="0" r="0" b="0"/>
          <wp:docPr id="1" name="P 1" descr="RKI_Logo_Monito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RKI_Logo_Monito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4744" cy="4656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inline>
      </w:drawing>
    </w:r>
  </w:p>
  <w:p>
    <w:pPr>
      <w:pStyle w:val="Kopfzeile"/>
      <w:pBdr>
        <w:bottom w:val="single" w:sz="6" w:space="1" w:color="auto"/>
      </w:pBdr>
      <w:rPr>
        <w:color w:val="1F497D" w:themeColor="text2"/>
      </w:rPr>
    </w:pPr>
  </w:p>
  <w:p>
    <w:pPr>
      <w:pStyle w:val="Kopfzeile"/>
      <w:pBdr>
        <w:bottom w:val="single" w:sz="6" w:space="1" w:color="auto"/>
      </w:pBdr>
      <w:rPr>
        <w:color w:val="1F497D" w:themeColor="text2"/>
      </w:rPr>
    </w:pPr>
    <w:r>
      <w:rPr>
        <w:color w:val="1F497D" w:themeColor="text2"/>
      </w:rPr>
      <w:t xml:space="preserve">Lagezentrum des RKI </w:t>
    </w:r>
    <w:r>
      <w:rPr>
        <w:color w:val="1F497D" w:themeColor="text2"/>
      </w:rPr>
      <w:tab/>
    </w:r>
    <w:r>
      <w:rPr>
        <w:color w:val="1F497D" w:themeColor="text2"/>
      </w:rPr>
      <w:tab/>
      <w:t>Protokoll des COVID-19-Krisenstabs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77824"/>
    <w:multiLevelType w:val="hybridMultilevel"/>
    <w:tmpl w:val="9ED491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85E55"/>
    <w:multiLevelType w:val="hybridMultilevel"/>
    <w:tmpl w:val="4E1A912E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0737CF"/>
    <w:multiLevelType w:val="hybridMultilevel"/>
    <w:tmpl w:val="A198B08C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5" w:tplc="0407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D250161"/>
    <w:multiLevelType w:val="hybridMultilevel"/>
    <w:tmpl w:val="1922A4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3E4327"/>
    <w:multiLevelType w:val="hybridMultilevel"/>
    <w:tmpl w:val="F9362562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780C93"/>
    <w:multiLevelType w:val="hybridMultilevel"/>
    <w:tmpl w:val="31C262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DE3979"/>
    <w:multiLevelType w:val="hybridMultilevel"/>
    <w:tmpl w:val="45764AC6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5" w:tplc="E51AC878">
      <w:start w:val="1"/>
      <w:numFmt w:val="bullet"/>
      <w:lvlText w:val="-"/>
      <w:lvlJc w:val="left"/>
      <w:pPr>
        <w:ind w:left="4680" w:hanging="360"/>
      </w:pPr>
      <w:rPr>
        <w:rFonts w:ascii="Calibri" w:hAnsi="Calibri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10812AE"/>
    <w:multiLevelType w:val="hybridMultilevel"/>
    <w:tmpl w:val="A76089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3A2849"/>
    <w:multiLevelType w:val="hybridMultilevel"/>
    <w:tmpl w:val="FC6E9F7A"/>
    <w:lvl w:ilvl="0" w:tplc="77B04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7F000E"/>
    <w:multiLevelType w:val="hybridMultilevel"/>
    <w:tmpl w:val="928224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1C67DD"/>
    <w:multiLevelType w:val="hybridMultilevel"/>
    <w:tmpl w:val="8FB831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EF6FE9"/>
    <w:multiLevelType w:val="hybridMultilevel"/>
    <w:tmpl w:val="108054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647304"/>
    <w:multiLevelType w:val="hybridMultilevel"/>
    <w:tmpl w:val="C3485AA0"/>
    <w:lvl w:ilvl="0" w:tplc="45309F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C212D4B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2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397807"/>
    <w:multiLevelType w:val="hybridMultilevel"/>
    <w:tmpl w:val="8E6C29E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02A07E2"/>
    <w:multiLevelType w:val="hybridMultilevel"/>
    <w:tmpl w:val="2F145C3C"/>
    <w:lvl w:ilvl="0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2977DEE"/>
    <w:multiLevelType w:val="hybridMultilevel"/>
    <w:tmpl w:val="DF240308"/>
    <w:lvl w:ilvl="0" w:tplc="45309F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7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E02685"/>
    <w:multiLevelType w:val="hybridMultilevel"/>
    <w:tmpl w:val="D1F8CFA4"/>
    <w:lvl w:ilvl="0" w:tplc="57EEC79A">
      <w:start w:val="1"/>
      <w:numFmt w:val="bullet"/>
      <w:pStyle w:val="Style1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E6B3F35"/>
    <w:multiLevelType w:val="hybridMultilevel"/>
    <w:tmpl w:val="2B76AE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631578"/>
    <w:multiLevelType w:val="hybridMultilevel"/>
    <w:tmpl w:val="5024F098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5F21567"/>
    <w:multiLevelType w:val="hybridMultilevel"/>
    <w:tmpl w:val="B76639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8633CA"/>
    <w:multiLevelType w:val="hybridMultilevel"/>
    <w:tmpl w:val="313C2076"/>
    <w:lvl w:ilvl="0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96456F5"/>
    <w:multiLevelType w:val="hybridMultilevel"/>
    <w:tmpl w:val="472A7808"/>
    <w:lvl w:ilvl="0" w:tplc="42E833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A313F4"/>
    <w:multiLevelType w:val="hybridMultilevel"/>
    <w:tmpl w:val="4B020A48"/>
    <w:lvl w:ilvl="0" w:tplc="0409000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sz w:val="22"/>
      </w:rPr>
    </w:lvl>
    <w:lvl w:ilvl="1" w:tplc="C212D4B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2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B418FF"/>
    <w:multiLevelType w:val="hybridMultilevel"/>
    <w:tmpl w:val="53C6567A"/>
    <w:lvl w:ilvl="0" w:tplc="45309F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7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7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095C62"/>
    <w:multiLevelType w:val="hybridMultilevel"/>
    <w:tmpl w:val="D916A5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DF13A1"/>
    <w:multiLevelType w:val="hybridMultilevel"/>
    <w:tmpl w:val="002844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5B44C8"/>
    <w:multiLevelType w:val="hybridMultilevel"/>
    <w:tmpl w:val="C9B49F4C"/>
    <w:lvl w:ilvl="0" w:tplc="0409000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4D10A8A"/>
    <w:multiLevelType w:val="hybridMultilevel"/>
    <w:tmpl w:val="7EFE77BE"/>
    <w:lvl w:ilvl="0" w:tplc="04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5F0180D"/>
    <w:multiLevelType w:val="hybridMultilevel"/>
    <w:tmpl w:val="E80231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FC4816"/>
    <w:multiLevelType w:val="hybridMultilevel"/>
    <w:tmpl w:val="675C8D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9A7A9B"/>
    <w:multiLevelType w:val="hybridMultilevel"/>
    <w:tmpl w:val="DF20876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87F4FB2"/>
    <w:multiLevelType w:val="hybridMultilevel"/>
    <w:tmpl w:val="6012E628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D8161FE"/>
    <w:multiLevelType w:val="hybridMultilevel"/>
    <w:tmpl w:val="B20AD5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E533F5"/>
    <w:multiLevelType w:val="hybridMultilevel"/>
    <w:tmpl w:val="00E487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E23E21"/>
    <w:multiLevelType w:val="hybridMultilevel"/>
    <w:tmpl w:val="6760482C"/>
    <w:lvl w:ilvl="0" w:tplc="45309F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173E87"/>
    <w:multiLevelType w:val="hybridMultilevel"/>
    <w:tmpl w:val="3D00A4FE"/>
    <w:lvl w:ilvl="0" w:tplc="39A832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7E763D"/>
    <w:multiLevelType w:val="hybridMultilevel"/>
    <w:tmpl w:val="3552D348"/>
    <w:lvl w:ilvl="0" w:tplc="45309F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FD42593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2"/>
      </w:rPr>
    </w:lvl>
    <w:lvl w:ilvl="2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495618"/>
    <w:multiLevelType w:val="hybridMultilevel"/>
    <w:tmpl w:val="18E0A4D6"/>
    <w:lvl w:ilvl="0" w:tplc="E51AC878">
      <w:start w:val="1"/>
      <w:numFmt w:val="bullet"/>
      <w:lvlText w:val="-"/>
      <w:lvlJc w:val="left"/>
      <w:pPr>
        <w:ind w:left="2520" w:hanging="360"/>
      </w:pPr>
      <w:rPr>
        <w:rFonts w:ascii="Calibri" w:hAnsi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962AA0"/>
    <w:multiLevelType w:val="hybridMultilevel"/>
    <w:tmpl w:val="EE5A9F60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2D07176"/>
    <w:multiLevelType w:val="hybridMultilevel"/>
    <w:tmpl w:val="201056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5114FE"/>
    <w:multiLevelType w:val="hybridMultilevel"/>
    <w:tmpl w:val="FAE824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9537FB"/>
    <w:multiLevelType w:val="hybridMultilevel"/>
    <w:tmpl w:val="5D4A4516"/>
    <w:lvl w:ilvl="0" w:tplc="BCF817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5036B6"/>
    <w:multiLevelType w:val="hybridMultilevel"/>
    <w:tmpl w:val="5476CC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7"/>
  </w:num>
  <w:num w:numId="3">
    <w:abstractNumId w:val="25"/>
  </w:num>
  <w:num w:numId="4">
    <w:abstractNumId w:val="5"/>
  </w:num>
  <w:num w:numId="5">
    <w:abstractNumId w:val="24"/>
  </w:num>
  <w:num w:numId="6">
    <w:abstractNumId w:val="9"/>
  </w:num>
  <w:num w:numId="7">
    <w:abstractNumId w:val="21"/>
  </w:num>
  <w:num w:numId="8">
    <w:abstractNumId w:val="8"/>
  </w:num>
  <w:num w:numId="9">
    <w:abstractNumId w:val="14"/>
  </w:num>
  <w:num w:numId="10">
    <w:abstractNumId w:val="19"/>
  </w:num>
  <w:num w:numId="11">
    <w:abstractNumId w:val="40"/>
  </w:num>
  <w:num w:numId="12">
    <w:abstractNumId w:val="3"/>
  </w:num>
  <w:num w:numId="13">
    <w:abstractNumId w:val="41"/>
  </w:num>
  <w:num w:numId="14">
    <w:abstractNumId w:val="18"/>
  </w:num>
  <w:num w:numId="15">
    <w:abstractNumId w:val="20"/>
  </w:num>
  <w:num w:numId="16">
    <w:abstractNumId w:val="1"/>
  </w:num>
  <w:num w:numId="17">
    <w:abstractNumId w:val="35"/>
  </w:num>
  <w:num w:numId="18">
    <w:abstractNumId w:val="12"/>
  </w:num>
  <w:num w:numId="19">
    <w:abstractNumId w:val="32"/>
  </w:num>
  <w:num w:numId="20">
    <w:abstractNumId w:val="29"/>
  </w:num>
  <w:num w:numId="21">
    <w:abstractNumId w:val="42"/>
  </w:num>
  <w:num w:numId="22">
    <w:abstractNumId w:val="4"/>
  </w:num>
  <w:num w:numId="23">
    <w:abstractNumId w:val="15"/>
  </w:num>
  <w:num w:numId="24">
    <w:abstractNumId w:val="23"/>
  </w:num>
  <w:num w:numId="25">
    <w:abstractNumId w:val="34"/>
  </w:num>
  <w:num w:numId="26">
    <w:abstractNumId w:val="36"/>
  </w:num>
  <w:num w:numId="27">
    <w:abstractNumId w:val="0"/>
  </w:num>
  <w:num w:numId="28">
    <w:abstractNumId w:val="30"/>
  </w:num>
  <w:num w:numId="29">
    <w:abstractNumId w:val="10"/>
  </w:num>
  <w:num w:numId="30">
    <w:abstractNumId w:val="39"/>
  </w:num>
  <w:num w:numId="31">
    <w:abstractNumId w:val="13"/>
  </w:num>
  <w:num w:numId="32">
    <w:abstractNumId w:val="31"/>
  </w:num>
  <w:num w:numId="33">
    <w:abstractNumId w:val="33"/>
  </w:num>
  <w:num w:numId="34">
    <w:abstractNumId w:val="22"/>
  </w:num>
  <w:num w:numId="35">
    <w:abstractNumId w:val="26"/>
  </w:num>
  <w:num w:numId="36">
    <w:abstractNumId w:val="28"/>
  </w:num>
  <w:num w:numId="37">
    <w:abstractNumId w:val="11"/>
  </w:num>
  <w:num w:numId="38">
    <w:abstractNumId w:val="17"/>
  </w:num>
  <w:num w:numId="39">
    <w:abstractNumId w:val="38"/>
  </w:num>
  <w:num w:numId="40">
    <w:abstractNumId w:val="2"/>
  </w:num>
  <w:num w:numId="41">
    <w:abstractNumId w:val="6"/>
  </w:num>
  <w:num w:numId="42">
    <w:abstractNumId w:val="37"/>
  </w:num>
  <w:num w:numId="43">
    <w:abstractNumId w:val="27"/>
  </w:num>
  <w:num w:numId="44">
    <w:abstractNumId w:val="13"/>
  </w:num>
  <w:num w:numId="45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0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Petasch, Christiane">
    <w15:presenceInfo w15:providerId="None" w15:userId="Petasch, Christian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1433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5:docId w15:val="{881B226C-540B-41A1-8D6F-B04287011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153"/>
        <w:tab w:val="right" w:pos="8306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153"/>
        <w:tab w:val="right" w:pos="8306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paragraph" w:styleId="Listenabsatz">
    <w:name w:val="List Paragraph"/>
    <w:basedOn w:val="Standard"/>
    <w:link w:val="ListenabsatzZchn"/>
    <w:uiPriority w:val="34"/>
    <w:qFormat/>
    <w:pPr>
      <w:ind w:left="720"/>
      <w:contextualSpacing/>
    </w:pPr>
  </w:style>
  <w:style w:type="paragraph" w:customStyle="1" w:styleId="Style1">
    <w:name w:val="Style1"/>
    <w:basedOn w:val="Listenabsatz"/>
    <w:qFormat/>
    <w:pPr>
      <w:numPr>
        <w:numId w:val="1"/>
      </w:numPr>
      <w:spacing w:before="120" w:after="320"/>
    </w:p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eitenzahl">
    <w:name w:val="page number"/>
    <w:basedOn w:val="Absatz-Standardschriftart"/>
    <w:uiPriority w:val="99"/>
    <w:semiHidden/>
    <w:unhideWhenUsed/>
  </w:style>
  <w:style w:type="table" w:styleId="Tabellenraster">
    <w:name w:val="Table Grid"/>
    <w:basedOn w:val="NormaleTabelle"/>
    <w:uiPriority w:val="59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Tahoma" w:hAnsi="Tahoma" w:cs="Tahoma"/>
      <w:sz w:val="16"/>
      <w:szCs w:val="16"/>
    </w:rPr>
  </w:style>
  <w:style w:type="paragraph" w:styleId="NurText">
    <w:name w:val="Plain Text"/>
    <w:basedOn w:val="Standard"/>
    <w:link w:val="NurTextZchn"/>
    <w:uiPriority w:val="99"/>
    <w:unhideWhenUsed/>
    <w:pPr>
      <w:spacing w:after="0"/>
    </w:pPr>
    <w:rPr>
      <w:rFonts w:ascii="Calibri" w:hAnsi="Calibri"/>
      <w:sz w:val="22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Pr>
      <w:rFonts w:ascii="Calibri" w:hAnsi="Calibri"/>
      <w:sz w:val="22"/>
      <w:szCs w:val="21"/>
    </w:rPr>
  </w:style>
  <w:style w:type="character" w:styleId="Hyperlink">
    <w:name w:val="Hyperlink"/>
    <w:basedOn w:val="Absatz-Standardschriftart"/>
    <w:uiPriority w:val="99"/>
    <w:unhideWhenUsed/>
    <w:rPr>
      <w:color w:val="0000FF" w:themeColor="hyperlink"/>
      <w:u w:val="single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character" w:styleId="Kommentarzeichen">
    <w:name w:val="annotation reference"/>
    <w:basedOn w:val="Absatz-Standardschriftart"/>
    <w:uiPriority w:val="99"/>
    <w:semiHidden/>
    <w:unhideWhenUsed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pPr>
      <w:spacing w:after="120"/>
    </w:pPr>
    <w:rPr>
      <w:rFonts w:ascii="Scala Sans OT" w:hAnsi="Scala Sans OT"/>
      <w:sz w:val="20"/>
      <w:szCs w:val="20"/>
      <w:lang w:eastAsia="de-DE"/>
    </w:rPr>
  </w:style>
  <w:style w:type="character" w:customStyle="1" w:styleId="KommentartextZchn">
    <w:name w:val="Kommentartext Zchn"/>
    <w:basedOn w:val="Absatz-Standardschriftart"/>
    <w:link w:val="Kommentartext"/>
    <w:uiPriority w:val="99"/>
    <w:rPr>
      <w:rFonts w:ascii="Scala Sans OT" w:hAnsi="Scala Sans OT"/>
      <w:sz w:val="20"/>
      <w:szCs w:val="20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pPr>
      <w:spacing w:after="200"/>
    </w:pPr>
    <w:rPr>
      <w:rFonts w:asciiTheme="minorHAnsi" w:hAnsiTheme="minorHAnsi"/>
      <w:b/>
      <w:bCs/>
      <w:lang w:eastAsia="en-US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Pr>
      <w:rFonts w:ascii="Scala Sans OT" w:hAnsi="Scala Sans OT"/>
      <w:b/>
      <w:bCs/>
      <w:sz w:val="20"/>
      <w:szCs w:val="20"/>
      <w:lang w:eastAsia="de-DE"/>
    </w:rPr>
  </w:style>
  <w:style w:type="paragraph" w:styleId="berarbeitung">
    <w:name w:val="Revision"/>
    <w:hidden/>
    <w:uiPriority w:val="99"/>
    <w:semiHidden/>
    <w:pPr>
      <w:spacing w:after="0"/>
    </w:pPr>
  </w:style>
  <w:style w:type="character" w:styleId="BesuchterLink">
    <w:name w:val="FollowedHyperlink"/>
    <w:basedOn w:val="Absatz-Standardschriftart"/>
    <w:uiPriority w:val="99"/>
    <w:semiHidden/>
    <w:unhideWhenUsed/>
    <w:rPr>
      <w:color w:val="800080" w:themeColor="followedHyperlink"/>
      <w:u w:val="single"/>
    </w:rPr>
  </w:style>
  <w:style w:type="character" w:styleId="Hervorhebung">
    <w:name w:val="Emphasis"/>
    <w:basedOn w:val="Absatz-Standardschriftart"/>
    <w:uiPriority w:val="20"/>
    <w:qFormat/>
    <w:rPr>
      <w:i/>
      <w:iCs/>
    </w:rPr>
  </w:style>
  <w:style w:type="character" w:customStyle="1" w:styleId="st">
    <w:name w:val="st"/>
    <w:basedOn w:val="Absatz-Standardschriftart"/>
  </w:style>
  <w:style w:type="character" w:customStyle="1" w:styleId="ListenabsatzZchn">
    <w:name w:val="Listenabsatz Zchn"/>
    <w:basedOn w:val="Absatz-Standardschriftart"/>
    <w:link w:val="Listenabsatz"/>
    <w:uiPriority w:val="34"/>
  </w:style>
  <w:style w:type="character" w:styleId="NichtaufgelsteErwhnung">
    <w:name w:val="Unresolved Mention"/>
    <w:basedOn w:val="Absatz-Standardschriftart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378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S:\Wissdaten\RKI_nCoV-Lage\1.Lagemanagement\1.3.Besprechungen_TKs\1.Lage_AG\2021-03-05_Lage_AG\COVID-19_internat.%20Lage_2021-03-05.pptx" TargetMode="External"/><Relationship Id="rId13" Type="http://schemas.openxmlformats.org/officeDocument/2006/relationships/hyperlink" Target="file:///S:\Wissdaten\RKI_nCoV-Lage\1.Lagemanagement\1.3.Besprechungen_TKs\1.Lage_AG\2021-03-05_Lage_AG\Elimination%20strategy%20HSC%20discussion%20paper_25.02.21.docx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file:///S:\Wissdaten\RKI_nCoV-Lage\1.Lagemanagement\1.3.Besprechungen_TKs\1.Lage_AG\2021-03-05_Lage_AG\HSC%20Common%20approach%20to%20evidence%20of%20recent%20COVIDc%20rev%20jfr.docx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23" Type="http://schemas.openxmlformats.org/officeDocument/2006/relationships/glossaryDocument" Target="glossary/document.xml"/><Relationship Id="rId10" Type="http://schemas.openxmlformats.org/officeDocument/2006/relationships/hyperlink" Target="file:///S:\Wissdaten\RKI_nCoV-Lage\1.Lagemanagement\1.3.Besprechungen_TKs\1.Lage_AG\2021-03-05_Lage_AG\Krankheitsschwere_Variante_B117.pptx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file:///S:\Wissdaten\RKI_nCoV-Lage\1.Lagemanagement\1.3.Besprechungen_TKs\1.Lage_AG\2021-03-05_Lage_AG\Lage-National_2021-03-05.pptx" TargetMode="External"/><Relationship Id="rId14" Type="http://schemas.openxmlformats.org/officeDocument/2006/relationships/hyperlink" Target="file:///S:\Wissdaten\RKI_nCoV-Lage\1.Lagemanagement\1.3.Besprechungen_TKs\1.Lage_AG\2021-03-05_Lage_AG\Elimination%20strategy%20HSC%20discussion%20paper_25.02.21.docx" TargetMode="External"/><Relationship Id="rId22" Type="http://schemas.microsoft.com/office/2011/relationships/people" Target="peop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B3872FB-C169-451B-9F2C-6CC7AA307AED}"/>
      </w:docPartPr>
      <w:docPartBody>
        <w:p>
          <w:r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0A67EC378ADB4363968F76466F3994E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AC18005-6085-43BD-87F3-461643A0F362}"/>
      </w:docPartPr>
      <w:docPartBody>
        <w:p>
          <w:pPr>
            <w:pStyle w:val="0A67EC378ADB4363968F76466F3994ED"/>
          </w:pPr>
          <w:r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0F773A1FCB61483A80E8B309D8E6A01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806C1AF-B266-437F-B9E9-CF0D892561B9}"/>
      </w:docPartPr>
      <w:docPartBody>
        <w:p>
          <w:pPr>
            <w:pStyle w:val="0F773A1FCB61483A80E8B309D8E6A01A"/>
          </w:pPr>
          <w:r>
            <w:rPr>
              <w:rStyle w:val="Platzhalt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cala Sans OT">
    <w:panose1 w:val="020B0504030101020104"/>
    <w:charset w:val="00"/>
    <w:family w:val="swiss"/>
    <w:pitch w:val="variable"/>
    <w:sig w:usb0="A00000EF" w:usb1="5000E05B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0A67EC378ADB4363968F76466F3994ED">
    <w:name w:val="0A67EC378ADB4363968F76466F3994ED"/>
  </w:style>
  <w:style w:type="paragraph" w:customStyle="1" w:styleId="0F773A1FCB61483A80E8B309D8E6A01A">
    <w:name w:val="0F773A1FCB61483A80E8B309D8E6A0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F706DF-1535-4DBC-BE82-CF154D072A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2151</Words>
  <Characters>13558</Characters>
  <Application>Microsoft Office Word</Application>
  <DocSecurity>0</DocSecurity>
  <Lines>112</Lines>
  <Paragraphs>31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Robert Koch-Institut</Company>
  <LinksUpToDate>false</LinksUpToDate>
  <CharactersWithSpaces>15678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Ute Rexroth</dc:creator>
  <cp:lastModifiedBy>Grote, Ulrike</cp:lastModifiedBy>
  <cp:revision>4</cp:revision>
  <dcterms:created xsi:type="dcterms:W3CDTF">2021-03-05T19:12:00Z</dcterms:created>
  <dcterms:modified xsi:type="dcterms:W3CDTF">2021-05-10T15:11:00Z</dcterms:modified>
</cp:coreProperties>
</file>