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19.03.2021,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i/>
              <w:sz w:val="22"/>
              <w:szCs w:val="22"/>
            </w:rPr>
            <w:t>WebEx Konferenz</w:t>
          </w:r>
        </w:sdtContent>
      </w:sdt>
    </w:p>
    <w:p>
      <w:pPr>
        <w:rPr>
          <w:b/>
          <w:sz w:val="22"/>
        </w:rPr>
      </w:pPr>
      <w:r>
        <w:rPr>
          <w:b/>
          <w:sz w:val="22"/>
        </w:rPr>
        <w:t>Moderation:  Ute Rexroth</w:t>
      </w:r>
    </w:p>
    <w:p>
      <w:pPr>
        <w:rPr>
          <w:b/>
          <w:sz w:val="22"/>
        </w:rPr>
      </w:pPr>
      <w:r>
        <w:rPr>
          <w:b/>
          <w:sz w:val="22"/>
        </w:rPr>
        <w:t xml:space="preserve">Teilnehmende: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1"/>
      </w:tblGrid>
      <w:tr>
        <w:tc>
          <w:tcPr>
            <w:tcW w:w="4220" w:type="dxa"/>
          </w:tcPr>
          <w:p>
            <w:pPr>
              <w:pStyle w:val="Listenabsatz"/>
              <w:numPr>
                <w:ilvl w:val="0"/>
                <w:numId w:val="4"/>
              </w:numPr>
              <w:contextualSpacing w:val="0"/>
              <w:rPr>
                <w:sz w:val="22"/>
              </w:rPr>
            </w:pPr>
            <w:r>
              <w:rPr>
                <w:sz w:val="22"/>
              </w:rPr>
              <w:t>Institutsleitung</w:t>
            </w:r>
          </w:p>
          <w:p>
            <w:pPr>
              <w:pStyle w:val="Listenabsatz"/>
              <w:numPr>
                <w:ilvl w:val="1"/>
                <w:numId w:val="2"/>
              </w:numPr>
              <w:contextualSpacing w:val="0"/>
              <w:rPr>
                <w:sz w:val="22"/>
              </w:rPr>
            </w:pPr>
            <w:r>
              <w:rPr>
                <w:sz w:val="22"/>
              </w:rPr>
              <w:t>Lars Schaade</w:t>
            </w:r>
          </w:p>
          <w:p>
            <w:pPr>
              <w:pStyle w:val="Listenabsatz"/>
              <w:numPr>
                <w:ilvl w:val="0"/>
                <w:numId w:val="2"/>
              </w:numPr>
              <w:contextualSpacing w:val="0"/>
              <w:rPr>
                <w:sz w:val="22"/>
              </w:rPr>
            </w:pPr>
            <w:r>
              <w:rPr>
                <w:sz w:val="22"/>
              </w:rPr>
              <w:t xml:space="preserve">AL2 </w:t>
            </w:r>
          </w:p>
          <w:p>
            <w:pPr>
              <w:pStyle w:val="Listenabsatz"/>
              <w:numPr>
                <w:ilvl w:val="1"/>
                <w:numId w:val="2"/>
              </w:numPr>
              <w:contextualSpacing w:val="0"/>
              <w:rPr>
                <w:sz w:val="22"/>
              </w:rPr>
            </w:pPr>
            <w:r>
              <w:rPr>
                <w:sz w:val="22"/>
              </w:rPr>
              <w:t>Thomas Ziese</w:t>
            </w:r>
          </w:p>
          <w:p>
            <w:pPr>
              <w:pStyle w:val="Listenabsatz"/>
              <w:numPr>
                <w:ilvl w:val="0"/>
                <w:numId w:val="2"/>
              </w:numPr>
              <w:contextualSpacing w:val="0"/>
              <w:rPr>
                <w:sz w:val="22"/>
              </w:rPr>
            </w:pPr>
            <w:r>
              <w:rPr>
                <w:sz w:val="22"/>
              </w:rPr>
              <w:t>AL3/Abt. 3</w:t>
            </w:r>
          </w:p>
          <w:p>
            <w:pPr>
              <w:pStyle w:val="Listenabsatz"/>
              <w:numPr>
                <w:ilvl w:val="1"/>
                <w:numId w:val="2"/>
              </w:numPr>
              <w:contextualSpacing w:val="0"/>
              <w:rPr>
                <w:sz w:val="22"/>
              </w:rPr>
            </w:pPr>
            <w:r>
              <w:rPr>
                <w:sz w:val="22"/>
              </w:rPr>
              <w:t>Janna Seifried</w:t>
            </w:r>
          </w:p>
          <w:p>
            <w:pPr>
              <w:pStyle w:val="Listenabsatz"/>
              <w:numPr>
                <w:ilvl w:val="1"/>
                <w:numId w:val="2"/>
              </w:numPr>
              <w:contextualSpacing w:val="0"/>
              <w:rPr>
                <w:sz w:val="22"/>
              </w:rPr>
            </w:pPr>
            <w:r>
              <w:rPr>
                <w:sz w:val="22"/>
              </w:rPr>
              <w:t>Tanja Jung-Sendzik</w:t>
            </w:r>
          </w:p>
          <w:p>
            <w:pPr>
              <w:pStyle w:val="Listenabsatz"/>
              <w:numPr>
                <w:ilvl w:val="0"/>
                <w:numId w:val="2"/>
              </w:numPr>
              <w:spacing w:line="233" w:lineRule="auto"/>
              <w:ind w:hanging="357"/>
              <w:contextualSpacing w:val="0"/>
              <w:rPr>
                <w:sz w:val="22"/>
              </w:rPr>
            </w:pPr>
            <w:r>
              <w:rPr>
                <w:sz w:val="22"/>
              </w:rPr>
              <w:t>ZIGL</w:t>
            </w:r>
          </w:p>
          <w:p>
            <w:pPr>
              <w:pStyle w:val="Listenabsatz"/>
              <w:numPr>
                <w:ilvl w:val="1"/>
                <w:numId w:val="2"/>
              </w:numPr>
              <w:spacing w:line="233" w:lineRule="auto"/>
              <w:ind w:hanging="357"/>
              <w:contextualSpacing w:val="0"/>
              <w:rPr>
                <w:sz w:val="22"/>
              </w:rPr>
            </w:pPr>
            <w:r>
              <w:rPr>
                <w:sz w:val="22"/>
              </w:rPr>
              <w:t>Johanna Hanefeld</w:t>
            </w:r>
          </w:p>
          <w:p>
            <w:pPr>
              <w:pStyle w:val="Listenabsatz"/>
              <w:numPr>
                <w:ilvl w:val="0"/>
                <w:numId w:val="4"/>
              </w:numPr>
              <w:contextualSpacing w:val="0"/>
              <w:rPr>
                <w:sz w:val="22"/>
              </w:rPr>
            </w:pPr>
            <w:r>
              <w:rPr>
                <w:sz w:val="22"/>
              </w:rPr>
              <w:t>FG12</w:t>
            </w:r>
          </w:p>
          <w:p>
            <w:pPr>
              <w:pStyle w:val="Listenabsatz"/>
              <w:numPr>
                <w:ilvl w:val="1"/>
                <w:numId w:val="2"/>
              </w:numPr>
              <w:contextualSpacing w:val="0"/>
              <w:rPr>
                <w:sz w:val="22"/>
              </w:rPr>
            </w:pPr>
            <w:r>
              <w:rPr>
                <w:sz w:val="22"/>
              </w:rPr>
              <w:t>Annette Mankertz</w:t>
            </w:r>
          </w:p>
          <w:p>
            <w:pPr>
              <w:pStyle w:val="Listenabsatz"/>
              <w:numPr>
                <w:ilvl w:val="0"/>
                <w:numId w:val="4"/>
              </w:numPr>
              <w:contextualSpacing w:val="0"/>
              <w:rPr>
                <w:sz w:val="22"/>
              </w:rPr>
            </w:pPr>
            <w:r>
              <w:rPr>
                <w:sz w:val="22"/>
              </w:rPr>
              <w:t>FG14</w:t>
            </w:r>
          </w:p>
          <w:p>
            <w:pPr>
              <w:pStyle w:val="Listenabsatz"/>
              <w:numPr>
                <w:ilvl w:val="1"/>
                <w:numId w:val="2"/>
              </w:numPr>
              <w:contextualSpacing w:val="0"/>
              <w:rPr>
                <w:sz w:val="22"/>
              </w:rPr>
            </w:pPr>
            <w:r>
              <w:rPr>
                <w:sz w:val="22"/>
              </w:rPr>
              <w:t>Melanie Brunke</w:t>
            </w:r>
          </w:p>
          <w:p>
            <w:pPr>
              <w:pStyle w:val="Listenabsatz"/>
              <w:numPr>
                <w:ilvl w:val="0"/>
                <w:numId w:val="2"/>
              </w:numPr>
              <w:contextualSpacing w:val="0"/>
              <w:rPr>
                <w:sz w:val="22"/>
              </w:rPr>
            </w:pPr>
            <w:r>
              <w:rPr>
                <w:sz w:val="22"/>
              </w:rPr>
              <w:t>FG17</w:t>
            </w:r>
          </w:p>
          <w:p>
            <w:pPr>
              <w:pStyle w:val="Listenabsatz"/>
              <w:numPr>
                <w:ilvl w:val="1"/>
                <w:numId w:val="2"/>
              </w:numPr>
              <w:contextualSpacing w:val="0"/>
              <w:rPr>
                <w:sz w:val="22"/>
              </w:rPr>
            </w:pPr>
            <w:r>
              <w:rPr>
                <w:sz w:val="22"/>
              </w:rPr>
              <w:t>Barbara Biere</w:t>
            </w:r>
          </w:p>
          <w:p>
            <w:pPr>
              <w:pStyle w:val="Listenabsatz"/>
              <w:numPr>
                <w:ilvl w:val="0"/>
                <w:numId w:val="5"/>
              </w:numPr>
              <w:contextualSpacing w:val="0"/>
              <w:rPr>
                <w:sz w:val="22"/>
              </w:rPr>
            </w:pPr>
            <w:r>
              <w:rPr>
                <w:sz w:val="22"/>
              </w:rPr>
              <w:t>FG 32</w:t>
            </w:r>
          </w:p>
          <w:p>
            <w:pPr>
              <w:pStyle w:val="Listenabsatz"/>
              <w:numPr>
                <w:ilvl w:val="1"/>
                <w:numId w:val="2"/>
              </w:numPr>
              <w:contextualSpacing w:val="0"/>
              <w:rPr>
                <w:sz w:val="22"/>
              </w:rPr>
            </w:pPr>
            <w:r>
              <w:rPr>
                <w:sz w:val="22"/>
              </w:rPr>
              <w:t>Michaela Diercke</w:t>
            </w:r>
          </w:p>
          <w:p>
            <w:pPr>
              <w:pStyle w:val="Listenabsatz"/>
              <w:numPr>
                <w:ilvl w:val="0"/>
                <w:numId w:val="2"/>
              </w:numPr>
              <w:contextualSpacing w:val="0"/>
              <w:rPr>
                <w:sz w:val="22"/>
              </w:rPr>
            </w:pPr>
            <w:r>
              <w:rPr>
                <w:sz w:val="22"/>
              </w:rPr>
              <w:t>FG33</w:t>
            </w:r>
          </w:p>
          <w:p>
            <w:pPr>
              <w:pStyle w:val="Listenabsatz"/>
              <w:numPr>
                <w:ilvl w:val="1"/>
                <w:numId w:val="2"/>
              </w:numPr>
              <w:contextualSpacing w:val="0"/>
              <w:rPr>
                <w:sz w:val="22"/>
              </w:rPr>
            </w:pPr>
            <w:r>
              <w:rPr>
                <w:sz w:val="22"/>
              </w:rPr>
              <w:t>Ole Wichmann</w:t>
            </w:r>
          </w:p>
          <w:p>
            <w:pPr>
              <w:pStyle w:val="Listenabsatz"/>
              <w:numPr>
                <w:ilvl w:val="0"/>
                <w:numId w:val="2"/>
              </w:numPr>
              <w:contextualSpacing w:val="0"/>
              <w:rPr>
                <w:sz w:val="22"/>
              </w:rPr>
            </w:pPr>
            <w:r>
              <w:rPr>
                <w:sz w:val="22"/>
              </w:rPr>
              <w:t>FG34</w:t>
            </w:r>
          </w:p>
          <w:p>
            <w:pPr>
              <w:pStyle w:val="Listenabsatz"/>
              <w:numPr>
                <w:ilvl w:val="1"/>
                <w:numId w:val="2"/>
              </w:numPr>
              <w:contextualSpacing w:val="0"/>
              <w:rPr>
                <w:sz w:val="22"/>
              </w:rPr>
            </w:pPr>
            <w:r>
              <w:rPr>
                <w:sz w:val="22"/>
              </w:rPr>
              <w:t>Viviane Bremer</w:t>
            </w:r>
          </w:p>
        </w:tc>
        <w:tc>
          <w:tcPr>
            <w:tcW w:w="4220" w:type="dxa"/>
          </w:tcPr>
          <w:p>
            <w:pPr>
              <w:pStyle w:val="Listenabsatz"/>
              <w:numPr>
                <w:ilvl w:val="0"/>
                <w:numId w:val="2"/>
              </w:numPr>
              <w:contextualSpacing w:val="0"/>
              <w:rPr>
                <w:sz w:val="22"/>
              </w:rPr>
            </w:pPr>
            <w:r>
              <w:rPr>
                <w:sz w:val="22"/>
              </w:rPr>
              <w:t>FG36</w:t>
            </w:r>
          </w:p>
          <w:p>
            <w:pPr>
              <w:pStyle w:val="Listenabsatz"/>
              <w:numPr>
                <w:ilvl w:val="1"/>
                <w:numId w:val="2"/>
              </w:numPr>
              <w:contextualSpacing w:val="0"/>
              <w:rPr>
                <w:sz w:val="22"/>
              </w:rPr>
            </w:pPr>
            <w:r>
              <w:rPr>
                <w:sz w:val="22"/>
              </w:rPr>
              <w:t>Silke Buda</w:t>
            </w:r>
          </w:p>
          <w:p>
            <w:pPr>
              <w:pStyle w:val="Listenabsatz"/>
              <w:numPr>
                <w:ilvl w:val="0"/>
                <w:numId w:val="2"/>
              </w:numPr>
              <w:contextualSpacing w:val="0"/>
              <w:rPr>
                <w:sz w:val="22"/>
              </w:rPr>
            </w:pPr>
            <w:r>
              <w:rPr>
                <w:sz w:val="22"/>
              </w:rPr>
              <w:t>FG37</w:t>
            </w:r>
          </w:p>
          <w:p>
            <w:pPr>
              <w:pStyle w:val="Listenabsatz"/>
              <w:numPr>
                <w:ilvl w:val="1"/>
                <w:numId w:val="4"/>
              </w:numPr>
              <w:contextualSpacing w:val="0"/>
              <w:rPr>
                <w:sz w:val="22"/>
              </w:rPr>
            </w:pPr>
            <w:r>
              <w:rPr>
                <w:sz w:val="22"/>
              </w:rPr>
              <w:t xml:space="preserve">Tim Eckmanns </w:t>
            </w:r>
          </w:p>
          <w:p>
            <w:pPr>
              <w:pStyle w:val="Listenabsatz"/>
              <w:numPr>
                <w:ilvl w:val="0"/>
                <w:numId w:val="4"/>
              </w:numPr>
              <w:contextualSpacing w:val="0"/>
              <w:rPr>
                <w:sz w:val="22"/>
              </w:rPr>
            </w:pPr>
            <w:r>
              <w:rPr>
                <w:sz w:val="22"/>
              </w:rPr>
              <w:t>FG38</w:t>
            </w:r>
          </w:p>
          <w:p>
            <w:pPr>
              <w:pStyle w:val="Listenabsatz"/>
              <w:numPr>
                <w:ilvl w:val="1"/>
                <w:numId w:val="4"/>
              </w:numPr>
              <w:contextualSpacing w:val="0"/>
              <w:rPr>
                <w:sz w:val="22"/>
              </w:rPr>
            </w:pPr>
            <w:r>
              <w:rPr>
                <w:sz w:val="22"/>
              </w:rPr>
              <w:t>Ute Rexroth</w:t>
            </w:r>
          </w:p>
          <w:p>
            <w:pPr>
              <w:pStyle w:val="Listenabsatz"/>
              <w:numPr>
                <w:ilvl w:val="1"/>
                <w:numId w:val="4"/>
              </w:numPr>
              <w:contextualSpacing w:val="0"/>
              <w:rPr>
                <w:sz w:val="22"/>
              </w:rPr>
            </w:pPr>
            <w:r>
              <w:rPr>
                <w:sz w:val="22"/>
              </w:rPr>
              <w:t>Ariane Halm (Protokoll)</w:t>
            </w:r>
          </w:p>
          <w:p>
            <w:pPr>
              <w:pStyle w:val="Listenabsatz"/>
              <w:numPr>
                <w:ilvl w:val="0"/>
                <w:numId w:val="4"/>
              </w:numPr>
              <w:contextualSpacing w:val="0"/>
              <w:rPr>
                <w:sz w:val="22"/>
              </w:rPr>
            </w:pPr>
            <w:r>
              <w:rPr>
                <w:sz w:val="22"/>
              </w:rPr>
              <w:t>IBBS</w:t>
            </w:r>
          </w:p>
          <w:p>
            <w:pPr>
              <w:pStyle w:val="Listenabsatz"/>
              <w:numPr>
                <w:ilvl w:val="1"/>
                <w:numId w:val="4"/>
              </w:numPr>
              <w:contextualSpacing w:val="0"/>
              <w:rPr>
                <w:sz w:val="22"/>
              </w:rPr>
            </w:pPr>
            <w:r>
              <w:rPr>
                <w:sz w:val="22"/>
              </w:rPr>
              <w:t>Christian Herzog</w:t>
            </w:r>
          </w:p>
          <w:p>
            <w:pPr>
              <w:pStyle w:val="Listenabsatz"/>
              <w:numPr>
                <w:ilvl w:val="0"/>
                <w:numId w:val="4"/>
              </w:numPr>
              <w:contextualSpacing w:val="0"/>
              <w:rPr>
                <w:sz w:val="22"/>
              </w:rPr>
            </w:pPr>
            <w:r>
              <w:rPr>
                <w:sz w:val="22"/>
              </w:rPr>
              <w:t>P1</w:t>
            </w:r>
          </w:p>
          <w:p>
            <w:pPr>
              <w:pStyle w:val="Listenabsatz"/>
              <w:numPr>
                <w:ilvl w:val="1"/>
                <w:numId w:val="4"/>
              </w:numPr>
              <w:contextualSpacing w:val="0"/>
              <w:rPr>
                <w:sz w:val="22"/>
              </w:rPr>
            </w:pPr>
            <w:r>
              <w:rPr>
                <w:sz w:val="22"/>
              </w:rPr>
              <w:t>Ines Lein</w:t>
            </w:r>
          </w:p>
          <w:p>
            <w:pPr>
              <w:pStyle w:val="Listenabsatz"/>
              <w:numPr>
                <w:ilvl w:val="0"/>
                <w:numId w:val="4"/>
              </w:numPr>
              <w:contextualSpacing w:val="0"/>
              <w:rPr>
                <w:sz w:val="22"/>
              </w:rPr>
            </w:pPr>
            <w:r>
              <w:rPr>
                <w:sz w:val="22"/>
              </w:rPr>
              <w:t>Presse</w:t>
            </w:r>
          </w:p>
          <w:p>
            <w:pPr>
              <w:pStyle w:val="Listenabsatz"/>
              <w:numPr>
                <w:ilvl w:val="1"/>
                <w:numId w:val="4"/>
              </w:numPr>
              <w:contextualSpacing w:val="0"/>
              <w:rPr>
                <w:sz w:val="22"/>
              </w:rPr>
            </w:pPr>
            <w:r>
              <w:rPr>
                <w:sz w:val="22"/>
              </w:rPr>
              <w:t>Ronja Wenchel</w:t>
            </w:r>
          </w:p>
          <w:p>
            <w:pPr>
              <w:pStyle w:val="Listenabsatz"/>
              <w:numPr>
                <w:ilvl w:val="0"/>
                <w:numId w:val="2"/>
              </w:numPr>
              <w:contextualSpacing w:val="0"/>
              <w:rPr>
                <w:sz w:val="22"/>
              </w:rPr>
            </w:pPr>
            <w:r>
              <w:rPr>
                <w:sz w:val="22"/>
              </w:rPr>
              <w:t>ZBS1</w:t>
            </w:r>
          </w:p>
          <w:p>
            <w:pPr>
              <w:pStyle w:val="Listenabsatz"/>
              <w:numPr>
                <w:ilvl w:val="1"/>
                <w:numId w:val="2"/>
              </w:numPr>
              <w:contextualSpacing w:val="0"/>
              <w:rPr>
                <w:sz w:val="22"/>
              </w:rPr>
            </w:pPr>
            <w:r>
              <w:rPr>
                <w:sz w:val="22"/>
              </w:rPr>
              <w:t>Janine Michel</w:t>
            </w:r>
          </w:p>
          <w:p>
            <w:pPr>
              <w:pStyle w:val="Listenabsatz"/>
              <w:numPr>
                <w:ilvl w:val="0"/>
                <w:numId w:val="2"/>
              </w:numPr>
              <w:contextualSpacing w:val="0"/>
              <w:rPr>
                <w:sz w:val="22"/>
              </w:rPr>
            </w:pPr>
            <w:r>
              <w:rPr>
                <w:sz w:val="22"/>
              </w:rPr>
              <w:t>ZIG1</w:t>
            </w:r>
          </w:p>
          <w:p>
            <w:pPr>
              <w:pStyle w:val="Listenabsatz"/>
              <w:numPr>
                <w:ilvl w:val="1"/>
                <w:numId w:val="2"/>
              </w:numPr>
              <w:contextualSpacing w:val="0"/>
              <w:rPr>
                <w:sz w:val="22"/>
              </w:rPr>
            </w:pPr>
            <w:r>
              <w:rPr>
                <w:sz w:val="22"/>
              </w:rPr>
              <w:t>Luisa Denkel</w:t>
            </w:r>
          </w:p>
          <w:p>
            <w:pPr>
              <w:pStyle w:val="Listenabsatz"/>
              <w:numPr>
                <w:ilvl w:val="0"/>
                <w:numId w:val="2"/>
              </w:numPr>
              <w:contextualSpacing w:val="0"/>
              <w:rPr>
                <w:sz w:val="22"/>
              </w:rPr>
            </w:pPr>
            <w:r>
              <w:rPr>
                <w:sz w:val="22"/>
              </w:rPr>
              <w:t xml:space="preserve">BZGA </w:t>
            </w:r>
          </w:p>
          <w:p>
            <w:pPr>
              <w:pStyle w:val="Listenabsatz"/>
              <w:numPr>
                <w:ilvl w:val="1"/>
                <w:numId w:val="2"/>
              </w:numPr>
              <w:contextualSpacing w:val="0"/>
              <w:rPr>
                <w:sz w:val="22"/>
              </w:rPr>
            </w:pPr>
            <w:r>
              <w:rPr>
                <w:sz w:val="22"/>
              </w:rPr>
              <w:t>Martin Dietrich</w:t>
            </w:r>
          </w:p>
        </w:tc>
      </w:tr>
    </w:tbl>
    <w:p/>
    <w:tbl>
      <w:tblPr>
        <w:tblStyle w:val="Tabellenraster"/>
        <w:tblW w:w="9142" w:type="dxa"/>
        <w:tblLayout w:type="fixed"/>
        <w:tblLook w:val="00A0" w:firstRow="1" w:lastRow="0" w:firstColumn="1" w:lastColumn="0" w:noHBand="0" w:noVBand="0"/>
      </w:tblPr>
      <w:tblGrid>
        <w:gridCol w:w="684"/>
        <w:gridCol w:w="6966"/>
        <w:gridCol w:w="1492"/>
      </w:tblGrid>
      <w:tr>
        <w:tc>
          <w:tcPr>
            <w:tcW w:w="684" w:type="dxa"/>
          </w:tcPr>
          <w:p>
            <w:pPr>
              <w:rPr>
                <w:b/>
              </w:rPr>
            </w:pPr>
            <w:r>
              <w:br w:type="page"/>
            </w:r>
            <w:r>
              <w:rPr>
                <w:b/>
              </w:rPr>
              <w:t>TOP</w:t>
            </w:r>
          </w:p>
        </w:tc>
        <w:tc>
          <w:tcPr>
            <w:tcW w:w="6966"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966"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r>
              <w:rPr>
                <w:b/>
                <w:color w:val="FF0000"/>
                <w:sz w:val="22"/>
                <w:szCs w:val="22"/>
              </w:rPr>
              <w:t>(nur freitags)</w:t>
            </w:r>
          </w:p>
          <w:p>
            <w:pPr>
              <w:pStyle w:val="Listenabsatz"/>
              <w:numPr>
                <w:ilvl w:val="0"/>
                <w:numId w:val="44"/>
              </w:numPr>
              <w:ind w:left="450" w:hanging="232"/>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 weltweit fast 121 Mio. Fälle (6% Anstieg seit Vorwoche), fast 2,7 Mio. Todesfälle (2,2% insgesamt)</w:t>
            </w:r>
          </w:p>
          <w:p>
            <w:pPr>
              <w:pStyle w:val="Listenabsatz"/>
              <w:numPr>
                <w:ilvl w:val="1"/>
                <w:numId w:val="44"/>
              </w:numPr>
              <w:ind w:left="876"/>
              <w:rPr>
                <w:sz w:val="22"/>
                <w:szCs w:val="22"/>
              </w:rPr>
            </w:pPr>
            <w:r>
              <w:rPr>
                <w:sz w:val="22"/>
                <w:szCs w:val="22"/>
              </w:rPr>
              <w:t>Top 10 Länder nach Anzahl neuer Fälle/letzte 7 Tage</w:t>
            </w:r>
          </w:p>
          <w:p>
            <w:pPr>
              <w:pStyle w:val="Listenabsatz"/>
              <w:numPr>
                <w:ilvl w:val="2"/>
                <w:numId w:val="44"/>
              </w:numPr>
              <w:ind w:left="1443"/>
              <w:rPr>
                <w:sz w:val="22"/>
                <w:szCs w:val="22"/>
              </w:rPr>
            </w:pPr>
            <w:r>
              <w:rPr>
                <w:sz w:val="22"/>
                <w:szCs w:val="22"/>
              </w:rPr>
              <w:t xml:space="preserve">Veränderungen zur Vorwoche: starker Anstieg in Indien (47%), Frankreich insbesondere um Hauptstadt (21%), </w:t>
            </w:r>
            <w:r>
              <w:rPr>
                <w:sz w:val="22"/>
                <w:szCs w:val="22"/>
              </w:rPr>
              <w:lastRenderedPageBreak/>
              <w:t>Polen (36%), Türkei (25%), Deutschland (30%), Ukraine besorgniserregend mit 55%, Tschechien weiterhin hohe 7-T-I jedoch erstmals rückläufiger Trend (-10%)</w:t>
            </w:r>
          </w:p>
          <w:p>
            <w:pPr>
              <w:pStyle w:val="Listenabsatz"/>
              <w:numPr>
                <w:ilvl w:val="2"/>
                <w:numId w:val="44"/>
              </w:numPr>
              <w:ind w:left="1443"/>
              <w:rPr>
                <w:sz w:val="22"/>
                <w:szCs w:val="22"/>
              </w:rPr>
            </w:pPr>
            <w:r>
              <w:rPr>
                <w:sz w:val="22"/>
                <w:szCs w:val="22"/>
              </w:rPr>
              <w:t>Anteil Impfungen der Gesamtbevölkerung, USA weit fortgeschritten 22% 1. mit Dosis, 12% vollständig geimpft, gefolgt von Türkei, Italien, Deutschland, Tschechien, Frankreich (alle 7-9% mit 1. Dosis)</w:t>
            </w:r>
          </w:p>
          <w:p>
            <w:pPr>
              <w:pStyle w:val="Listenabsatz"/>
              <w:numPr>
                <w:ilvl w:val="1"/>
                <w:numId w:val="44"/>
              </w:numPr>
              <w:ind w:left="876"/>
              <w:rPr>
                <w:sz w:val="22"/>
                <w:szCs w:val="22"/>
              </w:rPr>
            </w:pPr>
            <w:r>
              <w:rPr>
                <w:sz w:val="22"/>
                <w:szCs w:val="22"/>
              </w:rPr>
              <w:t>7-Tage-Inzidenz pro 100.000 Einwohner weltweit</w:t>
            </w:r>
          </w:p>
          <w:p>
            <w:pPr>
              <w:pStyle w:val="Listenabsatz"/>
              <w:numPr>
                <w:ilvl w:val="2"/>
                <w:numId w:val="44"/>
              </w:numPr>
              <w:ind w:left="1443"/>
              <w:rPr>
                <w:sz w:val="22"/>
                <w:szCs w:val="22"/>
              </w:rPr>
            </w:pPr>
            <w:r>
              <w:rPr>
                <w:sz w:val="22"/>
                <w:szCs w:val="22"/>
              </w:rPr>
              <w:t>Insgesamt 86 Länder mit 7-T-I &gt;50/100.000, 150 Länder &gt;100, 37 Länder &gt;200/100.000</w:t>
            </w:r>
          </w:p>
          <w:p>
            <w:pPr>
              <w:pStyle w:val="Listenabsatz"/>
              <w:numPr>
                <w:ilvl w:val="0"/>
                <w:numId w:val="44"/>
              </w:numPr>
              <w:ind w:left="450" w:hanging="232"/>
              <w:rPr>
                <w:sz w:val="22"/>
                <w:szCs w:val="22"/>
              </w:rPr>
            </w:pPr>
            <w:r>
              <w:rPr>
                <w:sz w:val="22"/>
                <w:szCs w:val="22"/>
              </w:rPr>
              <w:t>Verteilung Virusvarianten</w:t>
            </w:r>
          </w:p>
          <w:p>
            <w:pPr>
              <w:pStyle w:val="Listenabsatz"/>
              <w:numPr>
                <w:ilvl w:val="1"/>
                <w:numId w:val="44"/>
              </w:numPr>
              <w:ind w:left="876"/>
              <w:rPr>
                <w:sz w:val="22"/>
                <w:szCs w:val="22"/>
              </w:rPr>
            </w:pPr>
            <w:r>
              <w:rPr>
                <w:sz w:val="22"/>
                <w:szCs w:val="22"/>
              </w:rPr>
              <w:t>B.1.1.7</w:t>
            </w:r>
          </w:p>
          <w:p>
            <w:pPr>
              <w:pStyle w:val="Listenabsatz"/>
              <w:numPr>
                <w:ilvl w:val="2"/>
                <w:numId w:val="44"/>
              </w:numPr>
              <w:ind w:left="1443"/>
              <w:rPr>
                <w:sz w:val="22"/>
                <w:szCs w:val="22"/>
              </w:rPr>
            </w:pPr>
            <w:r>
              <w:rPr>
                <w:sz w:val="22"/>
                <w:szCs w:val="22"/>
              </w:rPr>
              <w:t>Nachweis in immer mehr Ländern, aktuell 118</w:t>
            </w:r>
          </w:p>
          <w:p>
            <w:pPr>
              <w:pStyle w:val="Listenabsatz"/>
              <w:numPr>
                <w:ilvl w:val="2"/>
                <w:numId w:val="44"/>
              </w:numPr>
              <w:ind w:left="1443"/>
              <w:rPr>
                <w:sz w:val="22"/>
                <w:szCs w:val="22"/>
              </w:rPr>
            </w:pPr>
            <w:r>
              <w:rPr>
                <w:sz w:val="22"/>
                <w:szCs w:val="22"/>
              </w:rPr>
              <w:t>Teilweise zu sehr hohen Anteilen</w:t>
            </w:r>
          </w:p>
          <w:p>
            <w:pPr>
              <w:pStyle w:val="Listenabsatz"/>
              <w:numPr>
                <w:ilvl w:val="2"/>
                <w:numId w:val="44"/>
              </w:numPr>
              <w:ind w:left="1443"/>
              <w:rPr>
                <w:sz w:val="22"/>
                <w:szCs w:val="22"/>
              </w:rPr>
            </w:pPr>
            <w:r>
              <w:rPr>
                <w:sz w:val="22"/>
                <w:szCs w:val="22"/>
              </w:rPr>
              <w:t>Virusvarianten-Risikogebiete: bestimmte Länder wurden von der Liste entfernt (Irland, UK, Portugal), bei Slowakei und Tschechien wird noch abgewartet</w:t>
            </w:r>
          </w:p>
          <w:p>
            <w:pPr>
              <w:pStyle w:val="Listenabsatz"/>
              <w:numPr>
                <w:ilvl w:val="1"/>
                <w:numId w:val="44"/>
              </w:numPr>
              <w:ind w:left="876"/>
              <w:rPr>
                <w:sz w:val="22"/>
                <w:szCs w:val="22"/>
              </w:rPr>
            </w:pPr>
            <w:r>
              <w:rPr>
                <w:sz w:val="22"/>
                <w:szCs w:val="22"/>
              </w:rPr>
              <w:t>B.1.351</w:t>
            </w:r>
          </w:p>
          <w:p>
            <w:pPr>
              <w:pStyle w:val="Listenabsatz"/>
              <w:numPr>
                <w:ilvl w:val="2"/>
                <w:numId w:val="44"/>
              </w:numPr>
              <w:ind w:left="1443"/>
              <w:rPr>
                <w:sz w:val="22"/>
                <w:szCs w:val="22"/>
              </w:rPr>
            </w:pPr>
            <w:r>
              <w:rPr>
                <w:sz w:val="22"/>
                <w:szCs w:val="22"/>
              </w:rPr>
              <w:t>In 64 Ländern nachgewiesen (+6 zur Vorwoche)</w:t>
            </w:r>
          </w:p>
          <w:p>
            <w:pPr>
              <w:pStyle w:val="Listenabsatz"/>
              <w:numPr>
                <w:ilvl w:val="2"/>
                <w:numId w:val="44"/>
              </w:numPr>
              <w:ind w:left="1443"/>
              <w:rPr>
                <w:sz w:val="22"/>
                <w:szCs w:val="22"/>
              </w:rPr>
            </w:pPr>
            <w:r>
              <w:rPr>
                <w:sz w:val="22"/>
                <w:szCs w:val="22"/>
              </w:rPr>
              <w:t>Virusvarianten-Risikogebiete: diverse afrikanische Länder unter Beobachtung, Österreich wird ggf. nächste Woche von der Liste gestrichen</w:t>
            </w:r>
          </w:p>
          <w:p>
            <w:pPr>
              <w:pStyle w:val="Listenabsatz"/>
              <w:numPr>
                <w:ilvl w:val="1"/>
                <w:numId w:val="44"/>
              </w:numPr>
              <w:ind w:left="876"/>
              <w:rPr>
                <w:sz w:val="22"/>
                <w:szCs w:val="22"/>
              </w:rPr>
            </w:pPr>
            <w:r>
              <w:rPr>
                <w:sz w:val="22"/>
                <w:szCs w:val="22"/>
              </w:rPr>
              <w:t>P1</w:t>
            </w:r>
          </w:p>
          <w:p>
            <w:pPr>
              <w:pStyle w:val="Listenabsatz"/>
              <w:numPr>
                <w:ilvl w:val="2"/>
                <w:numId w:val="44"/>
              </w:numPr>
              <w:ind w:left="1443"/>
              <w:rPr>
                <w:sz w:val="22"/>
                <w:szCs w:val="22"/>
              </w:rPr>
            </w:pPr>
            <w:r>
              <w:rPr>
                <w:sz w:val="22"/>
                <w:szCs w:val="22"/>
              </w:rPr>
              <w:t xml:space="preserve">Nachweis in 38 Ländern (+6) </w:t>
            </w:r>
          </w:p>
          <w:p>
            <w:pPr>
              <w:pStyle w:val="Listenabsatz"/>
              <w:numPr>
                <w:ilvl w:val="2"/>
                <w:numId w:val="44"/>
              </w:numPr>
              <w:ind w:left="1443"/>
              <w:rPr>
                <w:sz w:val="22"/>
                <w:szCs w:val="22"/>
              </w:rPr>
            </w:pPr>
            <w:r>
              <w:rPr>
                <w:sz w:val="22"/>
                <w:szCs w:val="22"/>
              </w:rPr>
              <w:t>Südamerika und Italien (Umbrien, Lazio, Toskana hoher Anteil) unter Beobachtung bzgl. Virusvarianten-Risikogebiete</w:t>
            </w:r>
          </w:p>
          <w:p>
            <w:pPr>
              <w:pStyle w:val="Listenabsatz"/>
              <w:numPr>
                <w:ilvl w:val="1"/>
                <w:numId w:val="44"/>
              </w:numPr>
              <w:ind w:left="876"/>
              <w:rPr>
                <w:sz w:val="22"/>
                <w:szCs w:val="22"/>
              </w:rPr>
            </w:pPr>
            <w:r>
              <w:rPr>
                <w:sz w:val="22"/>
                <w:szCs w:val="22"/>
              </w:rPr>
              <w:t>US CDC weist aufgrund erhöhter Übertragbarkeit (20%) auch B.1.429 und B.1.427als besorgniserregende Varianten aus</w:t>
            </w:r>
          </w:p>
          <w:p>
            <w:pPr>
              <w:pStyle w:val="Listenabsatz"/>
              <w:numPr>
                <w:ilvl w:val="0"/>
                <w:numId w:val="44"/>
              </w:numPr>
              <w:ind w:left="450" w:hanging="232"/>
              <w:rPr>
                <w:sz w:val="22"/>
                <w:szCs w:val="22"/>
              </w:rPr>
            </w:pPr>
            <w:r>
              <w:rPr>
                <w:sz w:val="22"/>
                <w:szCs w:val="22"/>
              </w:rPr>
              <w:t>Lancet Studie aus Dänemark zum Thema Reinfektionen (Folie 6)</w:t>
            </w:r>
          </w:p>
          <w:p>
            <w:pPr>
              <w:pStyle w:val="Listenabsatz"/>
              <w:numPr>
                <w:ilvl w:val="1"/>
                <w:numId w:val="44"/>
              </w:numPr>
              <w:ind w:left="876"/>
              <w:rPr>
                <w:sz w:val="22"/>
                <w:szCs w:val="22"/>
              </w:rPr>
            </w:pPr>
            <w:r>
              <w:rPr>
                <w:sz w:val="22"/>
                <w:szCs w:val="22"/>
              </w:rPr>
              <w:t>DK hatte 2020 eine kostenlose Teststrategie und hat 4 Mio. Personen (69% der Bevölkerung) getestet</w:t>
            </w:r>
          </w:p>
          <w:p>
            <w:pPr>
              <w:pStyle w:val="Listenabsatz"/>
              <w:numPr>
                <w:ilvl w:val="1"/>
                <w:numId w:val="44"/>
              </w:numPr>
              <w:ind w:left="876"/>
              <w:rPr>
                <w:sz w:val="22"/>
                <w:szCs w:val="22"/>
              </w:rPr>
            </w:pPr>
            <w:r>
              <w:rPr>
                <w:sz w:val="22"/>
                <w:szCs w:val="22"/>
              </w:rPr>
              <w:t>Testdaten wurden genutzt, um Reinfektionen anhand von 2 Beobachtungsräumen (Frühjahr, Herbst) zu untersuchen</w:t>
            </w:r>
          </w:p>
          <w:p>
            <w:pPr>
              <w:pStyle w:val="Listenabsatz"/>
              <w:numPr>
                <w:ilvl w:val="1"/>
                <w:numId w:val="44"/>
              </w:numPr>
              <w:ind w:left="876"/>
              <w:rPr>
                <w:sz w:val="22"/>
                <w:szCs w:val="22"/>
              </w:rPr>
            </w:pPr>
            <w:r>
              <w:rPr>
                <w:sz w:val="22"/>
                <w:szCs w:val="22"/>
              </w:rPr>
              <w:t>&gt;500.000 PCR-negativ in Phase I, 3,3% von diesen in Phase II positiv</w:t>
            </w:r>
          </w:p>
          <w:p>
            <w:pPr>
              <w:pStyle w:val="Listenabsatz"/>
              <w:numPr>
                <w:ilvl w:val="1"/>
                <w:numId w:val="44"/>
              </w:numPr>
              <w:ind w:left="876"/>
              <w:rPr>
                <w:sz w:val="22"/>
                <w:szCs w:val="22"/>
                <w:lang w:val="en-GB"/>
              </w:rPr>
            </w:pPr>
            <w:r>
              <w:rPr>
                <w:sz w:val="22"/>
                <w:szCs w:val="22"/>
                <w:lang w:val="en-GB"/>
              </w:rPr>
              <w:t>11.000 PCR-</w:t>
            </w:r>
            <w:proofErr w:type="spellStart"/>
            <w:r>
              <w:rPr>
                <w:sz w:val="22"/>
                <w:szCs w:val="22"/>
                <w:lang w:val="en-GB"/>
              </w:rPr>
              <w:t>positiv</w:t>
            </w:r>
            <w:proofErr w:type="spellEnd"/>
            <w:r>
              <w:rPr>
                <w:sz w:val="22"/>
                <w:szCs w:val="22"/>
                <w:lang w:val="en-GB"/>
              </w:rPr>
              <w:t xml:space="preserve"> in Phase I, 72 </w:t>
            </w:r>
            <w:proofErr w:type="spellStart"/>
            <w:r>
              <w:rPr>
                <w:sz w:val="22"/>
                <w:szCs w:val="22"/>
                <w:lang w:val="en-GB"/>
              </w:rPr>
              <w:t>positiv</w:t>
            </w:r>
            <w:proofErr w:type="spellEnd"/>
            <w:r>
              <w:rPr>
                <w:sz w:val="22"/>
                <w:szCs w:val="22"/>
                <w:lang w:val="en-GB"/>
              </w:rPr>
              <w:t xml:space="preserve"> (0,6%) in Phase II</w:t>
            </w:r>
          </w:p>
          <w:p>
            <w:pPr>
              <w:pStyle w:val="Listenabsatz"/>
              <w:numPr>
                <w:ilvl w:val="1"/>
                <w:numId w:val="44"/>
              </w:numPr>
              <w:ind w:left="876"/>
              <w:rPr>
                <w:sz w:val="22"/>
                <w:szCs w:val="22"/>
              </w:rPr>
            </w:pPr>
            <w:r>
              <w:rPr>
                <w:sz w:val="22"/>
                <w:szCs w:val="22"/>
              </w:rPr>
              <w:t>Durch Infektion besteht Schutz vor erneuter Infektion, dieser liegt bei &lt; 65-jährigen bei ~80%</w:t>
            </w:r>
          </w:p>
          <w:p>
            <w:pPr>
              <w:pStyle w:val="Listenabsatz"/>
              <w:numPr>
                <w:ilvl w:val="1"/>
                <w:numId w:val="44"/>
              </w:numPr>
              <w:ind w:left="876"/>
              <w:rPr>
                <w:sz w:val="22"/>
                <w:szCs w:val="22"/>
              </w:rPr>
            </w:pPr>
            <w:r>
              <w:rPr>
                <w:sz w:val="22"/>
                <w:szCs w:val="22"/>
              </w:rPr>
              <w:t>Insbesondere bei ≥65-jährigen weniger Schutz (47%)</w:t>
            </w:r>
          </w:p>
          <w:p>
            <w:pPr>
              <w:pStyle w:val="Listenabsatz"/>
              <w:numPr>
                <w:ilvl w:val="1"/>
                <w:numId w:val="44"/>
              </w:numPr>
              <w:ind w:left="876"/>
              <w:rPr>
                <w:sz w:val="22"/>
                <w:szCs w:val="22"/>
              </w:rPr>
            </w:pPr>
            <w:r>
              <w:rPr>
                <w:sz w:val="22"/>
                <w:szCs w:val="22"/>
              </w:rPr>
              <w:t>Bereits infizierte Personen können sich nicht auf Schutz verlassen</w:t>
            </w:r>
          </w:p>
          <w:p>
            <w:pPr>
              <w:pStyle w:val="Listenabsatz"/>
              <w:numPr>
                <w:ilvl w:val="1"/>
                <w:numId w:val="44"/>
              </w:numPr>
              <w:ind w:left="876"/>
              <w:rPr>
                <w:sz w:val="22"/>
                <w:szCs w:val="22"/>
              </w:rPr>
            </w:pPr>
            <w:r>
              <w:rPr>
                <w:sz w:val="22"/>
                <w:szCs w:val="22"/>
              </w:rPr>
              <w:t>Studie wurde zu Zeiten ohne virusvarianten durchgeführt</w:t>
            </w:r>
          </w:p>
          <w:p>
            <w:pPr>
              <w:pStyle w:val="Listenabsatz"/>
              <w:numPr>
                <w:ilvl w:val="1"/>
                <w:numId w:val="44"/>
              </w:numPr>
              <w:ind w:left="876"/>
              <w:rPr>
                <w:sz w:val="22"/>
                <w:szCs w:val="22"/>
              </w:rPr>
            </w:pPr>
            <w:r>
              <w:rPr>
                <w:sz w:val="22"/>
                <w:szCs w:val="22"/>
              </w:rPr>
              <w:t>Auf Bitte des BMG hat ZIG2 eine Zusammenfassung des Lancet Artikels erstellt, ZIGL schickt diese an Krisenstab</w:t>
            </w:r>
          </w:p>
          <w:p>
            <w:pPr>
              <w:pStyle w:val="Listenabsatz"/>
              <w:numPr>
                <w:ilvl w:val="1"/>
                <w:numId w:val="44"/>
              </w:numPr>
              <w:ind w:left="876"/>
              <w:rPr>
                <w:sz w:val="22"/>
                <w:szCs w:val="22"/>
              </w:rPr>
            </w:pPr>
            <w:r>
              <w:rPr>
                <w:sz w:val="22"/>
                <w:szCs w:val="22"/>
              </w:rPr>
              <w:t>Bei gealtertem Immunsystem ist eine subadäquate Reaktion zu erwarten, deswegen ist dieses Ergebnis nicht überraschend; bei der Impfwirksamkeit ist ähnliches zu erwarten (geringere Immunreaktion auf Impfung als bei jüngeren Menschen)</w:t>
            </w:r>
          </w:p>
          <w:p>
            <w:pPr>
              <w:rPr>
                <w:sz w:val="22"/>
                <w:szCs w:val="22"/>
              </w:rPr>
            </w:pPr>
          </w:p>
          <w:p>
            <w:pPr>
              <w:pStyle w:val="Listenabsatz"/>
              <w:numPr>
                <w:ilvl w:val="0"/>
                <w:numId w:val="44"/>
              </w:numPr>
              <w:ind w:left="450" w:hanging="232"/>
              <w:rPr>
                <w:sz w:val="22"/>
                <w:szCs w:val="22"/>
              </w:rPr>
            </w:pPr>
            <w:r>
              <w:rPr>
                <w:sz w:val="22"/>
                <w:szCs w:val="22"/>
              </w:rPr>
              <w:t>Ausweisung Risikogebiete</w:t>
            </w:r>
          </w:p>
          <w:p>
            <w:pPr>
              <w:pStyle w:val="Listenabsatz"/>
              <w:numPr>
                <w:ilvl w:val="1"/>
                <w:numId w:val="44"/>
              </w:numPr>
              <w:ind w:left="876"/>
              <w:rPr>
                <w:sz w:val="22"/>
                <w:szCs w:val="22"/>
              </w:rPr>
            </w:pPr>
            <w:r>
              <w:rPr>
                <w:sz w:val="22"/>
                <w:szCs w:val="22"/>
              </w:rPr>
              <w:t>RKI hofft, dass Virusvarianten nach Ostern nicht mehr ausgewiesen werden müssen</w:t>
            </w:r>
          </w:p>
          <w:p>
            <w:pPr>
              <w:pStyle w:val="Listenabsatz"/>
              <w:numPr>
                <w:ilvl w:val="1"/>
                <w:numId w:val="44"/>
              </w:numPr>
              <w:ind w:left="876"/>
              <w:rPr>
                <w:sz w:val="22"/>
                <w:szCs w:val="22"/>
              </w:rPr>
            </w:pPr>
            <w:r>
              <w:rPr>
                <w:sz w:val="22"/>
                <w:szCs w:val="22"/>
              </w:rPr>
              <w:t>Hochinzidenzgebiete sinnvoll, Virusvariantengebiete nicht</w:t>
            </w:r>
          </w:p>
          <w:p>
            <w:pPr>
              <w:pStyle w:val="Listenabsatz"/>
              <w:numPr>
                <w:ilvl w:val="1"/>
                <w:numId w:val="44"/>
              </w:numPr>
              <w:ind w:left="876"/>
              <w:rPr>
                <w:sz w:val="22"/>
                <w:szCs w:val="22"/>
              </w:rPr>
            </w:pPr>
            <w:r>
              <w:rPr>
                <w:sz w:val="22"/>
                <w:szCs w:val="22"/>
              </w:rPr>
              <w:t xml:space="preserve">BMG hält aktuell an Unterscheidung Virusvariantengebiete, Hochrisikogebiete und Risikogebiete fest </w:t>
            </w:r>
          </w:p>
          <w:p>
            <w:pPr>
              <w:pStyle w:val="Listenabsatz"/>
              <w:numPr>
                <w:ilvl w:val="1"/>
                <w:numId w:val="44"/>
              </w:numPr>
              <w:ind w:left="876"/>
              <w:rPr>
                <w:sz w:val="22"/>
                <w:szCs w:val="22"/>
              </w:rPr>
            </w:pPr>
            <w:r>
              <w:rPr>
                <w:sz w:val="22"/>
                <w:szCs w:val="22"/>
              </w:rPr>
              <w:t>BMI möchte generell Virusvariantenausweisung beibehalten</w:t>
            </w:r>
          </w:p>
          <w:p>
            <w:pPr>
              <w:rPr>
                <w:i/>
                <w:sz w:val="22"/>
              </w:rPr>
            </w:pPr>
          </w:p>
          <w:p>
            <w:pPr>
              <w:spacing w:line="276" w:lineRule="auto"/>
              <w:rPr>
                <w:b/>
                <w:sz w:val="22"/>
                <w:szCs w:val="22"/>
              </w:rPr>
            </w:pPr>
            <w:r>
              <w:rPr>
                <w:b/>
                <w:sz w:val="22"/>
                <w:szCs w:val="22"/>
              </w:rPr>
              <w:t xml:space="preserve">National </w:t>
            </w:r>
          </w:p>
          <w:p>
            <w:pPr>
              <w:pStyle w:val="Listenabsatz"/>
              <w:numPr>
                <w:ilvl w:val="0"/>
                <w:numId w:val="31"/>
              </w:numPr>
              <w:ind w:left="450" w:hanging="232"/>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44"/>
              </w:numPr>
              <w:ind w:left="876"/>
              <w:rPr>
                <w:sz w:val="22"/>
                <w:szCs w:val="22"/>
              </w:rPr>
            </w:pPr>
            <w:r>
              <w:rPr>
                <w:sz w:val="22"/>
                <w:szCs w:val="22"/>
              </w:rPr>
              <w:t>SurvNet übermittelt: 2.629.750 (+17.482), davon 74.358</w:t>
            </w:r>
            <w:r>
              <w:rPr>
                <w:sz w:val="22"/>
                <w:szCs w:val="22"/>
                <w:highlight w:val="yellow"/>
              </w:rPr>
              <w:t xml:space="preserve"> </w:t>
            </w:r>
            <w:r>
              <w:rPr>
                <w:sz w:val="22"/>
                <w:szCs w:val="22"/>
              </w:rPr>
              <w:t>(2,8%) Todesfälle (+226), 7-Tage-Inzidenz 96 Fälle/100.000 Einw.</w:t>
            </w:r>
          </w:p>
          <w:p>
            <w:pPr>
              <w:pStyle w:val="Listenabsatz"/>
              <w:numPr>
                <w:ilvl w:val="1"/>
                <w:numId w:val="44"/>
              </w:numPr>
              <w:ind w:left="876"/>
              <w:rPr>
                <w:sz w:val="22"/>
                <w:szCs w:val="22"/>
              </w:rPr>
            </w:pPr>
            <w:r>
              <w:rPr>
                <w:sz w:val="22"/>
                <w:szCs w:val="22"/>
              </w:rPr>
              <w:t>Zahlen gehen deutlich nach oben, 2 Tage hintereinander starker Anstieg, 7-T-I ist beinah bei 100, Anzahl der Kreise mit hohen Inzidenzen ist zunehmend</w:t>
            </w:r>
          </w:p>
          <w:p>
            <w:pPr>
              <w:pStyle w:val="Listenabsatz"/>
              <w:numPr>
                <w:ilvl w:val="1"/>
                <w:numId w:val="44"/>
              </w:numPr>
              <w:ind w:left="876"/>
              <w:rPr>
                <w:sz w:val="22"/>
                <w:szCs w:val="22"/>
              </w:rPr>
            </w:pPr>
            <w:r>
              <w:rPr>
                <w:sz w:val="22"/>
                <w:szCs w:val="22"/>
              </w:rPr>
              <w:t>In den Verstorbenenzahlen ist dies noch nicht reflektiert, hier gibt es aber oft einen Verzug</w:t>
            </w:r>
          </w:p>
          <w:p>
            <w:pPr>
              <w:pStyle w:val="Listenabsatz"/>
              <w:numPr>
                <w:ilvl w:val="1"/>
                <w:numId w:val="44"/>
              </w:numPr>
              <w:ind w:left="876"/>
              <w:rPr>
                <w:sz w:val="22"/>
                <w:szCs w:val="22"/>
              </w:rPr>
            </w:pPr>
            <w:r>
              <w:rPr>
                <w:sz w:val="22"/>
                <w:szCs w:val="22"/>
              </w:rPr>
              <w:t>Fälle IST: 2.895 (+36), es sind aktuell regelmäßig kleinere Anstiege zu verzeichnen</w:t>
            </w:r>
          </w:p>
          <w:p>
            <w:pPr>
              <w:pStyle w:val="Listenabsatz"/>
              <w:numPr>
                <w:ilvl w:val="1"/>
                <w:numId w:val="44"/>
              </w:numPr>
              <w:ind w:left="876"/>
              <w:rPr>
                <w:sz w:val="22"/>
                <w:szCs w:val="22"/>
              </w:rPr>
            </w:pPr>
            <w:r>
              <w:rPr>
                <w:sz w:val="22"/>
                <w:szCs w:val="22"/>
              </w:rPr>
              <w:t>7-T-Inzidenzen BL: TH doppelt so hoch wie bundesweiter Durchschnitt, Anstieg auch in SN, ST, HE, BY, lediglich weiterhin niedrig in MV, SH, SL</w:t>
            </w:r>
          </w:p>
          <w:p>
            <w:pPr>
              <w:pStyle w:val="Listenabsatz"/>
              <w:numPr>
                <w:ilvl w:val="1"/>
                <w:numId w:val="44"/>
              </w:numPr>
              <w:ind w:left="876"/>
              <w:rPr>
                <w:sz w:val="22"/>
                <w:szCs w:val="22"/>
              </w:rPr>
            </w:pPr>
            <w:r>
              <w:rPr>
                <w:sz w:val="22"/>
                <w:szCs w:val="22"/>
              </w:rPr>
              <w:t>Geografische Verteilung: Karte wird dunkler, Schwerpunkte TH, BY an tschechischer Grenze, LK Greiz &gt;500/100.000, viele Kreise &gt;200, nur 5 Kreise &lt;25 Fälle/100.000</w:t>
            </w:r>
          </w:p>
          <w:p>
            <w:pPr>
              <w:pStyle w:val="Listenabsatz"/>
              <w:numPr>
                <w:ilvl w:val="1"/>
                <w:numId w:val="44"/>
              </w:numPr>
              <w:ind w:left="876"/>
              <w:rPr>
                <w:sz w:val="22"/>
                <w:szCs w:val="22"/>
              </w:rPr>
            </w:pPr>
            <w:r>
              <w:rPr>
                <w:sz w:val="22"/>
                <w:szCs w:val="22"/>
              </w:rPr>
              <w:t>Verstorbene nach Altersgruppen und MW</w:t>
            </w:r>
          </w:p>
          <w:p>
            <w:pPr>
              <w:pStyle w:val="Listenabsatz"/>
              <w:numPr>
                <w:ilvl w:val="2"/>
                <w:numId w:val="44"/>
              </w:numPr>
              <w:ind w:left="1443"/>
              <w:rPr>
                <w:sz w:val="22"/>
                <w:szCs w:val="22"/>
              </w:rPr>
            </w:pPr>
            <w:r>
              <w:rPr>
                <w:sz w:val="22"/>
                <w:szCs w:val="22"/>
              </w:rPr>
              <w:t>Meiste Todesfälle in hohen Altersgruppen &gt;70, weniger bei jüngeren</w:t>
            </w:r>
          </w:p>
          <w:p>
            <w:pPr>
              <w:pStyle w:val="Listenabsatz"/>
              <w:numPr>
                <w:ilvl w:val="2"/>
                <w:numId w:val="44"/>
              </w:numPr>
              <w:ind w:left="1443"/>
              <w:rPr>
                <w:sz w:val="22"/>
                <w:szCs w:val="22"/>
              </w:rPr>
            </w:pPr>
            <w:r>
              <w:rPr>
                <w:sz w:val="22"/>
                <w:szCs w:val="22"/>
              </w:rPr>
              <w:t>Ein Rückgang ist sichtbar, aber möglicher Verzug</w:t>
            </w:r>
          </w:p>
          <w:p>
            <w:pPr>
              <w:pStyle w:val="Listenabsatz"/>
              <w:numPr>
                <w:ilvl w:val="2"/>
                <w:numId w:val="44"/>
              </w:numPr>
              <w:ind w:left="1443"/>
              <w:rPr>
                <w:sz w:val="22"/>
                <w:szCs w:val="22"/>
              </w:rPr>
            </w:pPr>
            <w:r>
              <w:rPr>
                <w:sz w:val="22"/>
                <w:szCs w:val="22"/>
              </w:rPr>
              <w:t>In der relativen Verteilung ist der Anteil bei &gt;70-jährigen leicht rückläufig, jedoch noch stets 80%</w:t>
            </w:r>
          </w:p>
          <w:p>
            <w:pPr>
              <w:pStyle w:val="Listenabsatz"/>
              <w:numPr>
                <w:ilvl w:val="2"/>
                <w:numId w:val="44"/>
              </w:numPr>
              <w:ind w:left="1443"/>
              <w:rPr>
                <w:sz w:val="22"/>
                <w:szCs w:val="22"/>
              </w:rPr>
            </w:pPr>
            <w:r>
              <w:rPr>
                <w:sz w:val="22"/>
                <w:szCs w:val="22"/>
              </w:rPr>
              <w:t>Anteil Todesfälle bei 50 und 60-jährigen zunehmend, kann jedoch auch an der AG-Verschiebung liegen</w:t>
            </w:r>
          </w:p>
          <w:p>
            <w:pPr>
              <w:pStyle w:val="Listenabsatz"/>
              <w:numPr>
                <w:ilvl w:val="1"/>
                <w:numId w:val="44"/>
              </w:numPr>
              <w:ind w:left="876"/>
              <w:rPr>
                <w:sz w:val="22"/>
                <w:szCs w:val="22"/>
              </w:rPr>
            </w:pPr>
            <w:r>
              <w:rPr>
                <w:sz w:val="22"/>
                <w:szCs w:val="22"/>
              </w:rPr>
              <w:t>Altersmedian COVID-19 Fälle/Hospitalisierte/Verstorbene</w:t>
            </w:r>
          </w:p>
          <w:p>
            <w:pPr>
              <w:pStyle w:val="Listenabsatz"/>
              <w:numPr>
                <w:ilvl w:val="2"/>
                <w:numId w:val="44"/>
              </w:numPr>
              <w:ind w:left="1443"/>
              <w:rPr>
                <w:sz w:val="22"/>
                <w:szCs w:val="22"/>
              </w:rPr>
            </w:pPr>
            <w:r>
              <w:rPr>
                <w:sz w:val="22"/>
                <w:szCs w:val="22"/>
              </w:rPr>
              <w:t>Fälle (gelb): Median von fast 50 bei höchstem Peak Ende 2020, außerhalb der Peaks ist Median niedriger</w:t>
            </w:r>
          </w:p>
          <w:p>
            <w:pPr>
              <w:pStyle w:val="Listenabsatz"/>
              <w:numPr>
                <w:ilvl w:val="2"/>
                <w:numId w:val="44"/>
              </w:numPr>
              <w:ind w:left="1443"/>
              <w:rPr>
                <w:sz w:val="22"/>
                <w:szCs w:val="22"/>
              </w:rPr>
            </w:pPr>
            <w:r>
              <w:rPr>
                <w:sz w:val="22"/>
                <w:szCs w:val="22"/>
              </w:rPr>
              <w:t>Hospitalisierte (grau): vor Beginn 2. Welle bei &lt;70</w:t>
            </w:r>
          </w:p>
          <w:p>
            <w:pPr>
              <w:pStyle w:val="Listenabsatz"/>
              <w:numPr>
                <w:ilvl w:val="2"/>
                <w:numId w:val="44"/>
              </w:numPr>
              <w:ind w:left="1443"/>
              <w:rPr>
                <w:sz w:val="22"/>
                <w:szCs w:val="22"/>
              </w:rPr>
            </w:pPr>
            <w:r>
              <w:rPr>
                <w:sz w:val="22"/>
                <w:szCs w:val="22"/>
              </w:rPr>
              <w:t>Bei IST-betreuten (orange) nicht so große Unterschiede mit Median immer um die 70</w:t>
            </w:r>
          </w:p>
          <w:p>
            <w:pPr>
              <w:pStyle w:val="Listenabsatz"/>
              <w:numPr>
                <w:ilvl w:val="2"/>
                <w:numId w:val="44"/>
              </w:numPr>
              <w:ind w:left="1443"/>
              <w:rPr>
                <w:sz w:val="22"/>
                <w:szCs w:val="22"/>
              </w:rPr>
            </w:pPr>
            <w:r>
              <w:rPr>
                <w:sz w:val="22"/>
                <w:szCs w:val="22"/>
              </w:rPr>
              <w:t>Bei verstorbenen median um die 82</w:t>
            </w:r>
          </w:p>
          <w:p>
            <w:pPr>
              <w:pStyle w:val="Listenabsatz"/>
              <w:numPr>
                <w:ilvl w:val="2"/>
                <w:numId w:val="44"/>
              </w:numPr>
              <w:ind w:left="1443"/>
              <w:rPr>
                <w:sz w:val="22"/>
                <w:szCs w:val="22"/>
              </w:rPr>
            </w:pPr>
            <w:r>
              <w:rPr>
                <w:sz w:val="22"/>
                <w:szCs w:val="22"/>
              </w:rPr>
              <w:t>Altersstruktur hängt auch vom Setting ab, in dem Infektionen auftreten, teils viel in Alten-/Pflegeheimen</w:t>
            </w:r>
          </w:p>
          <w:p>
            <w:pPr>
              <w:pStyle w:val="Listenabsatz"/>
              <w:numPr>
                <w:ilvl w:val="0"/>
                <w:numId w:val="31"/>
              </w:numPr>
              <w:ind w:left="450" w:hanging="232"/>
              <w:rPr>
                <w:sz w:val="22"/>
                <w:szCs w:val="22"/>
              </w:rPr>
            </w:pPr>
            <w:r>
              <w:rPr>
                <w:sz w:val="22"/>
                <w:szCs w:val="22"/>
              </w:rPr>
              <w:t>Sterbefallzahlen</w:t>
            </w:r>
          </w:p>
          <w:p>
            <w:pPr>
              <w:pStyle w:val="Listenabsatz"/>
              <w:numPr>
                <w:ilvl w:val="1"/>
                <w:numId w:val="44"/>
              </w:numPr>
              <w:ind w:left="876"/>
              <w:rPr>
                <w:sz w:val="22"/>
                <w:szCs w:val="22"/>
              </w:rPr>
            </w:pPr>
            <w:r>
              <w:rPr>
                <w:sz w:val="22"/>
                <w:szCs w:val="22"/>
              </w:rPr>
              <w:t>Leicht unter dem Durchschnitt der Vorjahre, ggf. durch ausbleiben der Influenzawelle, es ist keine Übersterblichkeit sichtbar</w:t>
            </w:r>
          </w:p>
          <w:p>
            <w:pPr>
              <w:pStyle w:val="Listenabsatz"/>
              <w:numPr>
                <w:ilvl w:val="1"/>
                <w:numId w:val="44"/>
              </w:numPr>
              <w:ind w:left="876"/>
              <w:rPr>
                <w:sz w:val="22"/>
                <w:szCs w:val="22"/>
              </w:rPr>
            </w:pPr>
            <w:r>
              <w:rPr>
                <w:sz w:val="22"/>
                <w:szCs w:val="22"/>
              </w:rPr>
              <w:t>Möglicher Nachholeffekt der Sterbefallzahlen, schwache Influenzasaison ist gut nachvollziehbar, es sind aber weitere Argumentationsansätze notwendig um sprachfähig zu sein</w:t>
            </w:r>
          </w:p>
          <w:p>
            <w:pPr>
              <w:pStyle w:val="Listenabsatz"/>
              <w:numPr>
                <w:ilvl w:val="1"/>
                <w:numId w:val="44"/>
              </w:numPr>
              <w:ind w:left="876"/>
              <w:rPr>
                <w:sz w:val="22"/>
                <w:szCs w:val="22"/>
              </w:rPr>
            </w:pPr>
            <w:r>
              <w:rPr>
                <w:sz w:val="22"/>
                <w:szCs w:val="22"/>
              </w:rPr>
              <w:lastRenderedPageBreak/>
              <w:t>Noch ist nicht zu sehen, dass aufgrund des Impfeffekts weniger alte sterben? Ist es zu früh? Sterben geimpfte?</w:t>
            </w:r>
          </w:p>
          <w:p>
            <w:pPr>
              <w:pStyle w:val="Listenabsatz"/>
              <w:numPr>
                <w:ilvl w:val="2"/>
                <w:numId w:val="44"/>
              </w:numPr>
              <w:ind w:left="1443"/>
              <w:rPr>
                <w:sz w:val="22"/>
                <w:szCs w:val="22"/>
              </w:rPr>
            </w:pPr>
            <w:r>
              <w:rPr>
                <w:sz w:val="22"/>
                <w:szCs w:val="22"/>
              </w:rPr>
              <w:t>Die Kurven müssen nah beobachtet werden</w:t>
            </w:r>
          </w:p>
          <w:p>
            <w:pPr>
              <w:pStyle w:val="Listenabsatz"/>
              <w:numPr>
                <w:ilvl w:val="2"/>
                <w:numId w:val="44"/>
              </w:numPr>
              <w:ind w:left="1443"/>
              <w:rPr>
                <w:sz w:val="22"/>
                <w:szCs w:val="22"/>
              </w:rPr>
            </w:pPr>
            <w:r>
              <w:rPr>
                <w:sz w:val="22"/>
                <w:szCs w:val="22"/>
              </w:rPr>
              <w:t>Es ist eher beruhigend, wenn der Altersmedian der Sterbefälle sich nicht verschiebt</w:t>
            </w:r>
          </w:p>
          <w:p>
            <w:pPr>
              <w:pStyle w:val="Listenabsatz"/>
              <w:numPr>
                <w:ilvl w:val="2"/>
                <w:numId w:val="44"/>
              </w:numPr>
              <w:ind w:left="1443"/>
              <w:rPr>
                <w:sz w:val="22"/>
                <w:szCs w:val="22"/>
              </w:rPr>
            </w:pPr>
            <w:r>
              <w:rPr>
                <w:sz w:val="22"/>
                <w:szCs w:val="22"/>
              </w:rPr>
              <w:t>Das Hauptrisiko, an COVID-19 zu sterben, ist das Alter</w:t>
            </w:r>
          </w:p>
          <w:p>
            <w:pPr>
              <w:pStyle w:val="Listenabsatz"/>
              <w:numPr>
                <w:ilvl w:val="2"/>
                <w:numId w:val="44"/>
              </w:numPr>
              <w:ind w:left="1443"/>
              <w:rPr>
                <w:sz w:val="22"/>
                <w:szCs w:val="22"/>
              </w:rPr>
            </w:pPr>
            <w:r>
              <w:rPr>
                <w:sz w:val="22"/>
                <w:szCs w:val="22"/>
              </w:rPr>
              <w:t>Es sterben wahrscheinlich weniger alte, dies sollte sich jedoch nicht im Altersmedian widerspiegeln</w:t>
            </w:r>
          </w:p>
          <w:p>
            <w:pPr>
              <w:pStyle w:val="Listenabsatz"/>
              <w:numPr>
                <w:ilvl w:val="2"/>
                <w:numId w:val="44"/>
              </w:numPr>
              <w:ind w:left="1443"/>
              <w:rPr>
                <w:sz w:val="22"/>
                <w:szCs w:val="22"/>
              </w:rPr>
            </w:pPr>
            <w:r>
              <w:rPr>
                <w:sz w:val="22"/>
                <w:szCs w:val="22"/>
              </w:rPr>
              <w:t>Wenn die Altersverteilung sich verschiebt, ist eher die höhere Virulenz von B.1.1.7 zu befürchten</w:t>
            </w:r>
          </w:p>
          <w:p>
            <w:pPr>
              <w:pStyle w:val="Listenabsatz"/>
              <w:numPr>
                <w:ilvl w:val="1"/>
                <w:numId w:val="44"/>
              </w:numPr>
              <w:ind w:left="876"/>
              <w:rPr>
                <w:sz w:val="22"/>
                <w:szCs w:val="22"/>
              </w:rPr>
            </w:pPr>
            <w:r>
              <w:rPr>
                <w:sz w:val="22"/>
                <w:szCs w:val="22"/>
              </w:rPr>
              <w:t>Das Argument, dass ältere, gebrechlichere Menschen, die auch ohne COVID-19 zeitnah versterben würden, sollte entschärft werden</w:t>
            </w:r>
          </w:p>
          <w:p>
            <w:pPr>
              <w:pStyle w:val="Listenabsatz"/>
              <w:numPr>
                <w:ilvl w:val="1"/>
                <w:numId w:val="44"/>
              </w:numPr>
              <w:ind w:left="876"/>
              <w:rPr>
                <w:sz w:val="22"/>
                <w:szCs w:val="22"/>
              </w:rPr>
            </w:pPr>
            <w:r>
              <w:rPr>
                <w:sz w:val="22"/>
                <w:szCs w:val="22"/>
              </w:rPr>
              <w:t>COVID-19 sollte nicht mit Influenza verglichen werden, bei normaler Influenzawelle versterben mehr Leute, jedoch ist COVID-19 aus anderen Gründen bedenklich(er)</w:t>
            </w:r>
          </w:p>
          <w:p>
            <w:pPr>
              <w:pStyle w:val="Listenabsatz"/>
              <w:numPr>
                <w:ilvl w:val="1"/>
                <w:numId w:val="44"/>
              </w:numPr>
              <w:ind w:left="876"/>
              <w:rPr>
                <w:sz w:val="22"/>
                <w:szCs w:val="22"/>
              </w:rPr>
            </w:pPr>
            <w:r>
              <w:rPr>
                <w:sz w:val="22"/>
                <w:szCs w:val="22"/>
              </w:rPr>
              <w:t xml:space="preserve">Euro-MOMO: Untersterblichkeit aktuell lediglich bei jungen AG ausgeprägt auch in anderen Ländern, bei anderen AG zunehmend: </w:t>
            </w:r>
            <w:hyperlink r:id="rId10" w:history="1">
              <w:r>
                <w:rPr>
                  <w:rStyle w:val="Hyperlink"/>
                  <w:sz w:val="22"/>
                  <w:szCs w:val="22"/>
                </w:rPr>
                <w:t>https://www.euromomo.eu/graphs-and-maps</w:t>
              </w:r>
            </w:hyperlink>
            <w:r>
              <w:rPr>
                <w:sz w:val="22"/>
                <w:szCs w:val="22"/>
              </w:rPr>
              <w:t xml:space="preserve"> </w:t>
            </w:r>
          </w:p>
          <w:p>
            <w:pPr>
              <w:rPr>
                <w:i/>
                <w:sz w:val="22"/>
                <w:szCs w:val="22"/>
              </w:rPr>
            </w:pPr>
            <w:r>
              <w:rPr>
                <w:i/>
                <w:sz w:val="22"/>
                <w:szCs w:val="22"/>
              </w:rPr>
              <w:t xml:space="preserve"> </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lastRenderedPageBreak/>
              <w:t>2</w:t>
            </w:r>
          </w:p>
        </w:tc>
        <w:tc>
          <w:tcPr>
            <w:tcW w:w="6966" w:type="dxa"/>
          </w:tcPr>
          <w:p>
            <w:pPr>
              <w:spacing w:line="276" w:lineRule="auto"/>
              <w:rPr>
                <w:b/>
                <w:sz w:val="28"/>
              </w:rPr>
            </w:pPr>
            <w:r>
              <w:rPr>
                <w:b/>
                <w:sz w:val="28"/>
              </w:rPr>
              <w:t>Internationales</w:t>
            </w:r>
            <w:r>
              <w:rPr>
                <w:b/>
                <w:color w:val="FF0000"/>
              </w:rPr>
              <w:t xml:space="preserve"> (nur freitags)</w:t>
            </w:r>
          </w:p>
          <w:p>
            <w:pPr>
              <w:pStyle w:val="Listenabsatz"/>
              <w:numPr>
                <w:ilvl w:val="0"/>
                <w:numId w:val="31"/>
              </w:numPr>
              <w:ind w:left="450" w:hanging="232"/>
              <w:rPr>
                <w:sz w:val="22"/>
                <w:szCs w:val="22"/>
              </w:rPr>
            </w:pPr>
            <w:r>
              <w:rPr>
                <w:sz w:val="22"/>
                <w:szCs w:val="22"/>
              </w:rPr>
              <w:t>Montenegro-Einsatz: Vorbereitung verschiebt sich, zunächst ist eine Labormission geplant, die Partner vor Ort sind überlastet, gute Planung muss noch erfolgen</w:t>
            </w:r>
          </w:p>
          <w:p>
            <w:pPr>
              <w:pStyle w:val="Listenabsatz"/>
              <w:numPr>
                <w:ilvl w:val="0"/>
                <w:numId w:val="31"/>
              </w:numPr>
              <w:ind w:left="450" w:hanging="232"/>
              <w:rPr>
                <w:sz w:val="22"/>
                <w:szCs w:val="22"/>
              </w:rPr>
            </w:pPr>
            <w:r>
              <w:rPr>
                <w:sz w:val="22"/>
                <w:szCs w:val="22"/>
              </w:rPr>
              <w:t>Usbekistan-Einsatz: diese Woche Launch des Telemedizin-Projektes mit ZIG1, IBBS und Charité</w:t>
            </w:r>
          </w:p>
          <w:p>
            <w:pPr>
              <w:pStyle w:val="Listenabsatz"/>
              <w:numPr>
                <w:ilvl w:val="0"/>
                <w:numId w:val="31"/>
              </w:numPr>
              <w:ind w:left="450" w:hanging="232"/>
              <w:rPr>
                <w:sz w:val="22"/>
                <w:szCs w:val="22"/>
              </w:rPr>
            </w:pPr>
            <w:r>
              <w:rPr>
                <w:sz w:val="22"/>
                <w:szCs w:val="22"/>
              </w:rPr>
              <w:t>Irak- Einsatz SEEG: endet heute, Heinz Ellerbrok war dabei</w:t>
            </w:r>
          </w:p>
          <w:p>
            <w:pPr>
              <w:pStyle w:val="Listenabsatz"/>
              <w:numPr>
                <w:ilvl w:val="0"/>
                <w:numId w:val="31"/>
              </w:numPr>
              <w:ind w:left="450" w:hanging="232"/>
              <w:rPr>
                <w:sz w:val="22"/>
                <w:szCs w:val="22"/>
              </w:rPr>
            </w:pPr>
            <w:r>
              <w:rPr>
                <w:sz w:val="22"/>
                <w:szCs w:val="22"/>
              </w:rPr>
              <w:t>Sudan: Anfrage zur Unterstützung der COVID-19-Response</w:t>
            </w:r>
          </w:p>
          <w:p>
            <w:pPr>
              <w:rPr>
                <w:i/>
                <w:sz w:val="22"/>
                <w:szCs w:val="22"/>
              </w:rPr>
            </w:pPr>
          </w:p>
        </w:tc>
        <w:tc>
          <w:tcPr>
            <w:tcW w:w="1492" w:type="dxa"/>
          </w:tcPr>
          <w:p>
            <w:pPr>
              <w:rPr>
                <w:sz w:val="22"/>
                <w:szCs w:val="22"/>
              </w:rPr>
            </w:pPr>
          </w:p>
          <w:p>
            <w:pPr>
              <w:rPr>
                <w:sz w:val="22"/>
                <w:szCs w:val="22"/>
              </w:rPr>
            </w:pPr>
          </w:p>
          <w:p>
            <w:pPr>
              <w:rPr>
                <w:sz w:val="22"/>
                <w:szCs w:val="22"/>
              </w:rPr>
            </w:pPr>
            <w:r>
              <w:rPr>
                <w:sz w:val="22"/>
                <w:szCs w:val="22"/>
              </w:rPr>
              <w:t>ZIGL</w:t>
            </w:r>
          </w:p>
          <w:p>
            <w:pPr>
              <w:rPr>
                <w:sz w:val="22"/>
                <w:szCs w:val="22"/>
              </w:rPr>
            </w:pPr>
          </w:p>
          <w:p>
            <w:pPr>
              <w:rPr>
                <w:sz w:val="22"/>
                <w:szCs w:val="22"/>
              </w:rPr>
            </w:pPr>
          </w:p>
        </w:tc>
      </w:tr>
      <w:tr>
        <w:tc>
          <w:tcPr>
            <w:tcW w:w="684" w:type="dxa"/>
          </w:tcPr>
          <w:p>
            <w:pPr>
              <w:rPr>
                <w:b/>
              </w:rPr>
            </w:pPr>
            <w:r>
              <w:rPr>
                <w:b/>
              </w:rPr>
              <w:t>3</w:t>
            </w:r>
          </w:p>
        </w:tc>
        <w:tc>
          <w:tcPr>
            <w:tcW w:w="6966" w:type="dxa"/>
          </w:tcPr>
          <w:p>
            <w:pPr>
              <w:spacing w:line="276" w:lineRule="auto"/>
              <w:rPr>
                <w:b/>
                <w:sz w:val="28"/>
              </w:rPr>
            </w:pPr>
            <w:r>
              <w:rPr>
                <w:b/>
                <w:sz w:val="28"/>
              </w:rPr>
              <w:t xml:space="preserve">Update digitale Projekte </w:t>
            </w:r>
            <w:r>
              <w:rPr>
                <w:b/>
                <w:color w:val="FF0000"/>
              </w:rPr>
              <w:t>(nur montags)</w:t>
            </w:r>
          </w:p>
          <w:p>
            <w:pPr>
              <w:pStyle w:val="Listenabsatz"/>
              <w:numPr>
                <w:ilvl w:val="0"/>
                <w:numId w:val="31"/>
              </w:numPr>
              <w:ind w:left="450" w:hanging="232"/>
              <w:rPr>
                <w:sz w:val="22"/>
                <w:szCs w:val="22"/>
              </w:rPr>
            </w:pPr>
            <w:r>
              <w:rPr>
                <w:sz w:val="22"/>
                <w:szCs w:val="22"/>
              </w:rPr>
              <w:t>Nicht besprochen</w:t>
            </w:r>
          </w:p>
          <w:p>
            <w:pPr>
              <w:rPr>
                <w:sz w:val="22"/>
                <w:szCs w:val="22"/>
              </w:rPr>
            </w:pPr>
          </w:p>
        </w:tc>
        <w:tc>
          <w:tcPr>
            <w:tcW w:w="1492" w:type="dxa"/>
          </w:tcPr>
          <w:p>
            <w:pPr>
              <w:rPr>
                <w:sz w:val="22"/>
                <w:szCs w:val="22"/>
              </w:rPr>
            </w:pPr>
          </w:p>
          <w:p>
            <w:pPr>
              <w:rPr>
                <w:sz w:val="22"/>
                <w:szCs w:val="22"/>
              </w:rPr>
            </w:pPr>
          </w:p>
        </w:tc>
      </w:tr>
      <w:tr>
        <w:trPr>
          <w:trHeight w:val="518"/>
        </w:trP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4</w:t>
            </w:r>
          </w:p>
        </w:tc>
        <w:tc>
          <w:tcPr>
            <w:tcW w:w="69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szCs w:val="28"/>
              </w:rPr>
            </w:pPr>
            <w:r>
              <w:rPr>
                <w:b/>
                <w:sz w:val="28"/>
                <w:szCs w:val="28"/>
              </w:rPr>
              <w:t>Aktuelle Risikobewertung</w:t>
            </w:r>
          </w:p>
          <w:p>
            <w:pPr>
              <w:pStyle w:val="Listenabsatz"/>
              <w:numPr>
                <w:ilvl w:val="0"/>
                <w:numId w:val="31"/>
              </w:numPr>
              <w:ind w:left="450" w:hanging="232"/>
              <w:rPr>
                <w:sz w:val="22"/>
                <w:szCs w:val="22"/>
              </w:rPr>
            </w:pPr>
            <w:r>
              <w:rPr>
                <w:sz w:val="22"/>
                <w:szCs w:val="22"/>
              </w:rPr>
              <w:t>Nicht besprochen</w:t>
            </w:r>
          </w:p>
          <w:p>
            <w:pPr>
              <w:rPr>
                <w:i/>
                <w:sz w:val="22"/>
                <w:szCs w:val="22"/>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tc>
      </w:tr>
      <w:tr>
        <w:trPr>
          <w:trHeight w:val="518"/>
        </w:trP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5</w:t>
            </w:r>
          </w:p>
        </w:tc>
        <w:tc>
          <w:tcPr>
            <w:tcW w:w="69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szCs w:val="28"/>
              </w:rPr>
            </w:pPr>
            <w:r>
              <w:rPr>
                <w:b/>
                <w:sz w:val="28"/>
                <w:szCs w:val="28"/>
              </w:rPr>
              <w:t>Kommunikation</w:t>
            </w:r>
          </w:p>
          <w:p>
            <w:pPr>
              <w:spacing w:line="276" w:lineRule="auto"/>
              <w:rPr>
                <w:b/>
                <w:sz w:val="22"/>
              </w:rPr>
            </w:pPr>
            <w:r>
              <w:rPr>
                <w:b/>
                <w:sz w:val="22"/>
                <w:szCs w:val="22"/>
              </w:rPr>
              <w:t>BZgA</w:t>
            </w:r>
          </w:p>
          <w:p>
            <w:pPr>
              <w:pStyle w:val="Listenabsatz"/>
              <w:numPr>
                <w:ilvl w:val="0"/>
                <w:numId w:val="31"/>
              </w:numPr>
              <w:ind w:left="450" w:hanging="232"/>
              <w:rPr>
                <w:sz w:val="22"/>
                <w:szCs w:val="22"/>
              </w:rPr>
            </w:pPr>
            <w:r>
              <w:rPr>
                <w:sz w:val="22"/>
                <w:szCs w:val="22"/>
              </w:rPr>
              <w:t xml:space="preserve">Thema Impfbereitschaft </w:t>
            </w:r>
          </w:p>
          <w:p>
            <w:pPr>
              <w:pStyle w:val="Listenabsatz"/>
              <w:numPr>
                <w:ilvl w:val="1"/>
                <w:numId w:val="44"/>
              </w:numPr>
              <w:ind w:left="876"/>
              <w:rPr>
                <w:sz w:val="22"/>
                <w:szCs w:val="22"/>
              </w:rPr>
            </w:pPr>
            <w:r>
              <w:rPr>
                <w:sz w:val="22"/>
                <w:szCs w:val="22"/>
              </w:rPr>
              <w:t>Aussetzung AstraZeneca stieß auf viel Interesse</w:t>
            </w:r>
          </w:p>
          <w:p>
            <w:pPr>
              <w:pStyle w:val="Listenabsatz"/>
              <w:numPr>
                <w:ilvl w:val="1"/>
                <w:numId w:val="44"/>
              </w:numPr>
              <w:ind w:left="876"/>
              <w:rPr>
                <w:sz w:val="22"/>
                <w:szCs w:val="22"/>
              </w:rPr>
            </w:pPr>
            <w:r>
              <w:rPr>
                <w:sz w:val="22"/>
                <w:szCs w:val="22"/>
              </w:rPr>
              <w:t>Cosmo Studie ist nicht schnell genug, um dies bereits auszuwerten</w:t>
            </w:r>
          </w:p>
          <w:p>
            <w:pPr>
              <w:pStyle w:val="Listenabsatz"/>
              <w:numPr>
                <w:ilvl w:val="1"/>
                <w:numId w:val="44"/>
              </w:numPr>
              <w:ind w:left="876"/>
              <w:rPr>
                <w:sz w:val="22"/>
                <w:szCs w:val="22"/>
              </w:rPr>
            </w:pPr>
            <w:r>
              <w:rPr>
                <w:sz w:val="22"/>
                <w:szCs w:val="22"/>
              </w:rPr>
              <w:t>In Social Media ist bei Befragungen nur ein kleiner Dip in der Impfbereitschaft zu sehen</w:t>
            </w:r>
          </w:p>
          <w:p>
            <w:pPr>
              <w:pStyle w:val="Listenabsatz"/>
              <w:numPr>
                <w:ilvl w:val="1"/>
                <w:numId w:val="44"/>
              </w:numPr>
              <w:ind w:left="876"/>
              <w:rPr>
                <w:sz w:val="22"/>
                <w:szCs w:val="22"/>
              </w:rPr>
            </w:pPr>
            <w:r>
              <w:rPr>
                <w:sz w:val="22"/>
                <w:szCs w:val="22"/>
              </w:rPr>
              <w:t>79% der Befragten wollen sich impfen lassen</w:t>
            </w:r>
          </w:p>
          <w:p>
            <w:pPr>
              <w:pStyle w:val="Listenabsatz"/>
              <w:numPr>
                <w:ilvl w:val="1"/>
                <w:numId w:val="44"/>
              </w:numPr>
              <w:ind w:left="876"/>
              <w:rPr>
                <w:sz w:val="22"/>
                <w:szCs w:val="22"/>
              </w:rPr>
            </w:pPr>
            <w:r>
              <w:rPr>
                <w:sz w:val="22"/>
                <w:szCs w:val="22"/>
              </w:rPr>
              <w:t>Social Media sind aber nicht repräsentativ für Deutschland</w:t>
            </w:r>
          </w:p>
          <w:p>
            <w:pPr>
              <w:pStyle w:val="Listenabsatz"/>
              <w:numPr>
                <w:ilvl w:val="0"/>
                <w:numId w:val="31"/>
              </w:numPr>
              <w:ind w:left="450" w:hanging="232"/>
              <w:rPr>
                <w:sz w:val="22"/>
                <w:szCs w:val="22"/>
              </w:rPr>
            </w:pPr>
            <w:r>
              <w:rPr>
                <w:sz w:val="22"/>
                <w:szCs w:val="22"/>
              </w:rPr>
              <w:t>Thema Umgang mit pos. Schnelltest-Ergebnissen</w:t>
            </w:r>
          </w:p>
          <w:p>
            <w:pPr>
              <w:pStyle w:val="Listenabsatz"/>
              <w:numPr>
                <w:ilvl w:val="1"/>
                <w:numId w:val="44"/>
              </w:numPr>
              <w:ind w:left="876"/>
              <w:rPr>
                <w:sz w:val="22"/>
                <w:szCs w:val="22"/>
              </w:rPr>
            </w:pPr>
            <w:r>
              <w:rPr>
                <w:sz w:val="22"/>
                <w:szCs w:val="22"/>
              </w:rPr>
              <w:t>85% der befragten würden sich sofort isolieren nach positiven Selbsttest</w:t>
            </w:r>
          </w:p>
          <w:p>
            <w:pPr>
              <w:pStyle w:val="Listenabsatz"/>
              <w:numPr>
                <w:ilvl w:val="1"/>
                <w:numId w:val="44"/>
              </w:numPr>
              <w:ind w:left="876"/>
              <w:rPr>
                <w:sz w:val="22"/>
                <w:szCs w:val="22"/>
              </w:rPr>
            </w:pPr>
            <w:r>
              <w:rPr>
                <w:sz w:val="22"/>
                <w:szCs w:val="22"/>
              </w:rPr>
              <w:t>Großteil würde sich auch durch PCR-Test bestätigen lassen</w:t>
            </w:r>
          </w:p>
          <w:p>
            <w:pPr>
              <w:pStyle w:val="Listenabsatz"/>
              <w:numPr>
                <w:ilvl w:val="1"/>
                <w:numId w:val="44"/>
              </w:numPr>
              <w:ind w:left="876"/>
              <w:rPr>
                <w:sz w:val="22"/>
                <w:szCs w:val="22"/>
              </w:rPr>
            </w:pPr>
            <w:r>
              <w:rPr>
                <w:sz w:val="22"/>
                <w:szCs w:val="22"/>
              </w:rPr>
              <w:lastRenderedPageBreak/>
              <w:t>75% würden ihr Umfeld informieren</w:t>
            </w:r>
          </w:p>
          <w:p>
            <w:pPr>
              <w:pStyle w:val="Listenabsatz"/>
              <w:numPr>
                <w:ilvl w:val="1"/>
                <w:numId w:val="44"/>
              </w:numPr>
              <w:ind w:left="876"/>
              <w:rPr>
                <w:sz w:val="22"/>
                <w:szCs w:val="22"/>
              </w:rPr>
            </w:pPr>
            <w:r>
              <w:rPr>
                <w:sz w:val="22"/>
                <w:szCs w:val="22"/>
              </w:rPr>
              <w:t>Einen 2. Schnelltest danach würden nur 50% durchführen</w:t>
            </w:r>
          </w:p>
          <w:p>
            <w:pPr>
              <w:pStyle w:val="Listenabsatz"/>
              <w:numPr>
                <w:ilvl w:val="1"/>
                <w:numId w:val="44"/>
              </w:numPr>
              <w:ind w:left="876"/>
              <w:rPr>
                <w:sz w:val="22"/>
                <w:szCs w:val="22"/>
              </w:rPr>
            </w:pPr>
            <w:r>
              <w:rPr>
                <w:sz w:val="22"/>
                <w:szCs w:val="22"/>
              </w:rPr>
              <w:t>Generell ist dies ein Erfolg in der kurzen Zeit, in der Schnelltests verfügbar sind</w:t>
            </w:r>
          </w:p>
          <w:p>
            <w:pPr>
              <w:pStyle w:val="Listenabsatz"/>
              <w:numPr>
                <w:ilvl w:val="1"/>
                <w:numId w:val="44"/>
              </w:numPr>
              <w:ind w:left="876"/>
              <w:rPr>
                <w:sz w:val="22"/>
                <w:szCs w:val="22"/>
              </w:rPr>
            </w:pPr>
            <w:r>
              <w:rPr>
                <w:sz w:val="22"/>
                <w:szCs w:val="22"/>
              </w:rPr>
              <w:t>Serielle Befragungen wäre sinnvoll, da Compliance nach mehreren falsch positiven Ergebnissen eventuell sinkt</w:t>
            </w:r>
          </w:p>
          <w:p>
            <w:pPr>
              <w:pStyle w:val="Listenabsatz"/>
              <w:numPr>
                <w:ilvl w:val="0"/>
                <w:numId w:val="31"/>
              </w:numPr>
              <w:ind w:left="450" w:hanging="232"/>
              <w:rPr>
                <w:sz w:val="22"/>
                <w:szCs w:val="22"/>
              </w:rPr>
            </w:pPr>
            <w:r>
              <w:rPr>
                <w:sz w:val="22"/>
                <w:szCs w:val="22"/>
              </w:rPr>
              <w:t xml:space="preserve">Diskussion </w:t>
            </w:r>
          </w:p>
          <w:p>
            <w:pPr>
              <w:pStyle w:val="Listenabsatz"/>
              <w:numPr>
                <w:ilvl w:val="1"/>
                <w:numId w:val="44"/>
              </w:numPr>
              <w:ind w:left="876"/>
              <w:rPr>
                <w:sz w:val="22"/>
                <w:szCs w:val="22"/>
              </w:rPr>
            </w:pPr>
            <w:r>
              <w:rPr>
                <w:sz w:val="22"/>
                <w:szCs w:val="22"/>
              </w:rPr>
              <w:t>Werden diese Umfrageergebnisse durch BZgA verbreitet? Wäre sinnvoll, wenn diese Erfolge zur Verstärkung der Motivation genutzt würden, BZgA bespricht dies intern</w:t>
            </w:r>
          </w:p>
          <w:p>
            <w:pPr>
              <w:pStyle w:val="Listenabsatz"/>
              <w:numPr>
                <w:ilvl w:val="1"/>
                <w:numId w:val="44"/>
              </w:numPr>
              <w:ind w:left="876"/>
              <w:rPr>
                <w:sz w:val="22"/>
                <w:szCs w:val="22"/>
              </w:rPr>
            </w:pPr>
            <w:r>
              <w:rPr>
                <w:sz w:val="22"/>
                <w:szCs w:val="22"/>
              </w:rPr>
              <w:t xml:space="preserve">Im letzten epidemiologischen Update der WHO wurde zur Kommunikation der Einbezug der Bevölkerung mit eingängigem Plakat/Infografiken geschildert – ist dies auch Teil der BZgA-Kommunikationsstrategie, z.B. Communication Scouts für wichtige Botschaften? </w:t>
            </w:r>
          </w:p>
          <w:p>
            <w:pPr>
              <w:pStyle w:val="Listenabsatz"/>
              <w:numPr>
                <w:ilvl w:val="1"/>
                <w:numId w:val="44"/>
              </w:numPr>
              <w:ind w:left="876"/>
              <w:rPr>
                <w:sz w:val="22"/>
                <w:szCs w:val="22"/>
              </w:rPr>
            </w:pPr>
            <w:r>
              <w:rPr>
                <w:sz w:val="22"/>
                <w:szCs w:val="22"/>
              </w:rPr>
              <w:t>BZgA plant Bevölkerungsbeteiligung an Informationsaktivitäten zu Impfstoffen: Erklärclips zu Wirksamkeit mit Personen, die Statements abgeben nach ihrer Impfung, Format und Story stehen noch nicht fest, aber Bevölkerungsbeteiligung ist im Konzept beinhaltet</w:t>
            </w:r>
          </w:p>
          <w:p>
            <w:pPr>
              <w:pStyle w:val="Listenabsatz"/>
              <w:numPr>
                <w:ilvl w:val="1"/>
                <w:numId w:val="44"/>
              </w:numPr>
              <w:ind w:left="876"/>
              <w:rPr>
                <w:sz w:val="22"/>
                <w:szCs w:val="22"/>
              </w:rPr>
            </w:pPr>
            <w:r>
              <w:rPr>
                <w:sz w:val="22"/>
                <w:szCs w:val="22"/>
              </w:rPr>
              <w:t>Dieses Wochenende Kampagne mit BMG zur Sicherheit testen in regionalen Tageszeitungen national</w:t>
            </w:r>
          </w:p>
          <w:p>
            <w:pPr>
              <w:rPr>
                <w:sz w:val="22"/>
                <w:szCs w:val="22"/>
              </w:rPr>
            </w:pPr>
          </w:p>
          <w:p>
            <w:pPr>
              <w:rPr>
                <w:b/>
                <w:sz w:val="22"/>
                <w:szCs w:val="22"/>
              </w:rPr>
            </w:pPr>
            <w:r>
              <w:rPr>
                <w:b/>
                <w:sz w:val="22"/>
                <w:szCs w:val="22"/>
              </w:rPr>
              <w:t>Presse</w:t>
            </w:r>
          </w:p>
          <w:p>
            <w:pPr>
              <w:pStyle w:val="Listenabsatz"/>
              <w:numPr>
                <w:ilvl w:val="0"/>
                <w:numId w:val="31"/>
              </w:numPr>
              <w:ind w:left="450" w:hanging="232"/>
              <w:rPr>
                <w:sz w:val="22"/>
                <w:szCs w:val="22"/>
              </w:rPr>
            </w:pPr>
            <w:r>
              <w:rPr>
                <w:sz w:val="22"/>
                <w:szCs w:val="22"/>
              </w:rPr>
              <w:t xml:space="preserve">Info von EpiBull Redaktion: nächste Woche online vorab Artikel zur Phaseneinteilung der Pandemie, inklusive epidemiologischer Parameter </w:t>
            </w:r>
          </w:p>
          <w:p>
            <w:pPr>
              <w:rPr>
                <w:sz w:val="22"/>
                <w:szCs w:val="22"/>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tc>
      </w:tr>
      <w:t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lastRenderedPageBreak/>
              <w:t>6</w:t>
            </w:r>
          </w:p>
        </w:tc>
        <w:tc>
          <w:tcPr>
            <w:tcW w:w="69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rPr>
            </w:pPr>
            <w:r>
              <w:rPr>
                <w:b/>
                <w:sz w:val="28"/>
              </w:rPr>
              <w:t>RKI-Strategie Fragen</w:t>
            </w:r>
          </w:p>
          <w:p>
            <w:pPr>
              <w:pStyle w:val="Listenabsatz"/>
              <w:numPr>
                <w:ilvl w:val="0"/>
                <w:numId w:val="45"/>
              </w:numPr>
              <w:spacing w:line="276" w:lineRule="auto"/>
              <w:rPr>
                <w:b/>
                <w:sz w:val="22"/>
              </w:rPr>
            </w:pPr>
            <w:r>
              <w:rPr>
                <w:b/>
                <w:sz w:val="22"/>
              </w:rPr>
              <w:t>Allgemein</w:t>
            </w:r>
          </w:p>
          <w:p>
            <w:pPr>
              <w:spacing w:line="276" w:lineRule="auto"/>
              <w:rPr>
                <w:b/>
                <w:sz w:val="22"/>
              </w:rPr>
            </w:pPr>
            <w:r>
              <w:rPr>
                <w:b/>
                <w:sz w:val="22"/>
                <w:szCs w:val="22"/>
              </w:rPr>
              <w:t>Vorschlag aus den Bundesländern zur Verschärfung des Kontaktpersonen-Management-Papiers</w:t>
            </w:r>
          </w:p>
          <w:p>
            <w:pPr>
              <w:pStyle w:val="Listenabsatz"/>
              <w:numPr>
                <w:ilvl w:val="0"/>
                <w:numId w:val="31"/>
              </w:numPr>
              <w:ind w:left="450" w:hanging="232"/>
              <w:rPr>
                <w:sz w:val="22"/>
                <w:szCs w:val="22"/>
              </w:rPr>
            </w:pPr>
            <w:r>
              <w:rPr>
                <w:sz w:val="22"/>
                <w:szCs w:val="22"/>
              </w:rPr>
              <w:t>RKI-Empfehlungen werden als (zu) wenig streng betrachtet, oft wird lokal weit darüber hinaus gegangen</w:t>
            </w:r>
          </w:p>
          <w:p>
            <w:pPr>
              <w:pStyle w:val="Listenabsatz"/>
              <w:numPr>
                <w:ilvl w:val="0"/>
                <w:numId w:val="31"/>
              </w:numPr>
              <w:ind w:left="450" w:hanging="232"/>
              <w:rPr>
                <w:sz w:val="22"/>
                <w:szCs w:val="22"/>
              </w:rPr>
            </w:pPr>
            <w:r>
              <w:rPr>
                <w:sz w:val="22"/>
                <w:szCs w:val="22"/>
              </w:rPr>
              <w:t>Beispiel Düsseldorf: schon nach 5 Minuten Kontakt zu KP I, 28 Tage Quarantäne</w:t>
            </w:r>
          </w:p>
          <w:p>
            <w:pPr>
              <w:pStyle w:val="Listenabsatz"/>
              <w:numPr>
                <w:ilvl w:val="0"/>
                <w:numId w:val="31"/>
              </w:numPr>
              <w:ind w:left="450" w:hanging="232"/>
              <w:rPr>
                <w:sz w:val="22"/>
                <w:szCs w:val="22"/>
              </w:rPr>
            </w:pPr>
            <w:r>
              <w:rPr>
                <w:sz w:val="22"/>
                <w:szCs w:val="22"/>
              </w:rPr>
              <w:t>Evidenz hierzu fehlt, aber anekdotische Evidenz bzgl. neuer Variante wird zu Hauf berichtet, es besteht große Sorge über die steigenden Fallzahlen</w:t>
            </w:r>
          </w:p>
          <w:p>
            <w:pPr>
              <w:pStyle w:val="Listenabsatz"/>
              <w:numPr>
                <w:ilvl w:val="0"/>
                <w:numId w:val="31"/>
              </w:numPr>
              <w:ind w:left="450" w:hanging="232"/>
              <w:rPr>
                <w:sz w:val="22"/>
                <w:szCs w:val="22"/>
              </w:rPr>
            </w:pPr>
            <w:r>
              <w:rPr>
                <w:sz w:val="22"/>
                <w:szCs w:val="22"/>
              </w:rPr>
              <w:t>KoNa-Papier soll jetzt nicht geändert werden, noch fehlt Evidenz, dies jedoch zur Kenntnis für den Krisenstab</w:t>
            </w:r>
          </w:p>
          <w:p>
            <w:pPr>
              <w:pStyle w:val="Listenabsatz"/>
              <w:numPr>
                <w:ilvl w:val="0"/>
                <w:numId w:val="31"/>
              </w:numPr>
              <w:ind w:left="450" w:hanging="232"/>
              <w:rPr>
                <w:sz w:val="22"/>
                <w:szCs w:val="22"/>
              </w:rPr>
            </w:pPr>
            <w:r>
              <w:rPr>
                <w:sz w:val="22"/>
                <w:szCs w:val="22"/>
              </w:rPr>
              <w:t xml:space="preserve">Wird in die Überlegungen mit aufgenommen, es besteht generell der Auftrag, alle Dokumente hinsichtlich der neuen Variante zu überarbeiten </w:t>
            </w:r>
            <w:r>
              <w:rPr>
                <w:sz w:val="22"/>
                <w:szCs w:val="22"/>
              </w:rPr>
              <w:br/>
            </w:r>
          </w:p>
          <w:p>
            <w:pPr>
              <w:pStyle w:val="Listenabsatz"/>
              <w:numPr>
                <w:ilvl w:val="0"/>
                <w:numId w:val="45"/>
              </w:numPr>
              <w:spacing w:line="276" w:lineRule="auto"/>
              <w:rPr>
                <w:b/>
                <w:sz w:val="22"/>
              </w:rPr>
            </w:pPr>
            <w:r>
              <w:rPr>
                <w:b/>
                <w:sz w:val="22"/>
              </w:rPr>
              <w:t>RKI-intern</w:t>
            </w:r>
          </w:p>
          <w:p>
            <w:pPr>
              <w:pStyle w:val="Listenabsatz"/>
              <w:numPr>
                <w:ilvl w:val="0"/>
                <w:numId w:val="31"/>
              </w:numPr>
              <w:ind w:left="450" w:hanging="232"/>
              <w:rPr>
                <w:sz w:val="22"/>
                <w:szCs w:val="22"/>
              </w:rPr>
            </w:pPr>
            <w:r>
              <w:rPr>
                <w:sz w:val="22"/>
                <w:szCs w:val="22"/>
              </w:rPr>
              <w:t>Nicht besprochen</w:t>
            </w:r>
          </w:p>
          <w:p>
            <w:pPr>
              <w:rPr>
                <w:i/>
                <w:sz w:val="22"/>
                <w:szCs w:val="22"/>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FG38</w:t>
            </w:r>
          </w:p>
          <w:p>
            <w:pPr>
              <w:rPr>
                <w:sz w:val="22"/>
                <w:szCs w:val="22"/>
              </w:rPr>
            </w:pPr>
          </w:p>
        </w:tc>
      </w:tr>
      <w:t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7</w:t>
            </w:r>
          </w:p>
        </w:tc>
        <w:tc>
          <w:tcPr>
            <w:tcW w:w="69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rPr>
            </w:pPr>
            <w:r>
              <w:rPr>
                <w:b/>
                <w:sz w:val="28"/>
              </w:rPr>
              <w:t>Dokumente</w:t>
            </w:r>
          </w:p>
          <w:p>
            <w:pPr>
              <w:pStyle w:val="Listenabsatz"/>
              <w:numPr>
                <w:ilvl w:val="0"/>
                <w:numId w:val="31"/>
              </w:numPr>
              <w:ind w:left="450" w:hanging="232"/>
              <w:rPr>
                <w:sz w:val="22"/>
                <w:szCs w:val="22"/>
              </w:rPr>
            </w:pPr>
            <w:r>
              <w:rPr>
                <w:sz w:val="22"/>
                <w:szCs w:val="22"/>
              </w:rPr>
              <w:lastRenderedPageBreak/>
              <w:t>Bitte alle Dokumente hinsichtlich B.1.1.7 überprüfen, VOC sollte als Standard gesehen werden, nächste Woche</w:t>
            </w:r>
          </w:p>
          <w:p>
            <w:pPr>
              <w:rPr>
                <w:sz w:val="22"/>
                <w:szCs w:val="22"/>
              </w:rPr>
            </w:pPr>
          </w:p>
          <w:p>
            <w:pPr>
              <w:rPr>
                <w:b/>
                <w:sz w:val="22"/>
                <w:szCs w:val="22"/>
              </w:rPr>
            </w:pPr>
            <w:r>
              <w:rPr>
                <w:b/>
                <w:sz w:val="22"/>
                <w:szCs w:val="22"/>
              </w:rPr>
              <w:t>ControlCOVID</w:t>
            </w:r>
          </w:p>
          <w:p>
            <w:pPr>
              <w:pStyle w:val="Listenabsatz"/>
              <w:numPr>
                <w:ilvl w:val="0"/>
                <w:numId w:val="31"/>
              </w:numPr>
              <w:ind w:left="450" w:hanging="232"/>
              <w:rPr>
                <w:sz w:val="22"/>
                <w:szCs w:val="22"/>
              </w:rPr>
            </w:pPr>
            <w:r>
              <w:rPr>
                <w:sz w:val="22"/>
                <w:szCs w:val="22"/>
              </w:rPr>
              <w:t>Dokument soll heute modifiziert und anschließend die verbesserte Fassung getweetet werden um die RKI-Haltung zu möglichen Lockerungen vor der GMK am Montag zu vermitteln</w:t>
            </w:r>
          </w:p>
          <w:p>
            <w:pPr>
              <w:rPr>
                <w:sz w:val="22"/>
                <w:szCs w:val="22"/>
              </w:rPr>
            </w:pPr>
          </w:p>
          <w:p>
            <w:pPr>
              <w:rPr>
                <w:i/>
                <w:sz w:val="22"/>
                <w:szCs w:val="22"/>
                <w:lang w:val="en-GB"/>
              </w:rPr>
            </w:pPr>
            <w:r>
              <w:rPr>
                <w:i/>
                <w:sz w:val="22"/>
                <w:szCs w:val="22"/>
                <w:lang w:val="en-GB"/>
              </w:rPr>
              <w:t>ToDo: Abt. 3 Jung-Sendzik und Presse to follow-up</w:t>
            </w:r>
          </w:p>
          <w:p>
            <w:pPr>
              <w:rPr>
                <w:i/>
                <w:sz w:val="22"/>
                <w:lang w:val="en-GB"/>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lang w:val="en-GB"/>
              </w:rPr>
            </w:pPr>
          </w:p>
          <w:p>
            <w:pPr>
              <w:rPr>
                <w:sz w:val="22"/>
                <w:szCs w:val="22"/>
                <w:lang w:val="en-GB"/>
              </w:rPr>
            </w:pPr>
          </w:p>
          <w:p>
            <w:pPr>
              <w:rPr>
                <w:sz w:val="22"/>
                <w:szCs w:val="22"/>
                <w:lang w:val="en-GB"/>
              </w:rPr>
            </w:pPr>
            <w:r>
              <w:rPr>
                <w:sz w:val="22"/>
                <w:szCs w:val="22"/>
                <w:lang w:val="en-GB"/>
              </w:rPr>
              <w:lastRenderedPageBreak/>
              <w:t xml:space="preserve">Alle </w:t>
            </w:r>
          </w:p>
          <w:p>
            <w:pPr>
              <w:rPr>
                <w:sz w:val="22"/>
                <w:szCs w:val="22"/>
                <w:lang w:val="en-GB"/>
              </w:rPr>
            </w:pPr>
          </w:p>
          <w:p>
            <w:pPr>
              <w:rPr>
                <w:sz w:val="22"/>
                <w:szCs w:val="22"/>
                <w:lang w:val="en-GB"/>
              </w:rPr>
            </w:pPr>
          </w:p>
          <w:p>
            <w:pPr>
              <w:rPr>
                <w:sz w:val="22"/>
                <w:szCs w:val="22"/>
                <w:lang w:val="en-GB"/>
              </w:rPr>
            </w:pPr>
          </w:p>
          <w:p>
            <w:pPr>
              <w:rPr>
                <w:sz w:val="22"/>
                <w:szCs w:val="22"/>
                <w:lang w:val="en-GB"/>
              </w:rPr>
            </w:pPr>
            <w:r>
              <w:rPr>
                <w:sz w:val="22"/>
                <w:szCs w:val="22"/>
                <w:lang w:val="en-GB"/>
              </w:rPr>
              <w:t>VPräs</w:t>
            </w:r>
          </w:p>
        </w:tc>
      </w:tr>
      <w:tr>
        <w:tc>
          <w:tcPr>
            <w:tcW w:w="684" w:type="dxa"/>
          </w:tcPr>
          <w:p>
            <w:pPr>
              <w:rPr>
                <w:b/>
              </w:rPr>
            </w:pPr>
            <w:r>
              <w:rPr>
                <w:b/>
              </w:rPr>
              <w:lastRenderedPageBreak/>
              <w:t>8</w:t>
            </w:r>
          </w:p>
        </w:tc>
        <w:tc>
          <w:tcPr>
            <w:tcW w:w="6966" w:type="dxa"/>
          </w:tcPr>
          <w:p>
            <w:pPr>
              <w:spacing w:line="276" w:lineRule="auto"/>
              <w:rPr>
                <w:b/>
                <w:sz w:val="28"/>
              </w:rPr>
            </w:pPr>
            <w:r>
              <w:rPr>
                <w:b/>
                <w:sz w:val="28"/>
              </w:rPr>
              <w:t>Update Impfung</w:t>
            </w:r>
            <w:r>
              <w:rPr>
                <w:b/>
                <w:color w:val="FF0000"/>
              </w:rPr>
              <w:t xml:space="preserve"> (nur freitags)</w:t>
            </w:r>
          </w:p>
          <w:p>
            <w:pPr>
              <w:spacing w:line="276" w:lineRule="auto"/>
              <w:rPr>
                <w:b/>
                <w:sz w:val="22"/>
              </w:rPr>
            </w:pPr>
            <w:r>
              <w:rPr>
                <w:b/>
                <w:sz w:val="22"/>
                <w:szCs w:val="22"/>
              </w:rPr>
              <w:t>AstraZeneca</w:t>
            </w:r>
          </w:p>
          <w:p>
            <w:pPr>
              <w:pStyle w:val="Listenabsatz"/>
              <w:numPr>
                <w:ilvl w:val="0"/>
                <w:numId w:val="31"/>
              </w:numPr>
              <w:ind w:left="450" w:hanging="232"/>
              <w:rPr>
                <w:sz w:val="22"/>
                <w:szCs w:val="22"/>
              </w:rPr>
            </w:pPr>
            <w:r>
              <w:rPr>
                <w:sz w:val="22"/>
                <w:szCs w:val="22"/>
              </w:rPr>
              <w:t>Viel Aufregung generell</w:t>
            </w:r>
          </w:p>
          <w:p>
            <w:pPr>
              <w:pStyle w:val="Listenabsatz"/>
              <w:numPr>
                <w:ilvl w:val="0"/>
                <w:numId w:val="31"/>
              </w:numPr>
              <w:ind w:left="450" w:hanging="232"/>
              <w:rPr>
                <w:sz w:val="22"/>
                <w:szCs w:val="22"/>
              </w:rPr>
            </w:pPr>
            <w:r>
              <w:rPr>
                <w:sz w:val="22"/>
                <w:szCs w:val="22"/>
              </w:rPr>
              <w:t xml:space="preserve">Gestern STIKO Sitzung zu Empfehlung zum neu zugelassenen Johnson &amp; Johnson Impfstoff, zusätzliche Themen AstraZeneca und EMA Sitzung </w:t>
            </w:r>
          </w:p>
          <w:p>
            <w:pPr>
              <w:pStyle w:val="Listenabsatz"/>
              <w:numPr>
                <w:ilvl w:val="0"/>
                <w:numId w:val="31"/>
              </w:numPr>
              <w:ind w:left="450" w:hanging="232"/>
              <w:rPr>
                <w:sz w:val="22"/>
                <w:szCs w:val="22"/>
              </w:rPr>
            </w:pPr>
            <w:r>
              <w:rPr>
                <w:sz w:val="22"/>
                <w:szCs w:val="22"/>
              </w:rPr>
              <w:t xml:space="preserve">Aktueller Stand </w:t>
            </w:r>
          </w:p>
          <w:p>
            <w:pPr>
              <w:pStyle w:val="Listenabsatz"/>
              <w:numPr>
                <w:ilvl w:val="1"/>
                <w:numId w:val="44"/>
              </w:numPr>
              <w:ind w:left="876"/>
              <w:rPr>
                <w:sz w:val="22"/>
                <w:szCs w:val="22"/>
              </w:rPr>
            </w:pPr>
            <w:r>
              <w:rPr>
                <w:sz w:val="22"/>
                <w:szCs w:val="22"/>
              </w:rPr>
              <w:t>Jetzt 12 Fälle mit Sinusvenenthrombose: alle 12 Frauen nach Impfung mit AstraZeneca, alle &lt;55 Jahre, auffälliges Cluster</w:t>
            </w:r>
          </w:p>
          <w:p>
            <w:pPr>
              <w:pStyle w:val="Listenabsatz"/>
              <w:numPr>
                <w:ilvl w:val="1"/>
                <w:numId w:val="44"/>
              </w:numPr>
              <w:ind w:left="876"/>
              <w:rPr>
                <w:sz w:val="22"/>
                <w:szCs w:val="22"/>
              </w:rPr>
            </w:pPr>
            <w:r>
              <w:rPr>
                <w:sz w:val="22"/>
                <w:szCs w:val="22"/>
              </w:rPr>
              <w:t>PEI hat Hintergrundinzidenzen aus Holland genutzt, RKI in Kontakt mit Krankenkassen-Konsortium um deren Daten hinsichtlich Hintergrundinzidenz auszuwerten</w:t>
            </w:r>
          </w:p>
          <w:p>
            <w:pPr>
              <w:pStyle w:val="Listenabsatz"/>
              <w:numPr>
                <w:ilvl w:val="0"/>
                <w:numId w:val="31"/>
              </w:numPr>
              <w:ind w:left="450" w:hanging="232"/>
              <w:rPr>
                <w:sz w:val="22"/>
                <w:szCs w:val="22"/>
              </w:rPr>
            </w:pPr>
            <w:r>
              <w:rPr>
                <w:sz w:val="22"/>
                <w:szCs w:val="22"/>
              </w:rPr>
              <w:t>EMA hat entschieden der Impfstoff ist sicher</w:t>
            </w:r>
          </w:p>
          <w:p>
            <w:pPr>
              <w:pStyle w:val="Listenabsatz"/>
              <w:numPr>
                <w:ilvl w:val="0"/>
                <w:numId w:val="31"/>
              </w:numPr>
              <w:ind w:left="450" w:hanging="232"/>
              <w:rPr>
                <w:sz w:val="22"/>
                <w:szCs w:val="22"/>
              </w:rPr>
            </w:pPr>
            <w:r>
              <w:rPr>
                <w:sz w:val="22"/>
                <w:szCs w:val="22"/>
              </w:rPr>
              <w:t>Aufträge EMA und STIKO verschieden</w:t>
            </w:r>
          </w:p>
          <w:p>
            <w:pPr>
              <w:pStyle w:val="Listenabsatz"/>
              <w:numPr>
                <w:ilvl w:val="0"/>
                <w:numId w:val="31"/>
              </w:numPr>
              <w:ind w:left="450" w:hanging="232"/>
              <w:rPr>
                <w:sz w:val="22"/>
                <w:szCs w:val="22"/>
              </w:rPr>
            </w:pPr>
            <w:r>
              <w:rPr>
                <w:sz w:val="22"/>
                <w:szCs w:val="22"/>
              </w:rPr>
              <w:t>STIKO entscheidet über beste Einsetzung von Impfstoffen und überlegt, ob bei diesem Signal gewisse Personengruppen lieber mRNA Impfstoff geimpft werden sollten, dies ist jedoch kommunikativ und bzgl. Akzeptanz schwierig, dennoch intern intensive Diskussion</w:t>
            </w:r>
          </w:p>
          <w:p>
            <w:pPr>
              <w:pStyle w:val="Listenabsatz"/>
              <w:numPr>
                <w:ilvl w:val="0"/>
                <w:numId w:val="31"/>
              </w:numPr>
              <w:ind w:left="450" w:hanging="232"/>
              <w:rPr>
                <w:sz w:val="22"/>
                <w:szCs w:val="22"/>
              </w:rPr>
            </w:pPr>
            <w:r>
              <w:rPr>
                <w:sz w:val="22"/>
                <w:szCs w:val="22"/>
              </w:rPr>
              <w:t>Einige Länder in Europa haben anders entschieden, z.B. setzt Norwegen Impfprogramm mit AstraZeneca aus bis auf weiteres, auch abhängig von Fallzahlen</w:t>
            </w:r>
          </w:p>
          <w:p>
            <w:pPr>
              <w:pStyle w:val="Listenabsatz"/>
              <w:numPr>
                <w:ilvl w:val="0"/>
                <w:numId w:val="31"/>
              </w:numPr>
              <w:ind w:left="450" w:hanging="232"/>
              <w:rPr>
                <w:sz w:val="22"/>
                <w:szCs w:val="22"/>
              </w:rPr>
            </w:pPr>
            <w:r>
              <w:rPr>
                <w:sz w:val="22"/>
                <w:szCs w:val="22"/>
              </w:rPr>
              <w:t>Heute erfolgt Veröffentlichung der STIKO-Empfehlung/ Stellungnahme, AstraZeneca weiter wie bisher anzuwenden jedoch unter genauer Beobachtung, Meldeverzug ist zu erwarten</w:t>
            </w:r>
          </w:p>
          <w:p>
            <w:pPr>
              <w:pStyle w:val="Listenabsatz"/>
              <w:numPr>
                <w:ilvl w:val="0"/>
                <w:numId w:val="31"/>
              </w:numPr>
              <w:ind w:left="450" w:hanging="232"/>
              <w:rPr>
                <w:sz w:val="22"/>
                <w:szCs w:val="22"/>
              </w:rPr>
            </w:pPr>
            <w:r>
              <w:rPr>
                <w:sz w:val="22"/>
                <w:szCs w:val="22"/>
              </w:rPr>
              <w:t xml:space="preserve">Ein Aufklärungsmerkblatt wurde gestern Abend noch angepasst und ging kurz nach Mitternacht an die BL, wird heute eingesetzt </w:t>
            </w:r>
          </w:p>
          <w:p>
            <w:pPr>
              <w:pStyle w:val="Listenabsatz"/>
              <w:numPr>
                <w:ilvl w:val="0"/>
                <w:numId w:val="31"/>
              </w:numPr>
              <w:ind w:left="450" w:hanging="232"/>
              <w:rPr>
                <w:sz w:val="22"/>
                <w:szCs w:val="22"/>
              </w:rPr>
            </w:pPr>
            <w:r>
              <w:rPr>
                <w:sz w:val="22"/>
                <w:szCs w:val="22"/>
              </w:rPr>
              <w:t>Hierzu sind FAQ in Vorbereitung mit MaiLab, außerdem soll ein Video in STIKO App integriert werden zur kommunikativen Begleitung</w:t>
            </w:r>
          </w:p>
          <w:p>
            <w:pPr>
              <w:pStyle w:val="Listenabsatz"/>
              <w:numPr>
                <w:ilvl w:val="0"/>
                <w:numId w:val="31"/>
              </w:numPr>
              <w:ind w:left="450" w:hanging="232"/>
              <w:rPr>
                <w:sz w:val="22"/>
                <w:szCs w:val="22"/>
              </w:rPr>
            </w:pPr>
            <w:r>
              <w:rPr>
                <w:sz w:val="22"/>
                <w:szCs w:val="22"/>
              </w:rPr>
              <w:t>Diskussion</w:t>
            </w:r>
          </w:p>
          <w:p>
            <w:pPr>
              <w:pStyle w:val="Listenabsatz"/>
              <w:numPr>
                <w:ilvl w:val="1"/>
                <w:numId w:val="44"/>
              </w:numPr>
              <w:ind w:left="876"/>
              <w:rPr>
                <w:sz w:val="22"/>
                <w:szCs w:val="22"/>
              </w:rPr>
            </w:pPr>
            <w:r>
              <w:rPr>
                <w:sz w:val="22"/>
                <w:szCs w:val="22"/>
              </w:rPr>
              <w:t>Bei ECDC Call wurde Pathophysiologie besprochen, viele Fälle mit arteriellen Thrombosen in anderen Ländern (ggf. HIT II), Datenlage auf europäischer Ebene noch konfus da unterschiedliche Impfung, Altersbeschränkung und verschiedene Pharmakovigilanzsysteme und -Kapazitäten, dadurch verschiedene Beobachtungen</w:t>
            </w:r>
          </w:p>
          <w:p>
            <w:pPr>
              <w:pStyle w:val="Listenabsatz"/>
              <w:numPr>
                <w:ilvl w:val="1"/>
                <w:numId w:val="44"/>
              </w:numPr>
              <w:ind w:left="876"/>
              <w:rPr>
                <w:sz w:val="22"/>
                <w:szCs w:val="22"/>
              </w:rPr>
            </w:pPr>
            <w:r>
              <w:rPr>
                <w:sz w:val="22"/>
                <w:szCs w:val="22"/>
              </w:rPr>
              <w:t xml:space="preserve">Generelle thromboembolische Beobachtung (Lungen- oder tiefe Beinvenenembolien) sind möglicherweise temporal </w:t>
            </w:r>
            <w:r>
              <w:rPr>
                <w:sz w:val="22"/>
                <w:szCs w:val="22"/>
              </w:rPr>
              <w:lastRenderedPageBreak/>
              <w:t>zufällig, dies ist ggf. anders, wenn Details zum Spezifikum der Sinusvenenthrombose evaluiert werden</w:t>
            </w:r>
          </w:p>
          <w:p>
            <w:pPr>
              <w:pStyle w:val="Listenabsatz"/>
              <w:numPr>
                <w:ilvl w:val="1"/>
                <w:numId w:val="44"/>
              </w:numPr>
              <w:ind w:left="876"/>
              <w:rPr>
                <w:sz w:val="22"/>
                <w:szCs w:val="22"/>
              </w:rPr>
            </w:pPr>
            <w:r>
              <w:rPr>
                <w:sz w:val="22"/>
                <w:szCs w:val="22"/>
              </w:rPr>
              <w:t>Die Brighton Collaboration erstellt Falldefinitionen, auch zu anderen Events</w:t>
            </w:r>
          </w:p>
          <w:p>
            <w:pPr>
              <w:pStyle w:val="Listenabsatz"/>
              <w:numPr>
                <w:ilvl w:val="1"/>
                <w:numId w:val="44"/>
              </w:numPr>
              <w:ind w:left="876"/>
              <w:rPr>
                <w:sz w:val="22"/>
                <w:szCs w:val="22"/>
              </w:rPr>
            </w:pPr>
            <w:r>
              <w:rPr>
                <w:sz w:val="22"/>
                <w:szCs w:val="22"/>
              </w:rPr>
              <w:t>Alle Fälle zeigten eine Thrombozytopenie, deswegen wird ein autoimmungetriggertes Phänomen vermutet</w:t>
            </w:r>
          </w:p>
          <w:p>
            <w:pPr>
              <w:pStyle w:val="Listenabsatz"/>
              <w:numPr>
                <w:ilvl w:val="1"/>
                <w:numId w:val="44"/>
              </w:numPr>
              <w:ind w:left="876"/>
              <w:rPr>
                <w:sz w:val="22"/>
                <w:szCs w:val="22"/>
              </w:rPr>
            </w:pPr>
            <w:r>
              <w:rPr>
                <w:sz w:val="22"/>
                <w:szCs w:val="22"/>
              </w:rPr>
              <w:t xml:space="preserve">Gibt es Berichte aus England zu unterschiedlichem Einsatz/Nebenwirkungen von AstraZeneca bei Frauen? </w:t>
            </w:r>
          </w:p>
          <w:p>
            <w:pPr>
              <w:pStyle w:val="Listenabsatz"/>
              <w:numPr>
                <w:ilvl w:val="1"/>
                <w:numId w:val="44"/>
              </w:numPr>
              <w:ind w:left="876"/>
              <w:rPr>
                <w:sz w:val="22"/>
                <w:szCs w:val="22"/>
              </w:rPr>
            </w:pPr>
            <w:r>
              <w:rPr>
                <w:sz w:val="22"/>
                <w:szCs w:val="22"/>
              </w:rPr>
              <w:t>Bei älteren Frauen gibt es generell nicht diese Signale</w:t>
            </w:r>
          </w:p>
          <w:p>
            <w:pPr>
              <w:pStyle w:val="Listenabsatz"/>
              <w:numPr>
                <w:ilvl w:val="1"/>
                <w:numId w:val="44"/>
              </w:numPr>
              <w:ind w:left="876"/>
              <w:rPr>
                <w:sz w:val="22"/>
                <w:szCs w:val="22"/>
              </w:rPr>
            </w:pPr>
            <w:r>
              <w:rPr>
                <w:sz w:val="22"/>
                <w:szCs w:val="22"/>
              </w:rPr>
              <w:t>Es wurde aus UK kein Signal gemeldet</w:t>
            </w:r>
          </w:p>
          <w:p>
            <w:pPr>
              <w:pStyle w:val="Listenabsatz"/>
              <w:numPr>
                <w:ilvl w:val="1"/>
                <w:numId w:val="44"/>
              </w:numPr>
              <w:ind w:left="876"/>
              <w:rPr>
                <w:sz w:val="22"/>
                <w:szCs w:val="22"/>
              </w:rPr>
            </w:pPr>
            <w:r>
              <w:rPr>
                <w:sz w:val="22"/>
                <w:szCs w:val="22"/>
              </w:rPr>
              <w:t>Nach Gerüchten von ECDC und Norwegen hatte UK nicht viel Zeit, in Impfnebenwirkungen-Monitoring zu investieren</w:t>
            </w:r>
          </w:p>
          <w:p>
            <w:pPr>
              <w:pStyle w:val="Listenabsatz"/>
              <w:numPr>
                <w:ilvl w:val="1"/>
                <w:numId w:val="44"/>
              </w:numPr>
              <w:ind w:left="876"/>
              <w:rPr>
                <w:sz w:val="22"/>
                <w:szCs w:val="22"/>
              </w:rPr>
            </w:pPr>
            <w:r>
              <w:rPr>
                <w:sz w:val="22"/>
                <w:szCs w:val="22"/>
              </w:rPr>
              <w:t>Auch in Deutschland schwierig: PEI hatte am Montag 1.600 Meldungen, die individuell abgearbeitet werden müssen, dies liegt möglicherweise an der erhöhten Awareness,</w:t>
            </w:r>
          </w:p>
          <w:p>
            <w:pPr>
              <w:pStyle w:val="Listenabsatz"/>
              <w:numPr>
                <w:ilvl w:val="1"/>
                <w:numId w:val="44"/>
              </w:numPr>
              <w:ind w:left="876"/>
              <w:rPr>
                <w:sz w:val="22"/>
                <w:szCs w:val="22"/>
              </w:rPr>
            </w:pPr>
            <w:r>
              <w:rPr>
                <w:sz w:val="22"/>
                <w:szCs w:val="22"/>
              </w:rPr>
              <w:t>PEI/Pharmakovigilanzstellen kommen nicht gut hinterher</w:t>
            </w:r>
          </w:p>
          <w:p>
            <w:pPr>
              <w:rPr>
                <w:sz w:val="22"/>
                <w:szCs w:val="22"/>
              </w:rPr>
            </w:pPr>
          </w:p>
          <w:p>
            <w:pPr>
              <w:rPr>
                <w:b/>
                <w:sz w:val="22"/>
                <w:szCs w:val="22"/>
              </w:rPr>
            </w:pPr>
            <w:r>
              <w:rPr>
                <w:b/>
                <w:sz w:val="22"/>
                <w:szCs w:val="22"/>
              </w:rPr>
              <w:t>Impfstoffverfügbarkeit</w:t>
            </w:r>
          </w:p>
          <w:p>
            <w:pPr>
              <w:pStyle w:val="Listenabsatz"/>
              <w:numPr>
                <w:ilvl w:val="0"/>
                <w:numId w:val="31"/>
              </w:numPr>
              <w:ind w:left="450" w:hanging="232"/>
              <w:rPr>
                <w:sz w:val="22"/>
                <w:szCs w:val="22"/>
              </w:rPr>
            </w:pPr>
            <w:r>
              <w:rPr>
                <w:sz w:val="22"/>
                <w:szCs w:val="22"/>
              </w:rPr>
              <w:t>Zu Johnson &amp; Johnson werden Neuigkeiten erwartet, auch um Empfehlungen zu geben, dazu enger Kontakt mit BMG, Gerüchte: Mitte April - Mitte Mai</w:t>
            </w:r>
          </w:p>
          <w:p>
            <w:pPr>
              <w:pStyle w:val="Listenabsatz"/>
              <w:numPr>
                <w:ilvl w:val="0"/>
                <w:numId w:val="31"/>
              </w:numPr>
              <w:ind w:left="450" w:hanging="232"/>
              <w:rPr>
                <w:sz w:val="22"/>
                <w:szCs w:val="22"/>
              </w:rPr>
            </w:pPr>
            <w:r>
              <w:rPr>
                <w:sz w:val="22"/>
                <w:szCs w:val="22"/>
              </w:rPr>
              <w:t>Eine Sputnik Kaufoption oder ob eine Produktionsstätte in Deutschland besteht ist FG33 nicht bekannt</w:t>
            </w:r>
          </w:p>
          <w:p>
            <w:pPr>
              <w:pStyle w:val="Listenabsatz"/>
              <w:numPr>
                <w:ilvl w:val="0"/>
                <w:numId w:val="31"/>
              </w:numPr>
              <w:ind w:left="450" w:hanging="232"/>
              <w:rPr>
                <w:sz w:val="22"/>
                <w:szCs w:val="22"/>
              </w:rPr>
            </w:pPr>
            <w:r>
              <w:rPr>
                <w:sz w:val="22"/>
                <w:szCs w:val="22"/>
              </w:rPr>
              <w:t>Impfstoffverfügbarkeit: eigentlich ist ausreichend Impfstoff geplant, bis Ende des Jahres 300 Mio. Dosen, wenn diese wie abgemacht geliefert werden</w:t>
            </w:r>
          </w:p>
          <w:p>
            <w:pPr>
              <w:pStyle w:val="Listenabsatz"/>
              <w:numPr>
                <w:ilvl w:val="0"/>
                <w:numId w:val="31"/>
              </w:numPr>
              <w:ind w:left="450" w:hanging="232"/>
              <w:rPr>
                <w:sz w:val="22"/>
                <w:szCs w:val="22"/>
              </w:rPr>
            </w:pPr>
            <w:r>
              <w:rPr>
                <w:sz w:val="22"/>
                <w:szCs w:val="22"/>
              </w:rPr>
              <w:t>Bei ausreichend Impfstoff stehen Überlegungen zu Booster-Impfungen an</w:t>
            </w:r>
          </w:p>
          <w:p>
            <w:pPr>
              <w:pStyle w:val="Listenabsatz"/>
              <w:numPr>
                <w:ilvl w:val="0"/>
                <w:numId w:val="31"/>
              </w:numPr>
              <w:ind w:left="450" w:hanging="232"/>
              <w:rPr>
                <w:sz w:val="22"/>
                <w:szCs w:val="22"/>
              </w:rPr>
            </w:pPr>
            <w:r>
              <w:rPr>
                <w:sz w:val="22"/>
                <w:szCs w:val="22"/>
              </w:rPr>
              <w:t>Probleme mit der Verfügbarkeit werden für die nächsten 6-8 Wochen gesehen, danach voraussichtlich eher das Problem, die großen Impfmengen umzusetzen</w:t>
            </w:r>
          </w:p>
          <w:p>
            <w:pPr>
              <w:pStyle w:val="Listenabsatz"/>
              <w:numPr>
                <w:ilvl w:val="0"/>
                <w:numId w:val="31"/>
              </w:numPr>
              <w:ind w:left="450" w:hanging="232"/>
              <w:rPr>
                <w:sz w:val="22"/>
                <w:szCs w:val="22"/>
              </w:rPr>
            </w:pPr>
            <w:r>
              <w:rPr>
                <w:sz w:val="22"/>
                <w:szCs w:val="22"/>
              </w:rPr>
              <w:t>CureVac und Not-/Schnellzulassung (von Lauterbach in Bundespressekonferenz erwähnt): ggf. weiß er mehr als andere, CureVac ist im rolling Review der EMA seit Ende Februar, nach Gerüchten wird Zulassung im späten Q2 erwartet, Vorbestellung von ein paar Mio. für Q2, 50-60 Mio. bis Jahresende</w:t>
            </w:r>
          </w:p>
          <w:p>
            <w:pPr>
              <w:rPr>
                <w:b/>
                <w:sz w:val="22"/>
                <w:szCs w:val="22"/>
              </w:rPr>
            </w:pPr>
          </w:p>
          <w:p>
            <w:pPr>
              <w:rPr>
                <w:b/>
                <w:sz w:val="22"/>
                <w:szCs w:val="22"/>
              </w:rPr>
            </w:pPr>
            <w:r>
              <w:rPr>
                <w:b/>
                <w:sz w:val="22"/>
                <w:szCs w:val="22"/>
              </w:rPr>
              <w:t>Quarantäne von Geimpften</w:t>
            </w:r>
          </w:p>
          <w:p>
            <w:pPr>
              <w:pStyle w:val="Listenabsatz"/>
              <w:numPr>
                <w:ilvl w:val="0"/>
                <w:numId w:val="31"/>
              </w:numPr>
              <w:ind w:left="450" w:hanging="232"/>
              <w:rPr>
                <w:sz w:val="22"/>
                <w:szCs w:val="22"/>
              </w:rPr>
            </w:pPr>
            <w:r>
              <w:rPr>
                <w:sz w:val="22"/>
                <w:szCs w:val="22"/>
              </w:rPr>
              <w:t>Empfehlungen mit FG36 und FG37 abgestimmt, wegen AstraZeneca noch alles nicht eingearbeitet</w:t>
            </w:r>
          </w:p>
          <w:p>
            <w:pPr>
              <w:pStyle w:val="Listenabsatz"/>
              <w:numPr>
                <w:ilvl w:val="0"/>
                <w:numId w:val="31"/>
              </w:numPr>
              <w:ind w:left="450" w:hanging="232"/>
              <w:rPr>
                <w:sz w:val="22"/>
                <w:szCs w:val="22"/>
              </w:rPr>
            </w:pPr>
            <w:r>
              <w:rPr>
                <w:sz w:val="22"/>
                <w:szCs w:val="22"/>
              </w:rPr>
              <w:t>Quarantäne von vollständig Geimpften im Gesundheitsbereich kam auf und wurde intensiv von den Ländern besprochen, Pros:</w:t>
            </w:r>
            <w:r>
              <w:rPr>
                <w:sz w:val="22"/>
                <w:szCs w:val="22"/>
              </w:rPr>
              <w:br/>
              <w:t>1. Arbeitskapazität aufrechterhalten in Kliniken</w:t>
            </w:r>
            <w:r>
              <w:rPr>
                <w:sz w:val="22"/>
                <w:szCs w:val="22"/>
              </w:rPr>
              <w:br/>
              <w:t>2. Reduktion des Risikos Transmission, indem andere Kontrollmaßnahmen das Restrisiko auf akzeptables minimieren</w:t>
            </w:r>
            <w:r>
              <w:rPr>
                <w:sz w:val="22"/>
                <w:szCs w:val="22"/>
              </w:rPr>
              <w:br/>
              <w:t>3. Impfakzeptanz steigern in der Gruppe HCW, die teilweise nur bedingt willig ist, sich impfen zu lassen</w:t>
            </w:r>
          </w:p>
          <w:p>
            <w:pPr>
              <w:pStyle w:val="Listenabsatz"/>
              <w:numPr>
                <w:ilvl w:val="0"/>
                <w:numId w:val="31"/>
              </w:numPr>
              <w:ind w:left="450" w:hanging="232"/>
              <w:rPr>
                <w:sz w:val="22"/>
                <w:szCs w:val="22"/>
              </w:rPr>
            </w:pPr>
            <w:r>
              <w:rPr>
                <w:sz w:val="22"/>
                <w:szCs w:val="22"/>
              </w:rPr>
              <w:t>Konstellation im Optionspapier: wenn Personalmangel von KP I Quarantäne abweichen, jedoch nicht bei VOC, wenn VOC-Anteil bei 70-80% liegt, muss dies umgangen werden</w:t>
            </w:r>
          </w:p>
          <w:p>
            <w:pPr>
              <w:pStyle w:val="Listenabsatz"/>
              <w:numPr>
                <w:ilvl w:val="0"/>
                <w:numId w:val="31"/>
              </w:numPr>
              <w:ind w:left="450" w:hanging="232"/>
              <w:rPr>
                <w:sz w:val="22"/>
                <w:szCs w:val="22"/>
              </w:rPr>
            </w:pPr>
            <w:r>
              <w:rPr>
                <w:sz w:val="22"/>
                <w:szCs w:val="22"/>
              </w:rPr>
              <w:lastRenderedPageBreak/>
              <w:t xml:space="preserve">US CDC sagt HCW müssen, wenn geimpft, nicht mehr in Quarantäne, RKI würde sich dem anschließen </w:t>
            </w:r>
          </w:p>
          <w:p>
            <w:pPr>
              <w:pStyle w:val="Listenabsatz"/>
              <w:numPr>
                <w:ilvl w:val="0"/>
                <w:numId w:val="31"/>
              </w:numPr>
              <w:ind w:left="450" w:hanging="232"/>
              <w:rPr>
                <w:sz w:val="22"/>
                <w:szCs w:val="22"/>
              </w:rPr>
            </w:pPr>
            <w:r>
              <w:rPr>
                <w:sz w:val="22"/>
                <w:szCs w:val="22"/>
              </w:rPr>
              <w:t>Nicht Geimpfte müssen immer in Quarantäne</w:t>
            </w:r>
          </w:p>
          <w:p>
            <w:pPr>
              <w:pStyle w:val="Listenabsatz"/>
              <w:numPr>
                <w:ilvl w:val="0"/>
                <w:numId w:val="31"/>
              </w:numPr>
              <w:ind w:left="450" w:hanging="232"/>
              <w:rPr>
                <w:sz w:val="22"/>
                <w:szCs w:val="22"/>
              </w:rPr>
            </w:pPr>
            <w:r>
              <w:rPr>
                <w:sz w:val="22"/>
                <w:szCs w:val="22"/>
              </w:rPr>
              <w:t>US CDC macht Ausnahme bei Bewohner*innen von Altenheimen und Patient*innen die nur mit Geimpften zusammen sind, in Altenheim mit Geimpften und nicht Geimpften sollte mögliche KP I dennoch in Quarantäne (CDC Vorbild)</w:t>
            </w:r>
          </w:p>
          <w:p>
            <w:pPr>
              <w:pStyle w:val="Listenabsatz"/>
              <w:numPr>
                <w:ilvl w:val="0"/>
                <w:numId w:val="31"/>
              </w:numPr>
              <w:ind w:left="450" w:hanging="232"/>
              <w:rPr>
                <w:sz w:val="22"/>
                <w:szCs w:val="22"/>
              </w:rPr>
            </w:pPr>
            <w:r>
              <w:rPr>
                <w:sz w:val="22"/>
                <w:szCs w:val="22"/>
              </w:rPr>
              <w:t>In wie weit ist dies logistisch in der Pflege und in Altenheimen möglich? Verkomplizierung/Umsetzbarkeit der Empfehlungen?</w:t>
            </w:r>
          </w:p>
          <w:p>
            <w:pPr>
              <w:pStyle w:val="Listenabsatz"/>
              <w:numPr>
                <w:ilvl w:val="0"/>
                <w:numId w:val="31"/>
              </w:numPr>
              <w:ind w:left="450" w:hanging="232"/>
              <w:rPr>
                <w:sz w:val="22"/>
                <w:szCs w:val="22"/>
              </w:rPr>
            </w:pPr>
            <w:r>
              <w:rPr>
                <w:sz w:val="22"/>
                <w:szCs w:val="22"/>
              </w:rPr>
              <w:t>Außerdem Klagen, Nullrisiko, was wenn HCW Ausbrüche verursachen?</w:t>
            </w:r>
          </w:p>
          <w:p>
            <w:pPr>
              <w:pStyle w:val="Listenabsatz"/>
              <w:numPr>
                <w:ilvl w:val="0"/>
                <w:numId w:val="31"/>
              </w:numPr>
              <w:ind w:left="450" w:hanging="232"/>
              <w:rPr>
                <w:sz w:val="22"/>
                <w:szCs w:val="22"/>
              </w:rPr>
            </w:pPr>
            <w:r>
              <w:rPr>
                <w:sz w:val="22"/>
                <w:szCs w:val="22"/>
              </w:rPr>
              <w:t>In Heimen ist Impfquote hoch und Übertragung ggf. blockiert, es geht fast keine Gefahr mehr vom Personal aus, MNS und Selbst-isolierung bei Symptomen bleiben zwingend, aber eben vielleicht keine Quarantäne mehr</w:t>
            </w:r>
          </w:p>
          <w:p>
            <w:pPr>
              <w:pStyle w:val="Listenabsatz"/>
              <w:numPr>
                <w:ilvl w:val="0"/>
                <w:numId w:val="31"/>
              </w:numPr>
              <w:ind w:left="450" w:hanging="232"/>
              <w:rPr>
                <w:sz w:val="22"/>
                <w:szCs w:val="22"/>
              </w:rPr>
            </w:pPr>
            <w:r>
              <w:rPr>
                <w:sz w:val="22"/>
                <w:szCs w:val="22"/>
              </w:rPr>
              <w:t>Kontextempfehlung wird diskutiert, dann geht Vorschlag an BMG</w:t>
            </w:r>
          </w:p>
          <w:p>
            <w:pPr>
              <w:pStyle w:val="Listenabsatz"/>
              <w:numPr>
                <w:ilvl w:val="0"/>
                <w:numId w:val="31"/>
              </w:numPr>
              <w:ind w:left="450" w:hanging="232"/>
              <w:rPr>
                <w:sz w:val="22"/>
                <w:szCs w:val="22"/>
              </w:rPr>
            </w:pPr>
            <w:r>
              <w:rPr>
                <w:sz w:val="22"/>
                <w:szCs w:val="22"/>
              </w:rPr>
              <w:t>Heute fertigzustellendes Dokument richtet sich nicht an Bewohner*innen von Heimen und Patient*innen in KKH, FG33 schickt es an VPräs, dann LZ und an Facherlassberichtspostfach des BMG</w:t>
            </w:r>
          </w:p>
          <w:p>
            <w:pPr>
              <w:pStyle w:val="Listenabsatz"/>
              <w:numPr>
                <w:ilvl w:val="0"/>
                <w:numId w:val="31"/>
              </w:numPr>
              <w:ind w:left="450" w:hanging="232"/>
              <w:rPr>
                <w:sz w:val="22"/>
                <w:szCs w:val="22"/>
              </w:rPr>
            </w:pPr>
            <w:r>
              <w:rPr>
                <w:sz w:val="22"/>
                <w:szCs w:val="22"/>
              </w:rPr>
              <w:t>Nächste Woche weitere Überlegung zu Quarantäne von Geimpften bzgl. Alten-/Pflegeheime</w:t>
            </w:r>
          </w:p>
          <w:p>
            <w:pPr>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FG33</w:t>
            </w:r>
          </w:p>
        </w:tc>
      </w:tr>
      <w:tr>
        <w:tc>
          <w:tcPr>
            <w:tcW w:w="684" w:type="dxa"/>
          </w:tcPr>
          <w:p>
            <w:pPr>
              <w:rPr>
                <w:b/>
              </w:rPr>
            </w:pPr>
            <w:r>
              <w:rPr>
                <w:b/>
              </w:rPr>
              <w:lastRenderedPageBreak/>
              <w:t>9</w:t>
            </w:r>
          </w:p>
        </w:tc>
        <w:tc>
          <w:tcPr>
            <w:tcW w:w="6966" w:type="dxa"/>
          </w:tcPr>
          <w:p>
            <w:pPr>
              <w:spacing w:line="276" w:lineRule="auto"/>
              <w:rPr>
                <w:b/>
                <w:sz w:val="28"/>
              </w:rPr>
            </w:pPr>
            <w:r>
              <w:rPr>
                <w:b/>
                <w:sz w:val="28"/>
              </w:rPr>
              <w:t>Labordiagnostik</w:t>
            </w:r>
          </w:p>
          <w:p>
            <w:pPr>
              <w:pStyle w:val="Listenabsatz"/>
              <w:numPr>
                <w:ilvl w:val="0"/>
                <w:numId w:val="31"/>
              </w:numPr>
              <w:ind w:left="450" w:hanging="232"/>
              <w:rPr>
                <w:sz w:val="22"/>
                <w:szCs w:val="22"/>
              </w:rPr>
            </w:pPr>
            <w:r>
              <w:rPr>
                <w:sz w:val="22"/>
                <w:szCs w:val="22"/>
              </w:rPr>
              <w:t>Laufende KW 11: stabiler Probeneingang mit steigendem Trend</w:t>
            </w:r>
          </w:p>
          <w:p>
            <w:pPr>
              <w:pStyle w:val="Listenabsatz"/>
              <w:numPr>
                <w:ilvl w:val="0"/>
                <w:numId w:val="31"/>
              </w:numPr>
              <w:ind w:left="450" w:hanging="232"/>
              <w:rPr>
                <w:sz w:val="22"/>
                <w:szCs w:val="22"/>
              </w:rPr>
            </w:pPr>
            <w:r>
              <w:rPr>
                <w:sz w:val="22"/>
                <w:szCs w:val="22"/>
              </w:rPr>
              <w:t>Analyse von Proben mit Entnahme in KW10 und KW11</w:t>
            </w:r>
          </w:p>
          <w:p>
            <w:pPr>
              <w:pStyle w:val="Listenabsatz"/>
              <w:numPr>
                <w:ilvl w:val="0"/>
                <w:numId w:val="31"/>
              </w:numPr>
              <w:ind w:left="450" w:hanging="232"/>
              <w:rPr>
                <w:sz w:val="22"/>
                <w:szCs w:val="22"/>
              </w:rPr>
            </w:pPr>
            <w:r>
              <w:rPr>
                <w:sz w:val="22"/>
                <w:szCs w:val="22"/>
              </w:rPr>
              <w:t xml:space="preserve">Ergebnisse Proben KW 11 Entnahme: </w:t>
            </w:r>
          </w:p>
          <w:p>
            <w:pPr>
              <w:pStyle w:val="Listenabsatz"/>
              <w:numPr>
                <w:ilvl w:val="1"/>
                <w:numId w:val="44"/>
              </w:numPr>
              <w:ind w:left="876"/>
              <w:rPr>
                <w:sz w:val="22"/>
                <w:szCs w:val="22"/>
                <w:lang w:val="fr-FR"/>
              </w:rPr>
            </w:pPr>
            <w:r>
              <w:rPr>
                <w:sz w:val="22"/>
                <w:szCs w:val="22"/>
                <w:lang w:val="fr-FR"/>
              </w:rPr>
              <w:t xml:space="preserve">134 </w:t>
            </w:r>
            <w:proofErr w:type="spellStart"/>
            <w:proofErr w:type="gramStart"/>
            <w:r>
              <w:rPr>
                <w:sz w:val="22"/>
                <w:szCs w:val="22"/>
                <w:lang w:val="fr-FR"/>
              </w:rPr>
              <w:t>Proben</w:t>
            </w:r>
            <w:proofErr w:type="spellEnd"/>
            <w:r>
              <w:rPr>
                <w:sz w:val="22"/>
                <w:szCs w:val="22"/>
                <w:lang w:val="fr-FR"/>
              </w:rPr>
              <w:t>:</w:t>
            </w:r>
            <w:proofErr w:type="gramEnd"/>
            <w:r>
              <w:rPr>
                <w:sz w:val="22"/>
                <w:szCs w:val="22"/>
                <w:lang w:val="fr-FR"/>
              </w:rPr>
              <w:t xml:space="preserve"> </w:t>
            </w:r>
            <w:proofErr w:type="spellStart"/>
            <w:r>
              <w:rPr>
                <w:sz w:val="22"/>
                <w:szCs w:val="22"/>
                <w:lang w:val="fr-FR"/>
              </w:rPr>
              <w:t>Rhinoviren</w:t>
            </w:r>
            <w:proofErr w:type="spellEnd"/>
            <w:r>
              <w:rPr>
                <w:sz w:val="22"/>
                <w:szCs w:val="22"/>
                <w:lang w:val="fr-FR"/>
              </w:rPr>
              <w:t xml:space="preserve"> 30%, SARS-CoV-2 6%, NL63 </w:t>
            </w:r>
            <w:proofErr w:type="spellStart"/>
            <w:r>
              <w:rPr>
                <w:sz w:val="22"/>
                <w:szCs w:val="22"/>
                <w:lang w:val="fr-FR"/>
              </w:rPr>
              <w:t>saisonales</w:t>
            </w:r>
            <w:proofErr w:type="spellEnd"/>
            <w:r>
              <w:rPr>
                <w:sz w:val="22"/>
                <w:szCs w:val="22"/>
                <w:lang w:val="fr-FR"/>
              </w:rPr>
              <w:t xml:space="preserve"> Coronavirus 69%</w:t>
            </w:r>
          </w:p>
          <w:p>
            <w:pPr>
              <w:pStyle w:val="Listenabsatz"/>
              <w:numPr>
                <w:ilvl w:val="1"/>
                <w:numId w:val="44"/>
              </w:numPr>
              <w:ind w:left="876"/>
              <w:rPr>
                <w:sz w:val="22"/>
                <w:szCs w:val="22"/>
              </w:rPr>
            </w:pPr>
            <w:r>
              <w:rPr>
                <w:sz w:val="22"/>
                <w:szCs w:val="22"/>
              </w:rPr>
              <w:t>Genotypisierung PCR-positiver SARS-CoV-2 Proben aus KW10 und KW11:</w:t>
            </w:r>
          </w:p>
          <w:p>
            <w:pPr>
              <w:pStyle w:val="Listenabsatz"/>
              <w:numPr>
                <w:ilvl w:val="2"/>
                <w:numId w:val="44"/>
              </w:numPr>
              <w:ind w:left="1443"/>
              <w:rPr>
                <w:sz w:val="22"/>
                <w:szCs w:val="22"/>
              </w:rPr>
            </w:pPr>
            <w:r>
              <w:rPr>
                <w:sz w:val="22"/>
                <w:szCs w:val="22"/>
              </w:rPr>
              <w:t>17 typisiert, 13 in KW10, 4 in KW11</w:t>
            </w:r>
          </w:p>
          <w:p>
            <w:pPr>
              <w:pStyle w:val="Listenabsatz"/>
              <w:numPr>
                <w:ilvl w:val="2"/>
                <w:numId w:val="44"/>
              </w:numPr>
              <w:ind w:left="1443"/>
              <w:rPr>
                <w:sz w:val="22"/>
                <w:szCs w:val="22"/>
              </w:rPr>
            </w:pPr>
            <w:r>
              <w:rPr>
                <w:sz w:val="22"/>
                <w:szCs w:val="22"/>
              </w:rPr>
              <w:t>Beide zsm., Nachweisquote von 88% variante</w:t>
            </w:r>
          </w:p>
          <w:p>
            <w:pPr>
              <w:pStyle w:val="Listenabsatz"/>
              <w:numPr>
                <w:ilvl w:val="2"/>
                <w:numId w:val="44"/>
              </w:numPr>
              <w:ind w:left="1443"/>
              <w:rPr>
                <w:sz w:val="22"/>
                <w:szCs w:val="22"/>
              </w:rPr>
            </w:pPr>
            <w:r>
              <w:rPr>
                <w:sz w:val="22"/>
                <w:szCs w:val="22"/>
              </w:rPr>
              <w:t>KW11 bei diesen 4 Proben 100%</w:t>
            </w:r>
          </w:p>
          <w:p>
            <w:pPr>
              <w:pStyle w:val="Listenabsatz"/>
              <w:numPr>
                <w:ilvl w:val="0"/>
                <w:numId w:val="31"/>
              </w:numPr>
              <w:ind w:left="450" w:hanging="232"/>
              <w:rPr>
                <w:sz w:val="22"/>
                <w:szCs w:val="22"/>
              </w:rPr>
            </w:pPr>
            <w:r>
              <w:rPr>
                <w:sz w:val="22"/>
                <w:szCs w:val="22"/>
              </w:rPr>
              <w:t>Varianten: primär B.1.1.7, 3 Proben aus Sentinelsurveillance mit B.1.351, alle aus einer Praxis, wahrscheinlich eine Infektkette bestehend aus einer Familie</w:t>
            </w:r>
          </w:p>
          <w:p>
            <w:pPr>
              <w:rPr>
                <w:b/>
                <w:sz w:val="22"/>
                <w:szCs w:val="22"/>
              </w:rPr>
            </w:pPr>
          </w:p>
          <w:p>
            <w:pPr>
              <w:pStyle w:val="Listenabsatz"/>
              <w:numPr>
                <w:ilvl w:val="0"/>
                <w:numId w:val="31"/>
              </w:numPr>
              <w:ind w:left="450" w:hanging="232"/>
              <w:rPr>
                <w:sz w:val="22"/>
                <w:szCs w:val="22"/>
              </w:rPr>
            </w:pPr>
            <w:r>
              <w:rPr>
                <w:sz w:val="22"/>
                <w:szCs w:val="22"/>
              </w:rPr>
              <w:t>Zahlen für KW11: 711 Proben, 326 pos. (45,8%), viele zur Freitestung zu Isolations-/Quarantäneende (wird scheinbar teilweise auch verwechselt)</w:t>
            </w:r>
          </w:p>
          <w:p>
            <w:pPr>
              <w:pStyle w:val="Listenabsatz"/>
              <w:numPr>
                <w:ilvl w:val="0"/>
                <w:numId w:val="31"/>
              </w:numPr>
              <w:ind w:left="450" w:hanging="232"/>
              <w:rPr>
                <w:sz w:val="22"/>
                <w:szCs w:val="22"/>
              </w:rPr>
            </w:pPr>
            <w:r>
              <w:rPr>
                <w:sz w:val="22"/>
                <w:szCs w:val="22"/>
              </w:rPr>
              <w:t>Sequenzuntersuchung auf B.1.1.7 läuft</w:t>
            </w:r>
          </w:p>
          <w:p>
            <w:pPr>
              <w:pStyle w:val="Listenabsatz"/>
              <w:numPr>
                <w:ilvl w:val="0"/>
                <w:numId w:val="31"/>
              </w:numPr>
              <w:ind w:left="450" w:hanging="232"/>
              <w:rPr>
                <w:sz w:val="22"/>
                <w:szCs w:val="22"/>
              </w:rPr>
            </w:pPr>
            <w:r>
              <w:rPr>
                <w:sz w:val="22"/>
                <w:szCs w:val="22"/>
              </w:rPr>
              <w:t>Bericht aus ÖGD</w:t>
            </w:r>
          </w:p>
          <w:p>
            <w:pPr>
              <w:pStyle w:val="Listenabsatz"/>
              <w:numPr>
                <w:ilvl w:val="1"/>
                <w:numId w:val="44"/>
              </w:numPr>
              <w:ind w:left="876"/>
              <w:rPr>
                <w:sz w:val="22"/>
                <w:szCs w:val="22"/>
              </w:rPr>
            </w:pPr>
            <w:r>
              <w:rPr>
                <w:sz w:val="22"/>
                <w:szCs w:val="22"/>
              </w:rPr>
              <w:t>Entisolierung in verschiedenen GA verschieden gehandhabt</w:t>
            </w:r>
          </w:p>
          <w:p>
            <w:pPr>
              <w:pStyle w:val="Listenabsatz"/>
              <w:numPr>
                <w:ilvl w:val="1"/>
                <w:numId w:val="44"/>
              </w:numPr>
              <w:ind w:left="876"/>
              <w:rPr>
                <w:sz w:val="22"/>
                <w:szCs w:val="22"/>
              </w:rPr>
            </w:pPr>
            <w:r>
              <w:rPr>
                <w:sz w:val="22"/>
                <w:szCs w:val="22"/>
              </w:rPr>
              <w:t>GA Reinickendorf: KP von B.1.1.7 werden länger in Quarantäne geschickt, hier am Ende der 10d keine Freitestung mehr</w:t>
            </w:r>
          </w:p>
          <w:p>
            <w:pPr>
              <w:pStyle w:val="Listenabsatz"/>
              <w:numPr>
                <w:ilvl w:val="1"/>
                <w:numId w:val="44"/>
              </w:numPr>
              <w:ind w:left="876"/>
              <w:rPr>
                <w:sz w:val="22"/>
                <w:szCs w:val="22"/>
              </w:rPr>
            </w:pPr>
            <w:r>
              <w:rPr>
                <w:sz w:val="22"/>
                <w:szCs w:val="22"/>
              </w:rPr>
              <w:t xml:space="preserve">GA Tempelhof Schöneberg tut dies noch und hält Personen je nach Viruslast länger in Isolation </w:t>
            </w:r>
          </w:p>
          <w:p>
            <w:pPr>
              <w:pStyle w:val="Listenabsatz"/>
              <w:numPr>
                <w:ilvl w:val="1"/>
                <w:numId w:val="44"/>
              </w:numPr>
              <w:ind w:left="876"/>
              <w:rPr>
                <w:sz w:val="22"/>
                <w:szCs w:val="22"/>
              </w:rPr>
            </w:pPr>
            <w:r>
              <w:rPr>
                <w:sz w:val="22"/>
                <w:szCs w:val="22"/>
              </w:rPr>
              <w:lastRenderedPageBreak/>
              <w:t>GA wünschen bei Entisolierung keine Differenzierung nach Virusvariante oder nicht, einfach 14d Grundsatz-Isolierung</w:t>
            </w:r>
          </w:p>
          <w:p>
            <w:pPr>
              <w:pStyle w:val="Listenabsatz"/>
              <w:numPr>
                <w:ilvl w:val="1"/>
                <w:numId w:val="44"/>
              </w:numPr>
              <w:ind w:left="876"/>
              <w:rPr>
                <w:sz w:val="22"/>
                <w:szCs w:val="22"/>
              </w:rPr>
            </w:pPr>
            <w:r>
              <w:rPr>
                <w:sz w:val="22"/>
                <w:szCs w:val="22"/>
              </w:rPr>
              <w:t>Dies wird nächste Woche bei der Dokumentenüberarbeitung erneut intensiv angeschaut</w:t>
            </w:r>
          </w:p>
          <w:p>
            <w:pPr>
              <w:pStyle w:val="Listenabsatz"/>
              <w:numPr>
                <w:ilvl w:val="0"/>
                <w:numId w:val="31"/>
              </w:numPr>
              <w:ind w:left="450" w:hanging="232"/>
              <w:rPr>
                <w:sz w:val="22"/>
                <w:szCs w:val="22"/>
              </w:rPr>
            </w:pPr>
            <w:r>
              <w:rPr>
                <w:sz w:val="22"/>
                <w:szCs w:val="22"/>
              </w:rPr>
              <w:t xml:space="preserve">IBBS Bericht aus Klinikbereich: nun fast schon ausschließlich britische Variante </w:t>
            </w:r>
          </w:p>
          <w:p>
            <w:pPr>
              <w:rPr>
                <w:i/>
                <w:sz w:val="22"/>
              </w:rPr>
            </w:pPr>
          </w:p>
        </w:tc>
        <w:tc>
          <w:tcPr>
            <w:tcW w:w="1492" w:type="dxa"/>
          </w:tcPr>
          <w:p>
            <w:pPr>
              <w:rPr>
                <w:sz w:val="22"/>
                <w:szCs w:val="22"/>
              </w:rPr>
            </w:pPr>
          </w:p>
          <w:p>
            <w:pPr>
              <w:rPr>
                <w:sz w:val="22"/>
                <w:szCs w:val="22"/>
              </w:rPr>
            </w:pPr>
          </w:p>
          <w:p>
            <w:pPr>
              <w:rPr>
                <w:sz w:val="22"/>
                <w:szCs w:val="22"/>
              </w:rPr>
            </w:pPr>
            <w:r>
              <w:rPr>
                <w:sz w:val="22"/>
                <w:szCs w:val="22"/>
              </w:rPr>
              <w:t>FG17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p>
          <w:p>
            <w:pPr>
              <w:rPr>
                <w:sz w:val="22"/>
                <w:szCs w:val="22"/>
              </w:rPr>
            </w:pPr>
          </w:p>
        </w:tc>
      </w:tr>
      <w:tr>
        <w:tc>
          <w:tcPr>
            <w:tcW w:w="684" w:type="dxa"/>
          </w:tcPr>
          <w:p>
            <w:pPr>
              <w:rPr>
                <w:b/>
              </w:rPr>
            </w:pPr>
            <w:r>
              <w:rPr>
                <w:b/>
              </w:rPr>
              <w:t>10</w:t>
            </w:r>
          </w:p>
        </w:tc>
        <w:tc>
          <w:tcPr>
            <w:tcW w:w="6966" w:type="dxa"/>
          </w:tcPr>
          <w:p>
            <w:pPr>
              <w:spacing w:line="276" w:lineRule="auto"/>
              <w:rPr>
                <w:b/>
                <w:sz w:val="28"/>
              </w:rPr>
            </w:pPr>
            <w:r>
              <w:rPr>
                <w:b/>
                <w:sz w:val="28"/>
              </w:rPr>
              <w:t>Klinisches Management/Entlassungsmanagement</w:t>
            </w:r>
          </w:p>
          <w:p>
            <w:pPr>
              <w:pStyle w:val="Listenabsatz"/>
              <w:numPr>
                <w:ilvl w:val="0"/>
                <w:numId w:val="31"/>
              </w:numPr>
              <w:ind w:left="450" w:hanging="232"/>
              <w:rPr>
                <w:sz w:val="22"/>
                <w:szCs w:val="22"/>
              </w:rPr>
            </w:pPr>
            <w:r>
              <w:rPr>
                <w:sz w:val="22"/>
                <w:szCs w:val="22"/>
              </w:rPr>
              <w:t>Nicht besprochen</w:t>
            </w:r>
          </w:p>
          <w:p>
            <w:pPr>
              <w:spacing w:line="276" w:lineRule="auto"/>
              <w:rPr>
                <w:i/>
              </w:rPr>
            </w:pPr>
          </w:p>
        </w:tc>
        <w:tc>
          <w:tcPr>
            <w:tcW w:w="1492" w:type="dxa"/>
          </w:tcPr>
          <w:p>
            <w:pPr>
              <w:rPr>
                <w:sz w:val="22"/>
                <w:szCs w:val="22"/>
              </w:rPr>
            </w:pPr>
          </w:p>
          <w:p>
            <w:pPr>
              <w:rPr>
                <w:sz w:val="22"/>
                <w:szCs w:val="22"/>
              </w:rPr>
            </w:pPr>
            <w:r>
              <w:rPr>
                <w:sz w:val="22"/>
                <w:szCs w:val="22"/>
              </w:rPr>
              <w:t>IBBS</w:t>
            </w:r>
          </w:p>
          <w:p>
            <w:pPr>
              <w:rPr>
                <w:sz w:val="22"/>
                <w:szCs w:val="22"/>
              </w:rPr>
            </w:pPr>
          </w:p>
        </w:tc>
      </w:tr>
      <w:tr>
        <w:tc>
          <w:tcPr>
            <w:tcW w:w="684" w:type="dxa"/>
          </w:tcPr>
          <w:p>
            <w:pPr>
              <w:rPr>
                <w:b/>
              </w:rPr>
            </w:pPr>
            <w:r>
              <w:rPr>
                <w:b/>
              </w:rPr>
              <w:t>11</w:t>
            </w:r>
          </w:p>
        </w:tc>
        <w:tc>
          <w:tcPr>
            <w:tcW w:w="6966" w:type="dxa"/>
          </w:tcPr>
          <w:p>
            <w:pPr>
              <w:spacing w:line="276" w:lineRule="auto"/>
              <w:rPr>
                <w:b/>
                <w:sz w:val="28"/>
              </w:rPr>
            </w:pPr>
            <w:r>
              <w:rPr>
                <w:b/>
                <w:sz w:val="28"/>
              </w:rPr>
              <w:t>Maßnahmen zum Infektionsschutz</w:t>
            </w:r>
          </w:p>
          <w:p>
            <w:pPr>
              <w:pStyle w:val="Listenabsatz"/>
              <w:numPr>
                <w:ilvl w:val="0"/>
                <w:numId w:val="31"/>
              </w:numPr>
              <w:ind w:left="450" w:hanging="232"/>
              <w:rPr>
                <w:sz w:val="22"/>
                <w:szCs w:val="22"/>
              </w:rPr>
            </w:pPr>
            <w:r>
              <w:rPr>
                <w:sz w:val="22"/>
                <w:szCs w:val="22"/>
              </w:rPr>
              <w:t>Kapazitätenmonitoring: nach Rückgang ist nun erneut ein Anstieg sichtbar, z.B. durch Schulausbrüche in SN wo KoNa nun nicht mehr schnell durchführbar ist</w:t>
            </w:r>
          </w:p>
          <w:p>
            <w:pPr>
              <w:pStyle w:val="Listenabsatz"/>
              <w:numPr>
                <w:ilvl w:val="0"/>
                <w:numId w:val="31"/>
              </w:numPr>
              <w:ind w:left="450" w:hanging="232"/>
              <w:rPr>
                <w:sz w:val="22"/>
                <w:szCs w:val="22"/>
              </w:rPr>
            </w:pPr>
            <w:r>
              <w:rPr>
                <w:sz w:val="22"/>
                <w:szCs w:val="22"/>
              </w:rPr>
              <w:t>Ebenso gestern Bericht aus Frankfurt, dass die KoNa nach Flügen nicht mehr machbar ist</w:t>
            </w:r>
          </w:p>
          <w:p>
            <w:pPr>
              <w:rPr>
                <w:sz w:val="22"/>
              </w:rPr>
            </w:pPr>
          </w:p>
        </w:tc>
        <w:tc>
          <w:tcPr>
            <w:tcW w:w="1492" w:type="dxa"/>
          </w:tcPr>
          <w:p>
            <w:pPr>
              <w:rPr>
                <w:sz w:val="22"/>
                <w:szCs w:val="22"/>
              </w:rPr>
            </w:pPr>
          </w:p>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12</w:t>
            </w:r>
          </w:p>
        </w:tc>
        <w:tc>
          <w:tcPr>
            <w:tcW w:w="6966" w:type="dxa"/>
          </w:tcPr>
          <w:p>
            <w:pPr>
              <w:spacing w:line="276" w:lineRule="auto"/>
              <w:rPr>
                <w:b/>
                <w:sz w:val="22"/>
              </w:rPr>
            </w:pPr>
            <w:r>
              <w:rPr>
                <w:b/>
                <w:sz w:val="28"/>
              </w:rPr>
              <w:t>Surveillance</w:t>
            </w:r>
          </w:p>
          <w:p>
            <w:pPr>
              <w:pStyle w:val="Listenabsatz"/>
              <w:numPr>
                <w:ilvl w:val="0"/>
                <w:numId w:val="31"/>
              </w:numPr>
              <w:ind w:left="450" w:hanging="232"/>
              <w:rPr>
                <w:sz w:val="22"/>
                <w:szCs w:val="22"/>
              </w:rPr>
            </w:pPr>
            <w:r>
              <w:rPr>
                <w:sz w:val="22"/>
                <w:szCs w:val="22"/>
              </w:rPr>
              <w:t>Nicht besprochen</w:t>
            </w:r>
          </w:p>
          <w:p>
            <w:pPr>
              <w:rPr>
                <w:sz w:val="22"/>
                <w:szCs w:val="22"/>
              </w:rPr>
            </w:pPr>
          </w:p>
        </w:tc>
        <w:tc>
          <w:tcPr>
            <w:tcW w:w="1492" w:type="dxa"/>
          </w:tcPr>
          <w:p>
            <w:pPr>
              <w:rPr>
                <w:sz w:val="22"/>
                <w:szCs w:val="22"/>
              </w:rPr>
            </w:pPr>
          </w:p>
          <w:p>
            <w:pPr>
              <w:rPr>
                <w:sz w:val="22"/>
                <w:szCs w:val="22"/>
              </w:rPr>
            </w:pPr>
            <w:r>
              <w:rPr>
                <w:sz w:val="22"/>
                <w:szCs w:val="22"/>
              </w:rPr>
              <w:t>FG32</w:t>
            </w:r>
          </w:p>
        </w:tc>
      </w:tr>
      <w:tr>
        <w:tc>
          <w:tcPr>
            <w:tcW w:w="684" w:type="dxa"/>
          </w:tcPr>
          <w:p>
            <w:pPr>
              <w:rPr>
                <w:b/>
              </w:rPr>
            </w:pPr>
            <w:r>
              <w:rPr>
                <w:b/>
              </w:rPr>
              <w:t>13</w:t>
            </w:r>
          </w:p>
        </w:tc>
        <w:tc>
          <w:tcPr>
            <w:tcW w:w="6966" w:type="dxa"/>
          </w:tcPr>
          <w:p>
            <w:pPr>
              <w:spacing w:line="276" w:lineRule="auto"/>
              <w:rPr>
                <w:b/>
                <w:sz w:val="28"/>
              </w:rPr>
            </w:pPr>
            <w:r>
              <w:rPr>
                <w:b/>
                <w:sz w:val="28"/>
              </w:rPr>
              <w:t xml:space="preserve">Transport und Grenzübergangsstellen </w:t>
            </w:r>
            <w:r>
              <w:rPr>
                <w:b/>
                <w:color w:val="FF0000"/>
              </w:rPr>
              <w:t>(nur freitags)</w:t>
            </w:r>
          </w:p>
          <w:p>
            <w:pPr>
              <w:rPr>
                <w:b/>
                <w:sz w:val="22"/>
                <w:szCs w:val="22"/>
              </w:rPr>
            </w:pPr>
            <w:r>
              <w:rPr>
                <w:b/>
                <w:sz w:val="22"/>
                <w:szCs w:val="22"/>
              </w:rPr>
              <w:t>Gruppe IGV-benannter Flughäfen GA</w:t>
            </w:r>
          </w:p>
          <w:p>
            <w:pPr>
              <w:pStyle w:val="Listenabsatz"/>
              <w:numPr>
                <w:ilvl w:val="0"/>
                <w:numId w:val="31"/>
              </w:numPr>
              <w:ind w:left="450" w:hanging="232"/>
              <w:rPr>
                <w:sz w:val="22"/>
                <w:szCs w:val="22"/>
              </w:rPr>
            </w:pPr>
            <w:r>
              <w:rPr>
                <w:sz w:val="22"/>
                <w:szCs w:val="22"/>
              </w:rPr>
              <w:t>Gestern Austausch, berichte von zunehmend angespannter Lage</w:t>
            </w:r>
          </w:p>
          <w:p>
            <w:pPr>
              <w:pStyle w:val="Listenabsatz"/>
              <w:numPr>
                <w:ilvl w:val="0"/>
                <w:numId w:val="31"/>
              </w:numPr>
              <w:ind w:left="450" w:hanging="232"/>
              <w:rPr>
                <w:sz w:val="22"/>
                <w:szCs w:val="22"/>
              </w:rPr>
            </w:pPr>
            <w:r>
              <w:rPr>
                <w:sz w:val="22"/>
                <w:szCs w:val="22"/>
              </w:rPr>
              <w:t>Risiko-/Virusvariantengebiete werden als nicht sinnvoll erachtet, dies wurde auch hieraus ans BMG weitergegeben</w:t>
            </w:r>
          </w:p>
          <w:p>
            <w:pPr>
              <w:pStyle w:val="Listenabsatz"/>
              <w:numPr>
                <w:ilvl w:val="0"/>
                <w:numId w:val="31"/>
              </w:numPr>
              <w:ind w:left="450" w:hanging="232"/>
              <w:rPr>
                <w:sz w:val="22"/>
                <w:szCs w:val="22"/>
              </w:rPr>
            </w:pPr>
            <w:r>
              <w:rPr>
                <w:sz w:val="22"/>
                <w:szCs w:val="22"/>
              </w:rPr>
              <w:t xml:space="preserve">Gruppe funktioniert sehr gut und plant eine Aufarbeitung der Reaktion, eine gemeinsame Publikation wurde im BGB veröffentlicht, gruppe </w:t>
            </w:r>
          </w:p>
          <w:p>
            <w:pPr>
              <w:rPr>
                <w:sz w:val="22"/>
              </w:rPr>
            </w:pPr>
          </w:p>
        </w:tc>
        <w:tc>
          <w:tcPr>
            <w:tcW w:w="1492" w:type="dxa"/>
          </w:tcPr>
          <w:p>
            <w:pPr>
              <w:rPr>
                <w:sz w:val="22"/>
                <w:szCs w:val="22"/>
              </w:rPr>
            </w:pPr>
          </w:p>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14</w:t>
            </w:r>
          </w:p>
        </w:tc>
        <w:tc>
          <w:tcPr>
            <w:tcW w:w="6966" w:type="dxa"/>
          </w:tcPr>
          <w:p>
            <w:pPr>
              <w:spacing w:line="276" w:lineRule="auto"/>
              <w:rPr>
                <w:b/>
                <w:sz w:val="28"/>
              </w:rPr>
            </w:pPr>
            <w:r>
              <w:rPr>
                <w:b/>
                <w:sz w:val="28"/>
              </w:rPr>
              <w:t xml:space="preserve">Information aus dem Lagezentrum </w:t>
            </w:r>
            <w:r>
              <w:rPr>
                <w:b/>
                <w:color w:val="FF0000"/>
              </w:rPr>
              <w:t>(nur freitags)</w:t>
            </w:r>
          </w:p>
          <w:p>
            <w:pPr>
              <w:rPr>
                <w:sz w:val="22"/>
                <w:szCs w:val="22"/>
              </w:rPr>
            </w:pPr>
            <w:r>
              <w:rPr>
                <w:b/>
                <w:sz w:val="22"/>
                <w:szCs w:val="22"/>
              </w:rPr>
              <w:t xml:space="preserve">Lagepostfach BMG Erlassbearbeitung </w:t>
            </w:r>
          </w:p>
          <w:p>
            <w:pPr>
              <w:pStyle w:val="Listenabsatz"/>
              <w:numPr>
                <w:ilvl w:val="0"/>
                <w:numId w:val="31"/>
              </w:numPr>
              <w:ind w:left="450" w:hanging="232"/>
              <w:rPr>
                <w:sz w:val="22"/>
                <w:szCs w:val="22"/>
              </w:rPr>
            </w:pPr>
            <w:r>
              <w:rPr>
                <w:sz w:val="22"/>
                <w:szCs w:val="22"/>
              </w:rPr>
              <w:t>Das BMG-Lagepostfach zur Erlassbearbeitung funktioniert noch nicht, das RKI-LZ wird weiterhin von allen Seiten angesteuert</w:t>
            </w:r>
          </w:p>
          <w:p>
            <w:pPr>
              <w:pStyle w:val="Listenabsatz"/>
              <w:numPr>
                <w:ilvl w:val="0"/>
                <w:numId w:val="31"/>
              </w:numPr>
              <w:ind w:left="450" w:hanging="232"/>
              <w:rPr>
                <w:sz w:val="22"/>
                <w:szCs w:val="22"/>
              </w:rPr>
            </w:pPr>
            <w:r>
              <w:rPr>
                <w:sz w:val="22"/>
                <w:szCs w:val="22"/>
              </w:rPr>
              <w:t>In letzten Tagen viele Fragen zu den gleichen Themenkomplexen, Schnelltests, Verfügbarkeit Antigentests, sehr unkoordiniert, es ist schwer für das RKI, den Überblick zu bewahren, Risiko von Inkohärenzen</w:t>
            </w:r>
          </w:p>
          <w:p>
            <w:pPr>
              <w:pStyle w:val="Listenabsatz"/>
              <w:numPr>
                <w:ilvl w:val="0"/>
                <w:numId w:val="31"/>
              </w:numPr>
              <w:ind w:left="450" w:hanging="232"/>
              <w:rPr>
                <w:sz w:val="22"/>
                <w:szCs w:val="22"/>
              </w:rPr>
            </w:pPr>
            <w:r>
              <w:rPr>
                <w:sz w:val="22"/>
                <w:szCs w:val="22"/>
              </w:rPr>
              <w:t>BMG-Funktionspostfach wird bei Antworten immer mit eingebunden, hoffentlich erfolgt die Kanalisierung zeitnah</w:t>
            </w:r>
          </w:p>
          <w:p>
            <w:pPr>
              <w:pStyle w:val="Listenabsatz"/>
              <w:numPr>
                <w:ilvl w:val="0"/>
                <w:numId w:val="31"/>
              </w:numPr>
              <w:ind w:left="450" w:hanging="232"/>
              <w:rPr>
                <w:sz w:val="22"/>
                <w:szCs w:val="22"/>
              </w:rPr>
            </w:pPr>
            <w:r>
              <w:rPr>
                <w:sz w:val="22"/>
                <w:szCs w:val="22"/>
              </w:rPr>
              <w:t>Weitere Beobachtungsphase von 2 Wochen, danach ggf. Rückmeldung ans BMG nach, privaterlasse sind schwierig und RKI kann nicht gut überblick bewahren</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FG38</w:t>
            </w:r>
          </w:p>
        </w:tc>
      </w:tr>
      <w:tr>
        <w:tc>
          <w:tcPr>
            <w:tcW w:w="684" w:type="dxa"/>
          </w:tcPr>
          <w:p>
            <w:pPr>
              <w:rPr>
                <w:b/>
              </w:rPr>
            </w:pPr>
            <w:r>
              <w:rPr>
                <w:b/>
              </w:rPr>
              <w:t>15</w:t>
            </w:r>
          </w:p>
        </w:tc>
        <w:tc>
          <w:tcPr>
            <w:tcW w:w="6966" w:type="dxa"/>
          </w:tcPr>
          <w:p>
            <w:pPr>
              <w:spacing w:line="276" w:lineRule="auto"/>
              <w:rPr>
                <w:b/>
                <w:sz w:val="28"/>
              </w:rPr>
            </w:pPr>
            <w:r>
              <w:rPr>
                <w:b/>
                <w:sz w:val="28"/>
              </w:rPr>
              <w:t>Wichtige Termine</w:t>
            </w:r>
          </w:p>
          <w:p>
            <w:pPr>
              <w:pStyle w:val="Listenabsatz"/>
              <w:numPr>
                <w:ilvl w:val="0"/>
                <w:numId w:val="31"/>
              </w:numPr>
              <w:ind w:left="450" w:hanging="232"/>
              <w:rPr>
                <w:sz w:val="22"/>
                <w:szCs w:val="22"/>
              </w:rPr>
            </w:pPr>
            <w:r>
              <w:rPr>
                <w:sz w:val="22"/>
                <w:szCs w:val="22"/>
              </w:rPr>
              <w:t>GMK am Montag</w:t>
            </w:r>
          </w:p>
          <w:p>
            <w:pPr>
              <w:rPr>
                <w:b/>
                <w:sz w:val="22"/>
              </w:rPr>
            </w:pPr>
          </w:p>
        </w:tc>
        <w:tc>
          <w:tcPr>
            <w:tcW w:w="1492" w:type="dxa"/>
          </w:tcPr>
          <w:p>
            <w:pPr>
              <w:rPr>
                <w:sz w:val="22"/>
                <w:szCs w:val="22"/>
              </w:rPr>
            </w:pPr>
          </w:p>
          <w:p>
            <w:pPr>
              <w:rPr>
                <w:sz w:val="22"/>
                <w:szCs w:val="22"/>
              </w:rPr>
            </w:pPr>
            <w:r>
              <w:rPr>
                <w:sz w:val="22"/>
                <w:szCs w:val="22"/>
              </w:rPr>
              <w:t>alle</w:t>
            </w:r>
          </w:p>
        </w:tc>
      </w:tr>
      <w:tr>
        <w:tc>
          <w:tcPr>
            <w:tcW w:w="684" w:type="dxa"/>
          </w:tcPr>
          <w:p>
            <w:pPr>
              <w:rPr>
                <w:b/>
              </w:rPr>
            </w:pPr>
            <w:r>
              <w:rPr>
                <w:b/>
              </w:rPr>
              <w:t>16</w:t>
            </w:r>
          </w:p>
        </w:tc>
        <w:tc>
          <w:tcPr>
            <w:tcW w:w="6966" w:type="dxa"/>
          </w:tcPr>
          <w:p>
            <w:pPr>
              <w:spacing w:line="276" w:lineRule="auto"/>
              <w:rPr>
                <w:b/>
                <w:sz w:val="28"/>
              </w:rPr>
            </w:pPr>
            <w:r>
              <w:rPr>
                <w:b/>
                <w:sz w:val="28"/>
              </w:rPr>
              <w:t>Andere Themen</w:t>
            </w:r>
          </w:p>
          <w:p>
            <w:pPr>
              <w:pStyle w:val="Listenabsatz"/>
              <w:numPr>
                <w:ilvl w:val="0"/>
                <w:numId w:val="31"/>
              </w:numPr>
              <w:ind w:left="450" w:hanging="232"/>
              <w:rPr>
                <w:sz w:val="22"/>
                <w:szCs w:val="22"/>
              </w:rPr>
            </w:pPr>
            <w:r>
              <w:rPr>
                <w:sz w:val="22"/>
                <w:szCs w:val="22"/>
              </w:rPr>
              <w:lastRenderedPageBreak/>
              <w:t>VPräs: großes Lob von Lauterbach ans RKI!</w:t>
            </w:r>
          </w:p>
          <w:p>
            <w:pPr>
              <w:pStyle w:val="Listenabsatz"/>
              <w:numPr>
                <w:ilvl w:val="0"/>
                <w:numId w:val="31"/>
              </w:numPr>
              <w:ind w:left="450" w:hanging="232"/>
              <w:rPr>
                <w:sz w:val="22"/>
                <w:szCs w:val="22"/>
              </w:rPr>
            </w:pPr>
            <w:r>
              <w:rPr>
                <w:sz w:val="22"/>
                <w:szCs w:val="22"/>
              </w:rPr>
              <w:t>Nächste Sitzung: Montag, 22.03.2021</w:t>
            </w:r>
            <w:bookmarkStart w:id="0" w:name="_GoBack"/>
            <w:bookmarkEnd w:id="0"/>
            <w:r>
              <w:rPr>
                <w:sz w:val="22"/>
                <w:szCs w:val="22"/>
              </w:rPr>
              <w:t>, 13:00 Uhr, via WebEx</w:t>
            </w:r>
          </w:p>
          <w:p>
            <w:pPr>
              <w:rPr>
                <w:sz w:val="22"/>
              </w:rPr>
            </w:pPr>
          </w:p>
        </w:tc>
        <w:tc>
          <w:tcPr>
            <w:tcW w:w="1492" w:type="dxa"/>
          </w:tcPr>
          <w:p>
            <w:pPr>
              <w:rPr>
                <w:sz w:val="22"/>
                <w:szCs w:val="22"/>
              </w:rPr>
            </w:pPr>
          </w:p>
          <w:p>
            <w:pPr>
              <w:rPr>
                <w:sz w:val="22"/>
                <w:szCs w:val="22"/>
              </w:rPr>
            </w:pPr>
          </w:p>
          <w:p>
            <w:pPr>
              <w:rPr>
                <w:sz w:val="22"/>
                <w:szCs w:val="22"/>
              </w:rPr>
            </w:pPr>
          </w:p>
        </w:tc>
      </w:tr>
    </w:tbl>
    <w:p>
      <w:pPr>
        <w:spacing w:after="0"/>
        <w:rPr>
          <w:sz w:val="22"/>
          <w:highlight w:val="yellow"/>
        </w:rPr>
      </w:pPr>
    </w:p>
    <w:sectPr>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22"/>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77824"/>
    <w:multiLevelType w:val="hybridMultilevel"/>
    <w:tmpl w:val="9ED49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F85E55"/>
    <w:multiLevelType w:val="hybridMultilevel"/>
    <w:tmpl w:val="4E1A912E"/>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80737CF"/>
    <w:multiLevelType w:val="hybridMultilevel"/>
    <w:tmpl w:val="A198B08C"/>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04070005">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D250161"/>
    <w:multiLevelType w:val="hybridMultilevel"/>
    <w:tmpl w:val="1922A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3E4327"/>
    <w:multiLevelType w:val="hybridMultilevel"/>
    <w:tmpl w:val="F9362562"/>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0DE3979"/>
    <w:multiLevelType w:val="hybridMultilevel"/>
    <w:tmpl w:val="45764AC6"/>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E51AC878">
      <w:start w:val="1"/>
      <w:numFmt w:val="bullet"/>
      <w:lvlText w:val="-"/>
      <w:lvlJc w:val="left"/>
      <w:pPr>
        <w:ind w:left="4680" w:hanging="360"/>
      </w:pPr>
      <w:rPr>
        <w:rFonts w:ascii="Calibri" w:hAnsi="Calibri"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B3A2849"/>
    <w:multiLevelType w:val="hybridMultilevel"/>
    <w:tmpl w:val="FC6E9F7A"/>
    <w:lvl w:ilvl="0" w:tplc="77B040CC">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1C67DD"/>
    <w:multiLevelType w:val="hybridMultilevel"/>
    <w:tmpl w:val="8FB83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2EF6FE9"/>
    <w:multiLevelType w:val="hybridMultilevel"/>
    <w:tmpl w:val="10805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647304"/>
    <w:multiLevelType w:val="hybridMultilevel"/>
    <w:tmpl w:val="C3485AA0"/>
    <w:lvl w:ilvl="0" w:tplc="45309F80">
      <w:start w:val="1"/>
      <w:numFmt w:val="bullet"/>
      <w:lvlText w:val=""/>
      <w:lvlJc w:val="left"/>
      <w:pPr>
        <w:ind w:left="720" w:hanging="360"/>
      </w:pPr>
      <w:rPr>
        <w:rFonts w:ascii="Symbol" w:hAnsi="Symbol"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B397807"/>
    <w:multiLevelType w:val="hybridMultilevel"/>
    <w:tmpl w:val="8E6C29E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02A07E2"/>
    <w:multiLevelType w:val="hybridMultilevel"/>
    <w:tmpl w:val="2F145C3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2977DEE"/>
    <w:multiLevelType w:val="hybridMultilevel"/>
    <w:tmpl w:val="DF240308"/>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6B3F35"/>
    <w:multiLevelType w:val="hybridMultilevel"/>
    <w:tmpl w:val="2B76A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2631578"/>
    <w:multiLevelType w:val="hybridMultilevel"/>
    <w:tmpl w:val="5024F09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45F21567"/>
    <w:multiLevelType w:val="hybridMultilevel"/>
    <w:tmpl w:val="B7663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78633CA"/>
    <w:multiLevelType w:val="hybridMultilevel"/>
    <w:tmpl w:val="313C207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15:restartNumberingAfterBreak="0">
    <w:nsid w:val="496456F5"/>
    <w:multiLevelType w:val="hybridMultilevel"/>
    <w:tmpl w:val="472A7808"/>
    <w:lvl w:ilvl="0" w:tplc="42E83306">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AA313F4"/>
    <w:multiLevelType w:val="hybridMultilevel"/>
    <w:tmpl w:val="4B020A48"/>
    <w:lvl w:ilvl="0" w:tplc="04090001">
      <w:start w:val="1"/>
      <w:numFmt w:val="bullet"/>
      <w:lvlText w:val="o"/>
      <w:lvlJc w:val="left"/>
      <w:pPr>
        <w:ind w:left="720" w:hanging="360"/>
      </w:pPr>
      <w:rPr>
        <w:rFonts w:ascii="Courier New" w:hAnsi="Courier New"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AB418FF"/>
    <w:multiLevelType w:val="hybridMultilevel"/>
    <w:tmpl w:val="53C6567A"/>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25B44C8"/>
    <w:multiLevelType w:val="hybridMultilevel"/>
    <w:tmpl w:val="C9B49F4C"/>
    <w:lvl w:ilvl="0" w:tplc="04090001">
      <w:start w:val="1"/>
      <w:numFmt w:val="bullet"/>
      <w:lvlText w:val="o"/>
      <w:lvlJc w:val="left"/>
      <w:pPr>
        <w:ind w:left="1080" w:hanging="360"/>
      </w:pPr>
      <w:rPr>
        <w:rFonts w:ascii="Courier New" w:hAnsi="Courier New"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54D10A8A"/>
    <w:multiLevelType w:val="hybridMultilevel"/>
    <w:tmpl w:val="7EFE77B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55F0180D"/>
    <w:multiLevelType w:val="hybridMultilevel"/>
    <w:tmpl w:val="E8023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6FC4816"/>
    <w:multiLevelType w:val="hybridMultilevel"/>
    <w:tmpl w:val="675C8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79A7A9B"/>
    <w:multiLevelType w:val="hybridMultilevel"/>
    <w:tmpl w:val="DF2087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587F4FB2"/>
    <w:multiLevelType w:val="hybridMultilevel"/>
    <w:tmpl w:val="6012E62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15:restartNumberingAfterBreak="0">
    <w:nsid w:val="5D8161FE"/>
    <w:multiLevelType w:val="hybridMultilevel"/>
    <w:tmpl w:val="B20AD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AE533F5"/>
    <w:multiLevelType w:val="hybridMultilevel"/>
    <w:tmpl w:val="00E487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DE23E21"/>
    <w:multiLevelType w:val="hybridMultilevel"/>
    <w:tmpl w:val="6760482C"/>
    <w:lvl w:ilvl="0" w:tplc="45309F80">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E173E87"/>
    <w:multiLevelType w:val="hybridMultilevel"/>
    <w:tmpl w:val="3D00A4FE"/>
    <w:lvl w:ilvl="0" w:tplc="39A8323E">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F7E763D"/>
    <w:multiLevelType w:val="hybridMultilevel"/>
    <w:tmpl w:val="3552D348"/>
    <w:lvl w:ilvl="0" w:tplc="45309F80">
      <w:start w:val="1"/>
      <w:numFmt w:val="bullet"/>
      <w:lvlText w:val=""/>
      <w:lvlJc w:val="left"/>
      <w:pPr>
        <w:ind w:left="720" w:hanging="360"/>
      </w:pPr>
      <w:rPr>
        <w:rFonts w:ascii="Symbol" w:hAnsi="Symbol" w:hint="default"/>
        <w:sz w:val="22"/>
      </w:rPr>
    </w:lvl>
    <w:lvl w:ilvl="1" w:tplc="FD425934">
      <w:start w:val="1"/>
      <w:numFmt w:val="bullet"/>
      <w:lvlText w:val="o"/>
      <w:lvlJc w:val="left"/>
      <w:pPr>
        <w:ind w:left="1440" w:hanging="360"/>
      </w:pPr>
      <w:rPr>
        <w:rFonts w:ascii="Courier New" w:hAnsi="Courier New" w:cs="Courier New" w:hint="default"/>
        <w:sz w:val="22"/>
      </w:rPr>
    </w:lvl>
    <w:lvl w:ilvl="2" w:tplc="04070003">
      <w:start w:val="1"/>
      <w:numFmt w:val="bullet"/>
      <w:lvlText w:val="o"/>
      <w:lvlJc w:val="left"/>
      <w:pPr>
        <w:ind w:left="2160" w:hanging="360"/>
      </w:pPr>
      <w:rPr>
        <w:rFonts w:ascii="Courier New" w:hAnsi="Courier New" w:cs="Courier New"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1495618"/>
    <w:multiLevelType w:val="hybridMultilevel"/>
    <w:tmpl w:val="18E0A4D6"/>
    <w:lvl w:ilvl="0" w:tplc="E51AC878">
      <w:start w:val="1"/>
      <w:numFmt w:val="bullet"/>
      <w:lvlText w:val="-"/>
      <w:lvlJc w:val="left"/>
      <w:pPr>
        <w:ind w:left="25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2962AA0"/>
    <w:multiLevelType w:val="hybridMultilevel"/>
    <w:tmpl w:val="EE5A9F60"/>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5">
      <w:start w:val="1"/>
      <w:numFmt w:val="bullet"/>
      <w:lvlText w:val=""/>
      <w:lvlJc w:val="left"/>
      <w:pPr>
        <w:ind w:left="3960" w:hanging="360"/>
      </w:pPr>
      <w:rPr>
        <w:rFonts w:ascii="Wingdings" w:hAnsi="Wingdings"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9"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85114FE"/>
    <w:multiLevelType w:val="hybridMultilevel"/>
    <w:tmpl w:val="FAE824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89537FB"/>
    <w:multiLevelType w:val="hybridMultilevel"/>
    <w:tmpl w:val="5D4A4516"/>
    <w:lvl w:ilvl="0" w:tplc="BCF8173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95036B6"/>
    <w:multiLevelType w:val="hybridMultilevel"/>
    <w:tmpl w:val="5476CCD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7"/>
  </w:num>
  <w:num w:numId="3">
    <w:abstractNumId w:val="25"/>
  </w:num>
  <w:num w:numId="4">
    <w:abstractNumId w:val="5"/>
  </w:num>
  <w:num w:numId="5">
    <w:abstractNumId w:val="24"/>
  </w:num>
  <w:num w:numId="6">
    <w:abstractNumId w:val="9"/>
  </w:num>
  <w:num w:numId="7">
    <w:abstractNumId w:val="21"/>
  </w:num>
  <w:num w:numId="8">
    <w:abstractNumId w:val="8"/>
  </w:num>
  <w:num w:numId="9">
    <w:abstractNumId w:val="14"/>
  </w:num>
  <w:num w:numId="10">
    <w:abstractNumId w:val="19"/>
  </w:num>
  <w:num w:numId="11">
    <w:abstractNumId w:val="40"/>
  </w:num>
  <w:num w:numId="12">
    <w:abstractNumId w:val="3"/>
  </w:num>
  <w:num w:numId="13">
    <w:abstractNumId w:val="41"/>
  </w:num>
  <w:num w:numId="14">
    <w:abstractNumId w:val="18"/>
  </w:num>
  <w:num w:numId="15">
    <w:abstractNumId w:val="20"/>
  </w:num>
  <w:num w:numId="16">
    <w:abstractNumId w:val="1"/>
  </w:num>
  <w:num w:numId="17">
    <w:abstractNumId w:val="35"/>
  </w:num>
  <w:num w:numId="18">
    <w:abstractNumId w:val="12"/>
  </w:num>
  <w:num w:numId="19">
    <w:abstractNumId w:val="32"/>
  </w:num>
  <w:num w:numId="20">
    <w:abstractNumId w:val="29"/>
  </w:num>
  <w:num w:numId="21">
    <w:abstractNumId w:val="42"/>
  </w:num>
  <w:num w:numId="22">
    <w:abstractNumId w:val="4"/>
  </w:num>
  <w:num w:numId="23">
    <w:abstractNumId w:val="15"/>
  </w:num>
  <w:num w:numId="24">
    <w:abstractNumId w:val="23"/>
  </w:num>
  <w:num w:numId="25">
    <w:abstractNumId w:val="34"/>
  </w:num>
  <w:num w:numId="26">
    <w:abstractNumId w:val="36"/>
  </w:num>
  <w:num w:numId="27">
    <w:abstractNumId w:val="0"/>
  </w:num>
  <w:num w:numId="28">
    <w:abstractNumId w:val="30"/>
  </w:num>
  <w:num w:numId="29">
    <w:abstractNumId w:val="10"/>
  </w:num>
  <w:num w:numId="30">
    <w:abstractNumId w:val="39"/>
  </w:num>
  <w:num w:numId="31">
    <w:abstractNumId w:val="13"/>
  </w:num>
  <w:num w:numId="32">
    <w:abstractNumId w:val="31"/>
  </w:num>
  <w:num w:numId="33">
    <w:abstractNumId w:val="33"/>
  </w:num>
  <w:num w:numId="34">
    <w:abstractNumId w:val="22"/>
  </w:num>
  <w:num w:numId="35">
    <w:abstractNumId w:val="26"/>
  </w:num>
  <w:num w:numId="36">
    <w:abstractNumId w:val="28"/>
  </w:num>
  <w:num w:numId="37">
    <w:abstractNumId w:val="11"/>
  </w:num>
  <w:num w:numId="38">
    <w:abstractNumId w:val="17"/>
  </w:num>
  <w:num w:numId="39">
    <w:abstractNumId w:val="38"/>
  </w:num>
  <w:num w:numId="40">
    <w:abstractNumId w:val="2"/>
  </w:num>
  <w:num w:numId="41">
    <w:abstractNumId w:val="6"/>
  </w:num>
  <w:num w:numId="42">
    <w:abstractNumId w:val="37"/>
  </w:num>
  <w:num w:numId="43">
    <w:abstractNumId w:val="27"/>
  </w:num>
  <w:num w:numId="44">
    <w:abstractNumId w:val="13"/>
  </w:num>
  <w:num w:numId="4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881B226C-540B-41A1-8D6F-B04287011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styleId="NichtaufgelsteErwhnung">
    <w:name w:val="Unresolved Mention"/>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30940">
      <w:bodyDiv w:val="1"/>
      <w:marLeft w:val="0"/>
      <w:marRight w:val="0"/>
      <w:marTop w:val="0"/>
      <w:marBottom w:val="0"/>
      <w:divBdr>
        <w:top w:val="none" w:sz="0" w:space="0" w:color="auto"/>
        <w:left w:val="none" w:sz="0" w:space="0" w:color="auto"/>
        <w:bottom w:val="none" w:sz="0" w:space="0" w:color="auto"/>
        <w:right w:val="none" w:sz="0" w:space="0" w:color="auto"/>
      </w:divBdr>
    </w:div>
    <w:div w:id="302974870">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09496825">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461652898">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961049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COVID-19_internat.%20Lage_2021-03-19.pptx"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euromomo.eu/graphs-and-map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Lage-National_2021-03-19.pptx"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1FC2FD-C5BE-4986-9912-AF64A3450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2527</Words>
  <Characters>15921</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K. Stark</cp:lastModifiedBy>
  <cp:revision>19</cp:revision>
  <dcterms:created xsi:type="dcterms:W3CDTF">2021-03-19T07:30:00Z</dcterms:created>
  <dcterms:modified xsi:type="dcterms:W3CDTF">2022-12-28T14:55:00Z</dcterms:modified>
</cp:coreProperties>
</file>