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26.03.2021, 11-12:30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rFonts w:cs="Arial"/>
              <w:sz w:val="20"/>
              <w:szCs w:val="20"/>
            </w:rPr>
            <w:t xml:space="preserve">RKI - </w:t>
          </w:r>
          <w:proofErr w:type="spellStart"/>
          <w:r>
            <w:rPr>
              <w:rFonts w:cs="Arial"/>
              <w:sz w:val="20"/>
              <w:szCs w:val="20"/>
            </w:rPr>
            <w:t>Webex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 Lars Schaade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Abt. 1 Leitung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Abt. 3 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 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Thorsten Wolff </w:t>
      </w:r>
    </w:p>
    <w:p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5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Maria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Ole Wichmann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Anette Siedler</w:t>
      </w:r>
    </w:p>
    <w:p>
      <w:pPr>
        <w:pStyle w:val="Listenabsatz"/>
        <w:spacing w:after="0"/>
        <w:contextualSpacing w:val="0"/>
        <w:rPr>
          <w:sz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Lena Bös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Bettina Ruehe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Ronja Wenchel</w:t>
      </w:r>
    </w:p>
    <w:p>
      <w:pPr>
        <w:pStyle w:val="Listenabsatz"/>
        <w:numPr>
          <w:ilvl w:val="0"/>
          <w:numId w:val="6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INIG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Eugenia Romo Ventura</w:t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numPr>
          <w:ilvl w:val="0"/>
          <w:numId w:val="2"/>
        </w:numPr>
        <w:spacing w:after="0"/>
        <w:rPr>
          <w:sz w:val="22"/>
        </w:rPr>
      </w:pPr>
      <w:r>
        <w:rPr>
          <w:sz w:val="22"/>
        </w:rPr>
        <w:t>ZIG4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>Sangeeta Banerji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BZGA </w:t>
      </w:r>
    </w:p>
    <w:p>
      <w:pPr>
        <w:spacing w:after="0"/>
      </w:pPr>
      <w:r>
        <w:br w:type="page"/>
      </w:r>
    </w:p>
    <w:p>
      <w:pPr>
        <w:sectPr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</w:p>
    <w:p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Aktuelle Lage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 xml:space="preserve">International (Folien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ind w:left="360"/>
            </w:pPr>
            <w:r>
              <w:t>-</w:t>
            </w:r>
            <w:r>
              <w:rPr>
                <w:b/>
              </w:rPr>
              <w:t>Top 10 Länder nach Anzahl der COVID Fälle</w:t>
            </w:r>
            <w:r>
              <w:t xml:space="preserve"> (Brasilien, USA, Indien, Frankreich, Polen, Türkei, Italien, Deutschland, Ukraine, Russische Föderation)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t>In allen Ländern Anstieg der 7-Tage Inzidenz, außer Russische Föderation, wo Abnahme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t>Insgesamt +15,9% Fälle im Vergleich zur Vorwoche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t>Todesfälle unverändert bei 2,2%</w:t>
            </w:r>
          </w:p>
          <w:p>
            <w:pPr>
              <w:ind w:left="445"/>
            </w:pPr>
            <w:r>
              <w:t>-7-Tages Inzidenz weltweit am höchsten in Amerika und Europa, teils &gt;500/100.000 Einwohner</w:t>
            </w:r>
          </w:p>
          <w:p>
            <w:pPr>
              <w:ind w:left="445"/>
            </w:pPr>
            <w:r>
              <w:t>-</w:t>
            </w:r>
            <w:r>
              <w:rPr>
                <w:b/>
              </w:rPr>
              <w:t>Britische Variante B.1.1.7</w:t>
            </w:r>
            <w:r>
              <w:t xml:space="preserve">: Fälle werden aus allen Kontinenten berichtet, deshalb werden zu B.1.1.7 keine Virusvariantengebiete mehr ausgewiesen. </w:t>
            </w:r>
          </w:p>
          <w:p>
            <w:pPr>
              <w:ind w:left="445"/>
            </w:pPr>
            <w:r>
              <w:t>-</w:t>
            </w:r>
            <w:r>
              <w:rPr>
                <w:b/>
              </w:rPr>
              <w:t>Afrikanische Variante B1.351</w:t>
            </w:r>
            <w:r>
              <w:t>: Fälle werden gemeldet aus Afrika, Asien, Nordamerika, Europa; unter Beobachtung: Afrika</w:t>
            </w:r>
          </w:p>
          <w:p>
            <w:pPr>
              <w:ind w:left="445"/>
            </w:pPr>
            <w:r>
              <w:t>-</w:t>
            </w:r>
            <w:r>
              <w:rPr>
                <w:b/>
              </w:rPr>
              <w:t>Brasilianische Variante P1</w:t>
            </w:r>
            <w:r>
              <w:t xml:space="preserve">: Virusvariantengebiete: Brasilien, </w:t>
            </w:r>
            <w:proofErr w:type="spellStart"/>
            <w:r>
              <w:t>Unter</w:t>
            </w:r>
            <w:proofErr w:type="spellEnd"/>
            <w:r>
              <w:t xml:space="preserve"> Beobachtung: ganz Südamerika, Italien</w:t>
            </w:r>
          </w:p>
          <w:p>
            <w:pPr>
              <w:ind w:left="445"/>
            </w:pPr>
            <w:r>
              <w:t>-</w:t>
            </w:r>
            <w:proofErr w:type="spellStart"/>
            <w:r>
              <w:t>Kontinentenüberblick</w:t>
            </w:r>
            <w:proofErr w:type="spellEnd"/>
            <w:r>
              <w:t>: in allen Kontinenten Anstieg der Todesfälle, außer Ozeanien</w:t>
            </w:r>
          </w:p>
          <w:p/>
          <w:p>
            <w:r>
              <w:t>Frage1: Wie ist die Synchronisierung der Virusvarianten über die Kontinente zu erklären?</w:t>
            </w:r>
          </w:p>
          <w:p>
            <w:r>
              <w:t>Antwort A: Aufgrund der erhöhten Übertragbarkeit breiten sich die Varianten rasch dominant aus.</w:t>
            </w:r>
          </w:p>
          <w:p>
            <w:r>
              <w:t>Frage 2: Was ist über neue Indische Variante (Doppelmutante) bekannt, bestätigt?</w:t>
            </w:r>
          </w:p>
          <w:p>
            <w:r>
              <w:t xml:space="preserve">Antwort: Noch keine genauen Informationen vorhanden (Weitergabe der Aussage von Christian </w:t>
            </w:r>
            <w:proofErr w:type="spellStart"/>
            <w:r>
              <w:t>Drosten</w:t>
            </w:r>
            <w:proofErr w:type="spellEnd"/>
            <w:r>
              <w:t xml:space="preserve">) </w:t>
            </w:r>
          </w:p>
          <w:p>
            <w:pPr>
              <w:pStyle w:val="Listenabsatz"/>
              <w:numPr>
                <w:ilvl w:val="0"/>
                <w:numId w:val="27"/>
              </w:numPr>
            </w:pPr>
            <w:r>
              <w:t xml:space="preserve">National (Folien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rPr>
                <w:b/>
              </w:rPr>
              <w:t>Fallzahlen</w:t>
            </w:r>
            <w:r>
              <w:t xml:space="preserve"> 119/100.000/</w:t>
            </w:r>
            <w:r>
              <w:rPr>
                <w:b/>
              </w:rPr>
              <w:t>Todesfälle</w:t>
            </w:r>
            <w:r>
              <w:t>: kein Anstieg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rPr>
                <w:b/>
              </w:rPr>
              <w:t>Impfung</w:t>
            </w:r>
            <w:r>
              <w:t>: ca. 10% bekamen erste Impfung, 4% 2. Impfung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rPr>
                <w:b/>
              </w:rPr>
              <w:t>7-Tage Inzidenz</w:t>
            </w:r>
            <w:r>
              <w:t xml:space="preserve"> stieg überall an, überdurchschnittlich in Thüringen, Sachsen und Sachsen-Anhalt, nur noch 24 Landkreise (LK) &lt;50/100.000, 19 LK&gt;250/100.000 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rPr>
                <w:b/>
              </w:rPr>
              <w:t>Verteilung B1.1.7</w:t>
            </w:r>
            <w:r>
              <w:t>: Überall Anstieg, in einigen LK fast 80% Anteil, vor allem im Süden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rPr>
                <w:b/>
              </w:rPr>
              <w:lastRenderedPageBreak/>
              <w:t>Importierte Fälle:</w:t>
            </w:r>
            <w:r>
              <w:t xml:space="preserve"> Polen, Rumänien und Türkei, jedoch sehr geringer Anteil am Geschehen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rPr>
                <w:b/>
              </w:rPr>
              <w:t>Altersmedian COVID-19</w:t>
            </w:r>
            <w:r>
              <w:t xml:space="preserve"> </w:t>
            </w:r>
            <w:r>
              <w:rPr>
                <w:b/>
              </w:rPr>
              <w:t xml:space="preserve">Fälle </w:t>
            </w:r>
            <w:r>
              <w:t>vor 2. Welle ca. 35 Jahre, Höhepunkt 2. Welle ca. 50 Jahre und aktuell 38 Jahre, Altersmedian der Intensivpatienten leicht rückläufig bei aktuell &lt;70 Jahren, Altersmedian der Sterbefälle unverändert bei &gt;80 Jahren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t>Sterbefälle unter dem Durchschnitt der letzten Jahre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proofErr w:type="spellStart"/>
            <w:r>
              <w:t>Syndromische</w:t>
            </w:r>
            <w:proofErr w:type="spellEnd"/>
            <w:r>
              <w:t xml:space="preserve"> Surveillance (mittwochs)</w:t>
            </w:r>
          </w:p>
          <w:p>
            <w:pPr>
              <w:pStyle w:val="Listenabsatz"/>
              <w:numPr>
                <w:ilvl w:val="1"/>
                <w:numId w:val="27"/>
              </w:numPr>
            </w:pPr>
            <w:r>
              <w:t>Testkapazität und Testungen (mittwochs)</w:t>
            </w:r>
          </w:p>
          <w:p>
            <w:pPr>
              <w:pStyle w:val="Listenabsatz"/>
              <w:ind w:left="1440"/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Eugenia Romo Ventura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Michaela Diercke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r>
              <w:rPr>
                <w:b/>
              </w:rPr>
              <w:t>2</w:t>
            </w:r>
          </w:p>
        </w:tc>
        <w:tc>
          <w:tcPr>
            <w:tcW w:w="6795" w:type="dxa"/>
          </w:tcPr>
          <w:p>
            <w:pPr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w:t xml:space="preserve">Internationales </w:t>
            </w:r>
            <w:r>
              <w:rPr>
                <w:b/>
                <w:color w:val="FF0000"/>
                <w:sz w:val="28"/>
              </w:rPr>
              <w:t>(nur freitags)</w:t>
            </w:r>
          </w:p>
          <w:p>
            <w:pPr>
              <w:pStyle w:val="Listenabsatz"/>
              <w:numPr>
                <w:ilvl w:val="0"/>
                <w:numId w:val="28"/>
              </w:numPr>
            </w:pPr>
            <w:r>
              <w:t>Rückkehr aus Usbekistan</w:t>
            </w:r>
          </w:p>
          <w:p>
            <w:pPr>
              <w:pStyle w:val="Listenabsatz"/>
              <w:numPr>
                <w:ilvl w:val="0"/>
                <w:numId w:val="28"/>
              </w:numPr>
            </w:pPr>
            <w:r>
              <w:t>Mission nach Montenegro in Planung</w:t>
            </w:r>
          </w:p>
          <w:p>
            <w:pPr>
              <w:pStyle w:val="Listenabsatz"/>
              <w:numPr>
                <w:ilvl w:val="0"/>
                <w:numId w:val="28"/>
              </w:numPr>
            </w:pPr>
            <w:r>
              <w:t>Zur Unterstützung von Genomsequenzierung geht vor Ostern ein erster Entwurf ans BMG</w:t>
            </w:r>
          </w:p>
          <w:p>
            <w:pPr>
              <w:pStyle w:val="Listenabsatz"/>
              <w:numPr>
                <w:ilvl w:val="0"/>
                <w:numId w:val="28"/>
              </w:numPr>
            </w:pPr>
            <w:r>
              <w:t>Anfrage Jemen (über WHO): Unterstützung durch Sequenzierung von 100 Proben in 3 Monaten; Anfrage muss geprüft werden; Anmerkung: Es gibt ein Agreement zwischen WHO und RKI zur Sequenzierung, daher Jemen-Anfrage wahrscheinlich möglich – Bitte an ZBS1 wenden</w:t>
            </w:r>
          </w:p>
          <w:p>
            <w:pPr>
              <w:pStyle w:val="Listenabsatz"/>
              <w:numPr>
                <w:ilvl w:val="0"/>
                <w:numId w:val="28"/>
              </w:numPr>
            </w:pPr>
            <w:r>
              <w:t>Proben aus Namibia zur Sequenzierung eingetroffen</w:t>
            </w:r>
          </w:p>
          <w:p>
            <w:pPr>
              <w:pStyle w:val="Listenabsatz"/>
              <w:numPr>
                <w:ilvl w:val="0"/>
                <w:numId w:val="28"/>
              </w:numPr>
            </w:pPr>
            <w:r>
              <w:t xml:space="preserve">Anmerkung: Es gibt eine Veranstaltung am </w:t>
            </w:r>
            <w:r>
              <w:rPr>
                <w:highlight w:val="yellow"/>
              </w:rPr>
              <w:t>4. April</w:t>
            </w:r>
            <w:r>
              <w:t xml:space="preserve"> zum Austausch über Schnelltests zur Schulöffnung mit Schottland. Bei Interesse bitte bei ZIG melden</w:t>
            </w:r>
          </w:p>
          <w:p>
            <w:pPr>
              <w:ind w:left="360"/>
            </w:pPr>
            <w:r>
              <w:t>Frage: Wann können Impftermine für international tätige MA vergeben werden?</w:t>
            </w:r>
          </w:p>
          <w:p>
            <w:pPr>
              <w:ind w:left="360"/>
            </w:pPr>
            <w:r>
              <w:t>Antwort: Montag soll Impfen losgehen (nur für Berechtigte), Anmerkung Herr Schaade: Bitte bis nach Montag zurückstellen, Grund wurde genannt</w:t>
            </w:r>
          </w:p>
        </w:tc>
        <w:tc>
          <w:tcPr>
            <w:tcW w:w="1492" w:type="dxa"/>
          </w:tcPr>
          <w:p>
            <w:r>
              <w:t>ZIG</w:t>
            </w:r>
          </w:p>
        </w:tc>
      </w:tr>
      <w:tr>
        <w:tc>
          <w:tcPr>
            <w:tcW w:w="684" w:type="dxa"/>
          </w:tcPr>
          <w:p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  <w:sz w:val="28"/>
              </w:rPr>
              <w:t>(nur montags)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b/>
              </w:rPr>
            </w:pPr>
          </w:p>
          <w:p>
            <w:pPr>
              <w:rPr>
                <w:b/>
              </w:rPr>
            </w:pPr>
          </w:p>
        </w:tc>
        <w:tc>
          <w:tcPr>
            <w:tcW w:w="1492" w:type="dxa"/>
          </w:tcPr>
          <w:p/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berichtet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pStyle w:val="Listenabsatz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Beiträge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b/>
              </w:rPr>
            </w:pPr>
            <w:r>
              <w:rPr>
                <w:sz w:val="22"/>
                <w:szCs w:val="22"/>
              </w:rPr>
              <w:t>Nicht berichtet</w:t>
            </w:r>
          </w:p>
        </w:tc>
        <w:tc>
          <w:tcPr>
            <w:tcW w:w="1492" w:type="dxa"/>
          </w:tcPr>
          <w:p>
            <w:r>
              <w:t>BMG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Strategie Fragen nicht berichtet</w:t>
            </w:r>
          </w:p>
          <w:p>
            <w:pPr>
              <w:pStyle w:val="Listenabsatz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pStyle w:val="Listenabsatz"/>
              <w:numPr>
                <w:ilvl w:val="0"/>
                <w:numId w:val="29"/>
              </w:numPr>
            </w:pPr>
            <w:r>
              <w:t>Keine Beiträge</w:t>
            </w:r>
          </w:p>
          <w:p>
            <w:pPr>
              <w:pStyle w:val="Listenabsatz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t>Keine Beiträge</w:t>
            </w:r>
          </w:p>
          <w:p>
            <w:pPr>
              <w:rPr>
                <w:b/>
              </w:rPr>
            </w:pPr>
          </w:p>
        </w:tc>
        <w:tc>
          <w:tcPr>
            <w:tcW w:w="1492" w:type="dxa"/>
          </w:tcPr>
          <w:p>
            <w: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Überarbeitung Dokument Kontaktpersonenmanagement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wurde die Überarbeitung der folgenden vier Hauptpunkte diskutiert (Dokument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Kontaktpersonen Kategorie 1 (KP2 streichen bzw. Definition stark einschränken)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Bezeichnung KP, statt KP1/KP2</w:t>
            </w:r>
          </w:p>
          <w:p>
            <w:pPr>
              <w:pStyle w:val="Listenabsatz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Antwort: Nein, da Bezeichnungen nun geläufig 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VOC: Keine gesonderte Regelung für B1.1.7, sondern nur für Impf-Escape Varianten?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Testung/Teststrategie: Vorschlag Teststrategie KP1: frühzeitige Testung (am Tag 1 der Ermittlung), Schnelltest möglich?</w:t>
            </w:r>
          </w:p>
          <w:p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Ausnahmen für Geimpfte?</w:t>
            </w:r>
          </w:p>
          <w:p>
            <w:pPr>
              <w:ind w:firstLine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Antwort: BMG Entscheidung steht aus</w:t>
            </w:r>
          </w:p>
          <w:p>
            <w:pPr>
              <w:pStyle w:val="Listenabsatz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Angebot einer Quarantäne außerhalb des eignen Haushalts?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Papier wird gemäß Diskussion überarbeitet, zirkuliert und freigegeben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Überarbeitung </w:t>
            </w:r>
            <w:proofErr w:type="spellStart"/>
            <w:r>
              <w:rPr>
                <w:b/>
                <w:sz w:val="22"/>
                <w:szCs w:val="22"/>
              </w:rPr>
              <w:t>Entlasskriterien</w:t>
            </w:r>
            <w:proofErr w:type="spellEnd"/>
            <w:r>
              <w:rPr>
                <w:b/>
                <w:sz w:val="22"/>
                <w:szCs w:val="22"/>
              </w:rPr>
              <w:t xml:space="preserve"> für Ärzte </w:t>
            </w:r>
            <w:r>
              <w:rPr>
                <w:sz w:val="22"/>
                <w:szCs w:val="22"/>
              </w:rPr>
              <w:t xml:space="preserve">(Dokument </w:t>
            </w:r>
            <w:hyperlink r:id="rId17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Änderung: 14 Tage Isolierung unabhängig von VOC&amp; Schwere der Krankheit</w:t>
            </w:r>
          </w:p>
          <w:p>
            <w:pPr>
              <w:pStyle w:val="Listenabsatz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Schlusstestung: PCR Nachweis nur in schweren Fällen</w:t>
            </w:r>
          </w:p>
          <w:p>
            <w:pPr>
              <w:pStyle w:val="Listenabsatz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nicht Verfügbarkeit der PCR kann Antigennachweis durchgeführt werde</w:t>
            </w:r>
          </w:p>
          <w:p>
            <w:pPr>
              <w:pStyle w:val="Listenabsatz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Pandemieetiquette</w:t>
            </w:r>
            <w:proofErr w:type="spellEnd"/>
            <w:r>
              <w:rPr>
                <w:sz w:val="22"/>
                <w:szCs w:val="22"/>
              </w:rPr>
              <w:t xml:space="preserve">: Osterregeln (Dokument </w:t>
            </w:r>
            <w:hyperlink r:id="rId1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ind w:left="360"/>
              <w:rPr>
                <w:sz w:val="22"/>
                <w:szCs w:val="22"/>
              </w:rPr>
            </w:pPr>
          </w:p>
          <w:p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Papier Tim Eckmanns wird nächste Woche Mittwoch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Lena Bös und Walter Haas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r>
              <w:t>9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Update Impfen (nur freitags)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t>Nicht berichtet</w:t>
            </w:r>
          </w:p>
          <w:p/>
        </w:tc>
        <w:tc>
          <w:tcPr>
            <w:tcW w:w="1492" w:type="dxa"/>
          </w:tcPr>
          <w:p>
            <w:r>
              <w:t>FG33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rPr>
                <w:b/>
              </w:rPr>
              <w:t xml:space="preserve"> </w:t>
            </w:r>
            <w:r>
              <w:t>Nicht besprochen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pStyle w:val="Listenabsatz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t xml:space="preserve">Nur im Rahmen des Dokuments zum </w:t>
            </w:r>
            <w:proofErr w:type="spellStart"/>
            <w:r>
              <w:t>Entlassmanagement</w:t>
            </w:r>
            <w:proofErr w:type="spellEnd"/>
            <w:r>
              <w:t xml:space="preserve"> besprochen (siehe Abschnitt 8)</w:t>
            </w:r>
          </w:p>
          <w:p>
            <w:pPr>
              <w:pStyle w:val="Listenabsatz"/>
            </w:pPr>
          </w:p>
        </w:tc>
        <w:tc>
          <w:tcPr>
            <w:tcW w:w="1492" w:type="dxa"/>
          </w:tcPr>
          <w:p>
            <w:r>
              <w:t>IBBS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lastRenderedPageBreak/>
              <w:t>Maßnahmen zum Infektionsschutz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t>nicht besprochen</w:t>
            </w:r>
          </w:p>
        </w:tc>
        <w:tc>
          <w:tcPr>
            <w:tcW w:w="1492" w:type="dxa"/>
          </w:tcPr>
          <w:p/>
          <w:p>
            <w:r>
              <w:lastRenderedPageBreak/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Surveillance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t xml:space="preserve">Corona-KiTa-Studie </w:t>
            </w:r>
            <w:r>
              <w:rPr>
                <w:b/>
                <w:color w:val="FF0000"/>
              </w:rPr>
              <w:t>(nur montags)</w:t>
            </w:r>
          </w:p>
        </w:tc>
        <w:tc>
          <w:tcPr>
            <w:tcW w:w="1492" w:type="dxa"/>
          </w:tcPr>
          <w:p>
            <w:r>
              <w:t>FG32</w:t>
            </w:r>
            <w:r>
              <w:br/>
              <w:t>FG36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t>Nicht besprochen</w:t>
            </w:r>
          </w:p>
        </w:tc>
        <w:tc>
          <w:tcPr>
            <w:tcW w:w="1492" w:type="dxa"/>
          </w:tcPr>
          <w:p>
            <w: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24"/>
              </w:numPr>
            </w:pPr>
            <w:r>
              <w:t>Nicht besprochen</w:t>
            </w:r>
          </w:p>
        </w:tc>
        <w:tc>
          <w:tcPr>
            <w:tcW w:w="1492" w:type="dxa"/>
          </w:tcPr>
          <w:p>
            <w: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Wichtige Termine</w:t>
            </w:r>
          </w:p>
          <w:p>
            <w:r>
              <w:t xml:space="preserve">Veranstaltung am </w:t>
            </w:r>
            <w:r>
              <w:rPr>
                <w:shd w:val="clear" w:color="auto" w:fill="FFFF00"/>
              </w:rPr>
              <w:t>4. April</w:t>
            </w:r>
            <w:r>
              <w:t xml:space="preserve"> zum Austausch über Schnelltests zur Schulöffnung mit Schottland. Bei Interesse bitte bei ZIG melden</w:t>
            </w:r>
          </w:p>
        </w:tc>
        <w:tc>
          <w:tcPr>
            <w:tcW w:w="1492" w:type="dxa"/>
          </w:tcPr>
          <w:p>
            <w:r>
              <w:t>Alle</w:t>
            </w:r>
          </w:p>
        </w:tc>
      </w:tr>
    </w:tbl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  <w:sz w:val="16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  <w:sz w:val="16"/>
      </w:rPr>
      <w:tab/>
    </w:r>
    <w:r>
      <w:rPr>
        <w:color w:val="1F497D" w:themeColor="text2"/>
        <w:sz w:val="16"/>
      </w:rPr>
      <w:tab/>
    </w:r>
    <w:r>
      <w:rPr>
        <w:noProof/>
        <w:color w:val="1F497D" w:themeColor="text2"/>
        <w:sz w:val="16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8AF"/>
    <w:multiLevelType w:val="hybridMultilevel"/>
    <w:tmpl w:val="56186EB4"/>
    <w:lvl w:ilvl="0" w:tplc="0407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E766914"/>
    <w:multiLevelType w:val="hybridMultilevel"/>
    <w:tmpl w:val="D4F66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0C93"/>
    <w:multiLevelType w:val="hybridMultilevel"/>
    <w:tmpl w:val="06CAD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812AE"/>
    <w:multiLevelType w:val="hybridMultilevel"/>
    <w:tmpl w:val="FA30A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417F5"/>
    <w:multiLevelType w:val="hybridMultilevel"/>
    <w:tmpl w:val="3034C7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35E7A"/>
    <w:multiLevelType w:val="hybridMultilevel"/>
    <w:tmpl w:val="8446F1D6"/>
    <w:lvl w:ilvl="0" w:tplc="66C86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465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4B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C5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25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DAB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E8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2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B81D02"/>
    <w:multiLevelType w:val="hybridMultilevel"/>
    <w:tmpl w:val="0BF6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56EDB"/>
    <w:multiLevelType w:val="hybridMultilevel"/>
    <w:tmpl w:val="3BBAB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15383"/>
    <w:multiLevelType w:val="hybridMultilevel"/>
    <w:tmpl w:val="274C18A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893374"/>
    <w:multiLevelType w:val="hybridMultilevel"/>
    <w:tmpl w:val="3BA6B364"/>
    <w:lvl w:ilvl="0" w:tplc="51523F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81420"/>
    <w:multiLevelType w:val="hybridMultilevel"/>
    <w:tmpl w:val="1E28660C"/>
    <w:lvl w:ilvl="0" w:tplc="30B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E1197"/>
    <w:multiLevelType w:val="hybridMultilevel"/>
    <w:tmpl w:val="C80E5A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7693C"/>
    <w:multiLevelType w:val="hybridMultilevel"/>
    <w:tmpl w:val="234A4544"/>
    <w:lvl w:ilvl="0" w:tplc="D3028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C196C"/>
    <w:multiLevelType w:val="hybridMultilevel"/>
    <w:tmpl w:val="FB6615B0"/>
    <w:lvl w:ilvl="0" w:tplc="51523FA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514EE"/>
    <w:multiLevelType w:val="hybridMultilevel"/>
    <w:tmpl w:val="5504EDDC"/>
    <w:lvl w:ilvl="0" w:tplc="30B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33ED6"/>
    <w:multiLevelType w:val="hybridMultilevel"/>
    <w:tmpl w:val="DEB6A9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EA5E8B"/>
    <w:multiLevelType w:val="hybridMultilevel"/>
    <w:tmpl w:val="783878C6"/>
    <w:lvl w:ilvl="0" w:tplc="C720A0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21B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A84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012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4DB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6C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4F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FF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277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60D43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8305E"/>
    <w:multiLevelType w:val="hybridMultilevel"/>
    <w:tmpl w:val="9416A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D3A41"/>
    <w:multiLevelType w:val="hybridMultilevel"/>
    <w:tmpl w:val="7632C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456F5"/>
    <w:multiLevelType w:val="hybridMultilevel"/>
    <w:tmpl w:val="41CCC46C"/>
    <w:lvl w:ilvl="0" w:tplc="DA929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F0A78"/>
    <w:multiLevelType w:val="hybridMultilevel"/>
    <w:tmpl w:val="8F366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D59C2"/>
    <w:multiLevelType w:val="hybridMultilevel"/>
    <w:tmpl w:val="BD562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0180D"/>
    <w:multiLevelType w:val="hybridMultilevel"/>
    <w:tmpl w:val="27D6C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E3D10"/>
    <w:multiLevelType w:val="hybridMultilevel"/>
    <w:tmpl w:val="B1325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4577A"/>
    <w:multiLevelType w:val="hybridMultilevel"/>
    <w:tmpl w:val="92F406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C0447"/>
    <w:multiLevelType w:val="hybridMultilevel"/>
    <w:tmpl w:val="2F8C7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A0D9F"/>
    <w:multiLevelType w:val="hybridMultilevel"/>
    <w:tmpl w:val="83168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029DC"/>
    <w:multiLevelType w:val="hybridMultilevel"/>
    <w:tmpl w:val="299E1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5"/>
  </w:num>
  <w:num w:numId="4">
    <w:abstractNumId w:val="2"/>
  </w:num>
  <w:num w:numId="5">
    <w:abstractNumId w:val="24"/>
  </w:num>
  <w:num w:numId="6">
    <w:abstractNumId w:val="8"/>
  </w:num>
  <w:num w:numId="7">
    <w:abstractNumId w:val="26"/>
  </w:num>
  <w:num w:numId="8">
    <w:abstractNumId w:val="22"/>
  </w:num>
  <w:num w:numId="9">
    <w:abstractNumId w:val="32"/>
  </w:num>
  <w:num w:numId="10">
    <w:abstractNumId w:val="11"/>
  </w:num>
  <w:num w:numId="11">
    <w:abstractNumId w:val="1"/>
  </w:num>
  <w:num w:numId="12">
    <w:abstractNumId w:val="6"/>
  </w:num>
  <w:num w:numId="13">
    <w:abstractNumId w:val="28"/>
  </w:num>
  <w:num w:numId="14">
    <w:abstractNumId w:val="18"/>
  </w:num>
  <w:num w:numId="15">
    <w:abstractNumId w:val="5"/>
  </w:num>
  <w:num w:numId="16">
    <w:abstractNumId w:val="9"/>
  </w:num>
  <w:num w:numId="17">
    <w:abstractNumId w:val="0"/>
  </w:num>
  <w:num w:numId="18">
    <w:abstractNumId w:val="14"/>
  </w:num>
  <w:num w:numId="19">
    <w:abstractNumId w:val="10"/>
  </w:num>
  <w:num w:numId="20">
    <w:abstractNumId w:val="31"/>
  </w:num>
  <w:num w:numId="21">
    <w:abstractNumId w:val="15"/>
  </w:num>
  <w:num w:numId="22">
    <w:abstractNumId w:val="7"/>
  </w:num>
  <w:num w:numId="23">
    <w:abstractNumId w:val="13"/>
  </w:num>
  <w:num w:numId="24">
    <w:abstractNumId w:val="19"/>
  </w:num>
  <w:num w:numId="25">
    <w:abstractNumId w:val="21"/>
  </w:num>
  <w:num w:numId="26">
    <w:abstractNumId w:val="23"/>
  </w:num>
  <w:num w:numId="27">
    <w:abstractNumId w:val="33"/>
  </w:num>
  <w:num w:numId="28">
    <w:abstractNumId w:val="30"/>
  </w:num>
  <w:num w:numId="29">
    <w:abstractNumId w:val="20"/>
  </w:num>
  <w:num w:numId="30">
    <w:abstractNumId w:val="27"/>
  </w:num>
  <w:num w:numId="31">
    <w:abstractNumId w:val="12"/>
  </w:num>
  <w:num w:numId="32">
    <w:abstractNumId w:val="29"/>
  </w:num>
  <w:num w:numId="33">
    <w:abstractNumId w:val="4"/>
  </w:num>
  <w:num w:numId="34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165CB502-15C7-4AAD-974D-B6D894FE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9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C:\Users\BanerjiS\AppData\Local\Microsoft\Windows\INetCache\Content.Outlook\F0W0TL6M\P1-2021-03-26-Pandemieetiquette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C:\Users\BanerjiS\AppData\Local\Microsoft\Windows\INetCache\Content.Outlook\F0W0TL6M\Entlassmanagement-Infografik-V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BanerjiS\AppData\Local\Microsoft\Windows\INetCache\Content.Outlook\F0W0TL6M\Kontaktpersonenmanagement_2021_03_26_zur_Diskussion_im_Krisenstab-KS.doc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BanerjiS\AppData\Local\Microsoft\Windows\INetCache\Content.Outlook\F0W0TL6M\Lage-National_2021-03-26.pptx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\\rki.local\daten\Wissdaten\RKI_nCoV-Lage\1.Lagemanagement\1.3.Besprechungen_TKs\1.Lage_AG\2021-03-26_Lage_AG\COVID-19_internat.%20Lage_2021-03-26.ppt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A4B7A-20C5-47B9-AD56-EF59FDC8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908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Grote, Ulrike</cp:lastModifiedBy>
  <cp:revision>3</cp:revision>
  <dcterms:created xsi:type="dcterms:W3CDTF">2021-03-29T22:11:00Z</dcterms:created>
  <dcterms:modified xsi:type="dcterms:W3CDTF">2021-05-10T15:18:00Z</dcterms:modified>
</cp:coreProperties>
</file>