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07.04.2021,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bookmarkStart w:id="0" w:name="_Hlk68616808"/>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0"/>
          <w:szCs w:val="20"/>
        </w:rPr>
      </w:pPr>
      <w:r>
        <w:rPr>
          <w:b/>
          <w:sz w:val="20"/>
          <w:szCs w:val="20"/>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Lothar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9"/>
        </w:numPr>
        <w:spacing w:after="0" w:line="233" w:lineRule="auto"/>
        <w:rPr>
          <w:sz w:val="22"/>
          <w:szCs w:val="22"/>
        </w:rPr>
      </w:pPr>
      <w:r>
        <w:rPr>
          <w:sz w:val="22"/>
          <w:szCs w:val="22"/>
        </w:rPr>
        <w:t>Abt.2</w:t>
      </w:r>
    </w:p>
    <w:p>
      <w:pPr>
        <w:pStyle w:val="Listenabsatz"/>
        <w:numPr>
          <w:ilvl w:val="1"/>
          <w:numId w:val="29"/>
        </w:numPr>
        <w:spacing w:after="0" w:line="233" w:lineRule="auto"/>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30"/>
        </w:numPr>
        <w:spacing w:after="0" w:line="233" w:lineRule="auto"/>
        <w:rPr>
          <w:sz w:val="22"/>
          <w:szCs w:val="22"/>
        </w:rPr>
      </w:pPr>
      <w:r>
        <w:rPr>
          <w:sz w:val="22"/>
          <w:szCs w:val="22"/>
        </w:rPr>
        <w:t>FG 12</w:t>
      </w:r>
    </w:p>
    <w:p>
      <w:pPr>
        <w:pStyle w:val="Listenabsatz"/>
        <w:numPr>
          <w:ilvl w:val="1"/>
          <w:numId w:val="30"/>
        </w:numPr>
        <w:spacing w:after="0" w:line="233" w:lineRule="auto"/>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rStyle w:val="highlight"/>
          <w:sz w:val="22"/>
          <w:szCs w:val="22"/>
        </w:rPr>
      </w:pPr>
      <w:r>
        <w:rPr>
          <w:sz w:val="22"/>
          <w:szCs w:val="22"/>
        </w:rPr>
        <w:t xml:space="preserve">Wolfgang </w:t>
      </w:r>
      <w:r>
        <w:rPr>
          <w:rStyle w:val="highlight"/>
          <w:sz w:val="22"/>
          <w:szCs w:val="22"/>
        </w:rPr>
        <w:t>Scheida</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rPr>
          <w:sz w:val="22"/>
          <w:szCs w:val="22"/>
        </w:rPr>
      </w:pPr>
      <w:r>
        <w:rPr>
          <w:sz w:val="22"/>
          <w:szCs w:val="22"/>
        </w:rPr>
        <w:t>FG34</w:t>
      </w:r>
    </w:p>
    <w:p>
      <w:pPr>
        <w:numPr>
          <w:ilvl w:val="1"/>
          <w:numId w:val="2"/>
        </w:numPr>
        <w:spacing w:after="0"/>
        <w:rPr>
          <w:rFonts w:ascii="Cambria" w:eastAsia="Cambria" w:hAnsi="Cambria" w:cs="Times New Roman"/>
          <w:sz w:val="22"/>
          <w:szCs w:val="22"/>
        </w:rPr>
      </w:pPr>
      <w:r>
        <w:rPr>
          <w:rFonts w:ascii="Cambria" w:eastAsia="Cambria" w:hAnsi="Cambria" w:cs="Times New Roman"/>
          <w:sz w:val="22"/>
          <w:szCs w:val="22"/>
        </w:rPr>
        <w:t>Matthias an der Heiden</w:t>
      </w:r>
    </w:p>
    <w:p>
      <w:pPr>
        <w:pStyle w:val="Listenabsatz"/>
        <w:numPr>
          <w:ilvl w:val="0"/>
          <w:numId w:val="2"/>
        </w:numPr>
        <w:spacing w:after="0"/>
        <w:contextualSpacing w:val="0"/>
        <w:rPr>
          <w:sz w:val="22"/>
          <w:szCs w:val="22"/>
        </w:rPr>
      </w:pPr>
      <w:r>
        <w:rPr>
          <w:sz w:val="22"/>
          <w:szCs w:val="22"/>
        </w:rPr>
        <w:t>FG 33</w:t>
      </w:r>
    </w:p>
    <w:p>
      <w:pPr>
        <w:pStyle w:val="Listenabsatz"/>
        <w:numPr>
          <w:ilvl w:val="1"/>
          <w:numId w:val="2"/>
        </w:numPr>
        <w:spacing w:after="0"/>
        <w:contextualSpacing w:val="0"/>
        <w:rPr>
          <w:sz w:val="22"/>
          <w:szCs w:val="22"/>
        </w:rPr>
      </w:pPr>
      <w:r>
        <w:rPr>
          <w:sz w:val="22"/>
          <w:szCs w:val="22"/>
        </w:rPr>
        <w:t>Thomas Harder</w:t>
      </w:r>
    </w:p>
    <w:p>
      <w:pPr>
        <w:pStyle w:val="Listenabsatz"/>
        <w:numPr>
          <w:ilvl w:val="1"/>
          <w:numId w:val="2"/>
        </w:numPr>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Lena Bös</w:t>
      </w:r>
    </w:p>
    <w:p>
      <w:pPr>
        <w:spacing w:after="0"/>
        <w:rPr>
          <w:sz w:val="22"/>
          <w:szCs w:val="22"/>
        </w:rPr>
      </w:pPr>
    </w:p>
    <w:p>
      <w:pPr>
        <w:spacing w:after="0"/>
        <w:rPr>
          <w:sz w:val="22"/>
          <w:szCs w:val="22"/>
        </w:rPr>
      </w:pPr>
      <w:r>
        <w:rPr>
          <w:sz w:val="22"/>
          <w:szCs w:val="22"/>
        </w:rPr>
        <w:br w:type="column"/>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Petra v. Berenberg (Protokoll)</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Sarah Esquevin</w:t>
      </w:r>
    </w:p>
    <w:p>
      <w:pPr>
        <w:pStyle w:val="Listenabsatz"/>
        <w:numPr>
          <w:ilvl w:val="1"/>
          <w:numId w:val="2"/>
        </w:numPr>
        <w:spacing w:after="0"/>
        <w:contextualSpacing w:val="0"/>
        <w:rPr>
          <w:rStyle w:val="highlight"/>
          <w:sz w:val="22"/>
          <w:szCs w:val="22"/>
        </w:rPr>
      </w:pPr>
      <w:r>
        <w:rPr>
          <w:rStyle w:val="highlight"/>
          <w:sz w:val="22"/>
          <w:szCs w:val="22"/>
        </w:rPr>
        <w:t>Angela Fehr</w:t>
      </w:r>
    </w:p>
    <w:p>
      <w:pPr>
        <w:pStyle w:val="Listenabsatz"/>
        <w:spacing w:after="0"/>
        <w:ind w:left="1440"/>
        <w:rPr>
          <w:rStyle w:val="highlight"/>
          <w:sz w:val="22"/>
          <w:szCs w:val="22"/>
        </w:rPr>
      </w:pPr>
    </w:p>
    <w:p>
      <w:pPr>
        <w:pStyle w:val="Listenabsatz"/>
        <w:numPr>
          <w:ilvl w:val="0"/>
          <w:numId w:val="2"/>
        </w:numPr>
        <w:spacing w:after="0"/>
        <w:rPr>
          <w:sz w:val="22"/>
          <w:szCs w:val="22"/>
        </w:rPr>
      </w:pPr>
      <w:r>
        <w:rPr>
          <w:sz w:val="22"/>
          <w:szCs w:val="22"/>
        </w:rPr>
        <w:t>ZBS 1</w:t>
      </w:r>
    </w:p>
    <w:p>
      <w:pPr>
        <w:pStyle w:val="Listenabsatz"/>
        <w:numPr>
          <w:ilvl w:val="1"/>
          <w:numId w:val="2"/>
        </w:numPr>
        <w:spacing w:after="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Heide Ebrahimzadeh-Wetter</w:t>
      </w:r>
    </w:p>
    <w:p>
      <w:pPr>
        <w:pStyle w:val="Listenabsatz"/>
        <w:numPr>
          <w:ilvl w:val="0"/>
          <w:numId w:val="32"/>
        </w:numPr>
        <w:spacing w:after="0"/>
        <w:rPr>
          <w:sz w:val="22"/>
          <w:szCs w:val="22"/>
        </w:rPr>
      </w:pPr>
      <w:r>
        <w:rPr>
          <w:sz w:val="22"/>
          <w:szCs w:val="22"/>
        </w:rPr>
        <w:t>BMG</w:t>
      </w:r>
    </w:p>
    <w:p>
      <w:pPr>
        <w:pStyle w:val="Listenabsatz"/>
        <w:numPr>
          <w:ilvl w:val="1"/>
          <w:numId w:val="32"/>
        </w:numPr>
        <w:spacing w:after="0"/>
        <w:rPr>
          <w:sz w:val="22"/>
          <w:szCs w:val="22"/>
        </w:rPr>
      </w:pPr>
      <w:r>
        <w:rPr>
          <w:sz w:val="22"/>
          <w:szCs w:val="22"/>
        </w:rPr>
        <w:t>Christophe Bayer</w:t>
      </w:r>
    </w:p>
    <w:p>
      <w:pPr>
        <w:rPr>
          <w:sz w:val="22"/>
          <w:szCs w:val="22"/>
        </w:rPr>
      </w:pPr>
      <w:r>
        <w:rPr>
          <w:sz w:val="22"/>
          <w:szCs w:val="22"/>
        </w:rPr>
        <w:br w:type="page"/>
      </w:r>
    </w:p>
    <w:bookmarkEnd w:id="0"/>
    <w:p>
      <w:pPr>
        <w:pStyle w:val="Listenabsatz"/>
        <w:spacing w:after="0"/>
        <w:ind w:left="1440"/>
        <w:contextualSpacing w:val="0"/>
        <w:rPr>
          <w:sz w:val="22"/>
        </w:rPr>
        <w:sectPr>
          <w:type w:val="continuous"/>
          <w:pgSz w:w="11900" w:h="16840"/>
          <w:pgMar w:top="1440" w:right="1800" w:bottom="1440" w:left="1800" w:header="708" w:footer="708" w:gutter="0"/>
          <w:cols w:num="2" w:space="8"/>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sz w:val="22"/>
                <w:szCs w:val="22"/>
              </w:rPr>
            </w:pPr>
            <w:r>
              <w:rPr>
                <w:b/>
                <w:sz w:val="22"/>
                <w:szCs w:val="22"/>
              </w:rPr>
              <w:t xml:space="preserve">International </w:t>
            </w:r>
            <w:r>
              <w:rPr>
                <w:b/>
                <w:sz w:val="20"/>
                <w:szCs w:val="20"/>
              </w:rPr>
              <w:t>(nur freitags)</w:t>
            </w:r>
            <w:r>
              <w:rPr>
                <w:sz w:val="22"/>
                <w:szCs w:val="22"/>
              </w:rPr>
              <w:t xml:space="preserve"> </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Fallzahlen, Todesfälle, Trend (Folien</w:t>
            </w:r>
            <w:r>
              <w:t xml:space="preserve"> </w:t>
            </w:r>
            <w:hyperlink r:id="rId14" w:history="1">
              <w:r>
                <w:rPr>
                  <w:rStyle w:val="Hyperlink"/>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2.910.445 (+9.677), davon 77.401 (+298) Todesfälle, 7-Tage-Inzidenz 110/100.000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Rückgang von 150/100.000 in der Vorwoche</w:t>
            </w:r>
          </w:p>
          <w:p>
            <w:pPr>
              <w:pStyle w:val="Listenabsatz"/>
              <w:numPr>
                <w:ilvl w:val="2"/>
                <w:numId w:val="5"/>
              </w:numPr>
              <w:ind w:left="1491" w:hanging="357"/>
              <w:rPr>
                <w:sz w:val="22"/>
                <w:szCs w:val="22"/>
              </w:rPr>
            </w:pPr>
            <w:r>
              <w:rPr>
                <w:sz w:val="22"/>
                <w:szCs w:val="22"/>
              </w:rPr>
              <w:t xml:space="preserve">Eingang zahlreicher Nachfragen über Ostern: Inwiefern ist dies auf den „Ostereffekt“ zurückzuführen  </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10.800.637 (13,0%), mit 2 Impfungen 4.633.859 (5,6%)</w:t>
            </w:r>
          </w:p>
          <w:p>
            <w:pPr>
              <w:pStyle w:val="Listenabsatz"/>
              <w:numPr>
                <w:ilvl w:val="1"/>
                <w:numId w:val="8"/>
              </w:numPr>
              <w:ind w:left="907" w:hanging="340"/>
              <w:rPr>
                <w:sz w:val="22"/>
                <w:szCs w:val="22"/>
              </w:rPr>
            </w:pPr>
            <w:r>
              <w:rPr>
                <w:sz w:val="22"/>
                <w:szCs w:val="22"/>
              </w:rPr>
              <w:t>DIVI-Intensivregister: 4.355 Fälle in Behandlung (+211)</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 xml:space="preserve">Rückgang in allen BL im Vergleich zur Vorwoche </w:t>
            </w:r>
          </w:p>
          <w:p>
            <w:pPr>
              <w:pStyle w:val="Listenabsatz"/>
              <w:numPr>
                <w:ilvl w:val="2"/>
                <w:numId w:val="5"/>
              </w:numPr>
              <w:ind w:left="1491" w:hanging="357"/>
              <w:rPr>
                <w:sz w:val="22"/>
                <w:szCs w:val="22"/>
              </w:rPr>
            </w:pPr>
            <w:r>
              <w:rPr>
                <w:sz w:val="22"/>
                <w:szCs w:val="22"/>
              </w:rPr>
              <w:t xml:space="preserve">Nachmeldungen sind zu erwarten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Weiterhin nur 21 LK &lt; 50/100.000</w:t>
            </w:r>
          </w:p>
          <w:p>
            <w:pPr>
              <w:pStyle w:val="Listenabsatz"/>
              <w:numPr>
                <w:ilvl w:val="2"/>
                <w:numId w:val="5"/>
              </w:numPr>
              <w:ind w:left="1491" w:hanging="357"/>
              <w:rPr>
                <w:sz w:val="22"/>
                <w:szCs w:val="22"/>
              </w:rPr>
            </w:pPr>
            <w:r>
              <w:rPr>
                <w:sz w:val="22"/>
                <w:szCs w:val="22"/>
              </w:rPr>
              <w:t xml:space="preserve">Alle weiteren LK &gt; 50/100.000 </w:t>
            </w:r>
          </w:p>
          <w:p>
            <w:pPr>
              <w:pStyle w:val="Listenabsatz"/>
              <w:numPr>
                <w:ilvl w:val="2"/>
                <w:numId w:val="5"/>
              </w:numPr>
              <w:ind w:left="1491" w:hanging="357"/>
              <w:rPr>
                <w:sz w:val="22"/>
                <w:szCs w:val="22"/>
              </w:rPr>
            </w:pPr>
            <w:r>
              <w:rPr>
                <w:sz w:val="22"/>
                <w:szCs w:val="22"/>
              </w:rPr>
              <w:t>LK Hof (456) und Greiz (392) sind weiterhin Spitzenreiter</w:t>
            </w:r>
          </w:p>
          <w:p>
            <w:pPr>
              <w:pStyle w:val="Listenabsatz"/>
              <w:numPr>
                <w:ilvl w:val="1"/>
                <w:numId w:val="5"/>
              </w:numPr>
              <w:ind w:left="924" w:hanging="357"/>
              <w:rPr>
                <w:sz w:val="22"/>
                <w:szCs w:val="22"/>
              </w:rPr>
            </w:pPr>
            <w:r>
              <w:rPr>
                <w:sz w:val="22"/>
                <w:szCs w:val="22"/>
              </w:rPr>
              <w:t>7-Tage-Inzidenz nach Altersgruppen (AG)</w:t>
            </w:r>
          </w:p>
          <w:p>
            <w:pPr>
              <w:pStyle w:val="Listenabsatz"/>
              <w:numPr>
                <w:ilvl w:val="2"/>
                <w:numId w:val="5"/>
              </w:numPr>
              <w:ind w:left="1491" w:hanging="357"/>
              <w:rPr>
                <w:sz w:val="22"/>
                <w:szCs w:val="22"/>
              </w:rPr>
            </w:pPr>
            <w:r>
              <w:rPr>
                <w:sz w:val="22"/>
                <w:szCs w:val="22"/>
              </w:rPr>
              <w:t>Niveau entspricht weitgehend der Vorwoche</w:t>
            </w:r>
          </w:p>
          <w:p>
            <w:pPr>
              <w:pStyle w:val="Listenabsatz"/>
              <w:numPr>
                <w:ilvl w:val="2"/>
                <w:numId w:val="5"/>
              </w:numPr>
              <w:ind w:left="1491" w:hanging="357"/>
              <w:rPr>
                <w:sz w:val="22"/>
                <w:szCs w:val="22"/>
              </w:rPr>
            </w:pPr>
            <w:r>
              <w:rPr>
                <w:sz w:val="22"/>
                <w:szCs w:val="22"/>
              </w:rPr>
              <w:t xml:space="preserve">Von KW 12 zu 13 in allen Altersgruppen gleichbleibend oder geringe Abnahme (am deutlichsten AG 5-14) </w:t>
            </w:r>
          </w:p>
          <w:p>
            <w:pPr>
              <w:pStyle w:val="Listenabsatz"/>
              <w:numPr>
                <w:ilvl w:val="1"/>
                <w:numId w:val="5"/>
              </w:numPr>
              <w:ind w:left="924" w:hanging="357"/>
              <w:rPr>
                <w:sz w:val="22"/>
                <w:szCs w:val="22"/>
              </w:rPr>
            </w:pPr>
            <w:r>
              <w:rPr>
                <w:sz w:val="22"/>
                <w:szCs w:val="22"/>
              </w:rPr>
              <w:t>COVID-19-Todesfälle nach Sterbewoche</w:t>
            </w:r>
          </w:p>
          <w:p>
            <w:pPr>
              <w:pStyle w:val="Listenabsatz"/>
              <w:numPr>
                <w:ilvl w:val="2"/>
                <w:numId w:val="5"/>
              </w:numPr>
              <w:ind w:left="1491" w:hanging="357"/>
              <w:rPr>
                <w:sz w:val="22"/>
                <w:szCs w:val="22"/>
              </w:rPr>
            </w:pPr>
            <w:r>
              <w:rPr>
                <w:sz w:val="22"/>
                <w:szCs w:val="22"/>
              </w:rPr>
              <w:t xml:space="preserve">In den KW 7-9 etwa 1500 Sterbefälle/Woche, jetzt weiterhin leichter Rückgang </w:t>
            </w:r>
          </w:p>
          <w:p>
            <w:pPr>
              <w:pStyle w:val="Listenabsatz"/>
              <w:numPr>
                <w:ilvl w:val="1"/>
                <w:numId w:val="5"/>
              </w:numPr>
              <w:ind w:left="924" w:hanging="357"/>
              <w:rPr>
                <w:sz w:val="22"/>
                <w:szCs w:val="22"/>
              </w:rPr>
            </w:pPr>
            <w:r>
              <w:rPr>
                <w:sz w:val="22"/>
                <w:szCs w:val="22"/>
              </w:rPr>
              <w:t>Anzahl übermittelter COVID-19-Fälle mit Antigennachweis</w:t>
            </w:r>
          </w:p>
          <w:p>
            <w:pPr>
              <w:pStyle w:val="Listenabsatz"/>
              <w:numPr>
                <w:ilvl w:val="2"/>
                <w:numId w:val="5"/>
              </w:numPr>
              <w:ind w:left="1491" w:hanging="357"/>
              <w:rPr>
                <w:sz w:val="22"/>
                <w:szCs w:val="22"/>
              </w:rPr>
            </w:pPr>
            <w:r>
              <w:rPr>
                <w:sz w:val="22"/>
                <w:szCs w:val="22"/>
              </w:rPr>
              <w:t xml:space="preserve">Von KW 12 zu KW 13 leichter Rückgang  </w:t>
            </w:r>
          </w:p>
          <w:p>
            <w:pPr>
              <w:pStyle w:val="Listenabsatz"/>
              <w:numPr>
                <w:ilvl w:val="2"/>
                <w:numId w:val="5"/>
              </w:numPr>
              <w:ind w:left="1491" w:hanging="357"/>
              <w:rPr>
                <w:sz w:val="22"/>
                <w:szCs w:val="22"/>
              </w:rPr>
            </w:pPr>
            <w:r>
              <w:rPr>
                <w:sz w:val="22"/>
                <w:szCs w:val="22"/>
              </w:rPr>
              <w:t xml:space="preserve">Anteile an allen übermittelten Fällen weiterhin bei 6% </w:t>
            </w:r>
          </w:p>
          <w:p>
            <w:pPr>
              <w:pStyle w:val="Listenabsatz"/>
              <w:numPr>
                <w:ilvl w:val="2"/>
                <w:numId w:val="5"/>
              </w:numPr>
              <w:ind w:left="1491" w:hanging="357"/>
              <w:rPr>
                <w:sz w:val="22"/>
                <w:szCs w:val="22"/>
              </w:rPr>
            </w:pPr>
            <w:r>
              <w:rPr>
                <w:sz w:val="22"/>
                <w:szCs w:val="22"/>
              </w:rPr>
              <w:t xml:space="preserve">Die zunehmenden Antigennachweise wirken sich in den Meldedaten (bisher) nicht auf den Anstieg der Fallzahlen aus </w:t>
            </w:r>
          </w:p>
          <w:p>
            <w:pPr>
              <w:pStyle w:val="Listenabsatz"/>
              <w:numPr>
                <w:ilvl w:val="1"/>
                <w:numId w:val="5"/>
              </w:numPr>
              <w:ind w:left="924" w:hanging="357"/>
              <w:rPr>
                <w:sz w:val="22"/>
                <w:szCs w:val="22"/>
              </w:rPr>
            </w:pPr>
            <w:r>
              <w:rPr>
                <w:sz w:val="22"/>
                <w:szCs w:val="22"/>
              </w:rPr>
              <w:t>Berichtete Fälle (Differenz Vortag) und Fälle nach Meldedatum (</w:t>
            </w:r>
            <w:r>
              <w:rPr>
                <w:color w:val="FF0000"/>
                <w:sz w:val="22"/>
                <w:szCs w:val="22"/>
              </w:rPr>
              <w:t>neu</w:t>
            </w:r>
            <w:r>
              <w:rPr>
                <w:sz w:val="22"/>
                <w:szCs w:val="22"/>
              </w:rPr>
              <w:t>)</w:t>
            </w:r>
          </w:p>
          <w:p>
            <w:pPr>
              <w:pStyle w:val="Listenabsatz"/>
              <w:numPr>
                <w:ilvl w:val="2"/>
                <w:numId w:val="5"/>
              </w:numPr>
              <w:ind w:left="1491" w:hanging="357"/>
              <w:rPr>
                <w:sz w:val="22"/>
                <w:szCs w:val="22"/>
              </w:rPr>
            </w:pPr>
            <w:r>
              <w:rPr>
                <w:sz w:val="22"/>
                <w:szCs w:val="22"/>
              </w:rPr>
              <w:t>Über Ostern keine Zunahme der zeitlichen Verschiebung zwischen Fällen nach Meldedatum und Fällen nach Berichtsdatum</w:t>
            </w:r>
          </w:p>
          <w:p>
            <w:pPr>
              <w:pStyle w:val="Listenabsatz"/>
              <w:numPr>
                <w:ilvl w:val="1"/>
                <w:numId w:val="5"/>
              </w:numPr>
              <w:ind w:left="924" w:hanging="357"/>
              <w:rPr>
                <w:sz w:val="22"/>
                <w:szCs w:val="22"/>
              </w:rPr>
            </w:pPr>
            <w:r>
              <w:rPr>
                <w:sz w:val="22"/>
                <w:szCs w:val="22"/>
              </w:rPr>
              <w:t>DEMIS-Meldungen und COVID-19-Fälle nach Meldedatum (</w:t>
            </w:r>
            <w:r>
              <w:rPr>
                <w:color w:val="FF0000"/>
                <w:sz w:val="22"/>
                <w:szCs w:val="22"/>
              </w:rPr>
              <w:t>neu</w:t>
            </w:r>
            <w:r>
              <w:rPr>
                <w:sz w:val="22"/>
                <w:szCs w:val="22"/>
              </w:rPr>
              <w:t>)</w:t>
            </w:r>
          </w:p>
          <w:p>
            <w:pPr>
              <w:pStyle w:val="Listenabsatz"/>
              <w:numPr>
                <w:ilvl w:val="2"/>
                <w:numId w:val="5"/>
              </w:numPr>
              <w:ind w:left="1491" w:hanging="357"/>
              <w:rPr>
                <w:sz w:val="22"/>
                <w:szCs w:val="22"/>
              </w:rPr>
            </w:pPr>
            <w:r>
              <w:rPr>
                <w:sz w:val="22"/>
                <w:szCs w:val="22"/>
              </w:rPr>
              <w:t>Seit 2/2021 laufen die Kurven parallel (seit 01.01.21 ist der DEMIS-Anschluss für Labore verpflichtend, mittlerweile nutzen 400 Labore DEMIS für die Meldung an die GÄ, um Weihnachten nur 200)</w:t>
            </w:r>
          </w:p>
          <w:p>
            <w:pPr>
              <w:pStyle w:val="Listenabsatz"/>
              <w:numPr>
                <w:ilvl w:val="2"/>
                <w:numId w:val="5"/>
              </w:numPr>
              <w:ind w:left="1491" w:hanging="357"/>
              <w:rPr>
                <w:sz w:val="22"/>
                <w:szCs w:val="22"/>
              </w:rPr>
            </w:pPr>
            <w:r>
              <w:rPr>
                <w:sz w:val="22"/>
                <w:szCs w:val="22"/>
              </w:rPr>
              <w:lastRenderedPageBreak/>
              <w:t xml:space="preserve">Es gehen mehr Meldungen ein, als dann an das RKI übermittelte Fälle (es können z.B. mehrere Meldungen zum gleichen Fall erfolgt sein)  </w:t>
            </w:r>
          </w:p>
          <w:p>
            <w:pPr>
              <w:pStyle w:val="Listenabsatz"/>
              <w:numPr>
                <w:ilvl w:val="2"/>
                <w:numId w:val="5"/>
              </w:numPr>
              <w:ind w:left="1491" w:hanging="357"/>
              <w:rPr>
                <w:sz w:val="22"/>
                <w:szCs w:val="22"/>
              </w:rPr>
            </w:pPr>
            <w:r>
              <w:rPr>
                <w:sz w:val="22"/>
                <w:szCs w:val="22"/>
              </w:rPr>
              <w:t>Die Kurven zeigen, dass die GÄ zeitnah übermitteln, auch über Ostern hat jedes GA mindestens 1x geliefert</w:t>
            </w:r>
          </w:p>
          <w:p>
            <w:pPr>
              <w:pStyle w:val="Listenabsatz"/>
              <w:numPr>
                <w:ilvl w:val="2"/>
                <w:numId w:val="5"/>
              </w:numPr>
              <w:ind w:left="1491" w:hanging="357"/>
              <w:rPr>
                <w:sz w:val="22"/>
                <w:szCs w:val="22"/>
              </w:rPr>
            </w:pPr>
            <w:r>
              <w:rPr>
                <w:sz w:val="22"/>
                <w:szCs w:val="22"/>
              </w:rPr>
              <w:t>Rückgang der Fallzahlen liegt am Rückgang der Testhäufigkeit, nicht am Meldeverzug durch die GÄ, inwiefern ein tatsächlicher Rückgang des Infektionsgeschehens zugrunde liegt, ist nicht aus den Zahlen zu entnehmen</w:t>
            </w:r>
          </w:p>
          <w:p>
            <w:pPr>
              <w:pStyle w:val="Listenabsatz"/>
              <w:numPr>
                <w:ilvl w:val="2"/>
                <w:numId w:val="5"/>
              </w:numPr>
              <w:ind w:left="1491" w:hanging="357"/>
              <w:rPr>
                <w:sz w:val="22"/>
                <w:szCs w:val="22"/>
              </w:rPr>
            </w:pPr>
            <w:r>
              <w:rPr>
                <w:sz w:val="22"/>
                <w:szCs w:val="22"/>
              </w:rPr>
              <w:t xml:space="preserve">Frage: Wann ist wieder mit belastbaren Zahlen zu rechnen? </w:t>
            </w:r>
          </w:p>
          <w:p>
            <w:pPr>
              <w:pStyle w:val="Listenabsatz"/>
              <w:numPr>
                <w:ilvl w:val="2"/>
                <w:numId w:val="5"/>
              </w:numPr>
              <w:ind w:left="1491" w:hanging="357"/>
              <w:rPr>
                <w:i/>
                <w:sz w:val="22"/>
                <w:szCs w:val="22"/>
              </w:rPr>
            </w:pPr>
            <w:r>
              <w:rPr>
                <w:sz w:val="22"/>
                <w:szCs w:val="22"/>
              </w:rPr>
              <w:t>Meldedaten wahrscheinlich ab Dienstag, 13.04.2021, da diese (Ferien)</w:t>
            </w:r>
            <w:proofErr w:type="spellStart"/>
            <w:r>
              <w:rPr>
                <w:sz w:val="22"/>
                <w:szCs w:val="22"/>
              </w:rPr>
              <w:t>woche</w:t>
            </w:r>
            <w:proofErr w:type="spellEnd"/>
            <w:r>
              <w:rPr>
                <w:sz w:val="22"/>
                <w:szCs w:val="22"/>
              </w:rPr>
              <w:t xml:space="preserve"> noch wenig getestet wird, Praxen sind geschlossen etc. </w:t>
            </w:r>
          </w:p>
          <w:p>
            <w:pPr>
              <w:pStyle w:val="Listenabsatz"/>
              <w:numPr>
                <w:ilvl w:val="2"/>
                <w:numId w:val="5"/>
              </w:numPr>
              <w:ind w:left="1491" w:hanging="357"/>
              <w:rPr>
                <w:i/>
                <w:sz w:val="22"/>
                <w:szCs w:val="22"/>
              </w:rPr>
            </w:pPr>
            <w:r>
              <w:rPr>
                <w:sz w:val="22"/>
                <w:szCs w:val="22"/>
              </w:rPr>
              <w:t xml:space="preserve">Hinweis: Änderung des IfSG: Antigennachweise im Selbsttest sind nicht meldepflichtig, unter Aufsicht bzw. von Fachpersonal durchgeführte Antigennachweise sind meldepflichtig  </w:t>
            </w:r>
          </w:p>
          <w:p>
            <w:pPr>
              <w:pStyle w:val="Listenabsatz"/>
              <w:numPr>
                <w:ilvl w:val="0"/>
                <w:numId w:val="5"/>
              </w:numPr>
              <w:ind w:left="453" w:hanging="340"/>
              <w:rPr>
                <w:sz w:val="22"/>
                <w:szCs w:val="22"/>
              </w:rPr>
            </w:pPr>
            <w:r>
              <w:rPr>
                <w:b/>
                <w:sz w:val="22"/>
                <w:szCs w:val="22"/>
              </w:rPr>
              <w:t xml:space="preserve">Testkapazität und Testungen </w:t>
            </w:r>
            <w:r>
              <w:rPr>
                <w:b/>
                <w:sz w:val="20"/>
                <w:szCs w:val="20"/>
              </w:rPr>
              <w:t>(nur mittwochs)</w:t>
            </w:r>
            <w:r>
              <w:rPr>
                <w:b/>
                <w:sz w:val="22"/>
                <w:szCs w:val="22"/>
              </w:rPr>
              <w:t xml:space="preserve"> </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hyperlink r:id="rId15" w:history="1">
              <w:r>
                <w:rPr>
                  <w:rStyle w:val="Hyperlink"/>
                </w:rPr>
                <w:t xml:space="preserve"> 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Anzahl der Testungen in KW 13 erwartungsgemäß gesunken: 1,15 </w:t>
            </w:r>
            <w:proofErr w:type="spellStart"/>
            <w:r>
              <w:rPr>
                <w:sz w:val="22"/>
                <w:szCs w:val="22"/>
              </w:rPr>
              <w:t>Mio</w:t>
            </w:r>
            <w:proofErr w:type="spellEnd"/>
            <w:r>
              <w:rPr>
                <w:sz w:val="22"/>
                <w:szCs w:val="22"/>
              </w:rPr>
              <w:t xml:space="preserve"> (Vorwoche 1,4 </w:t>
            </w:r>
            <w:proofErr w:type="spellStart"/>
            <w:r>
              <w:rPr>
                <w:sz w:val="22"/>
                <w:szCs w:val="22"/>
              </w:rPr>
              <w:t>Mio</w:t>
            </w:r>
            <w:proofErr w:type="spellEnd"/>
            <w:r>
              <w:rPr>
                <w:sz w:val="22"/>
                <w:szCs w:val="22"/>
              </w:rPr>
              <w:t xml:space="preserve">) </w:t>
            </w:r>
          </w:p>
          <w:p>
            <w:pPr>
              <w:pStyle w:val="Listenabsatz"/>
              <w:numPr>
                <w:ilvl w:val="2"/>
                <w:numId w:val="5"/>
              </w:numPr>
              <w:ind w:left="1491" w:hanging="357"/>
              <w:rPr>
                <w:sz w:val="22"/>
                <w:szCs w:val="22"/>
              </w:rPr>
            </w:pPr>
            <w:r>
              <w:rPr>
                <w:sz w:val="22"/>
                <w:szCs w:val="22"/>
              </w:rPr>
              <w:t xml:space="preserve">Positivenanteil deutlich gestiegen (11,1%) </w:t>
            </w:r>
          </w:p>
          <w:p>
            <w:pPr>
              <w:pStyle w:val="Listenabsatz"/>
              <w:numPr>
                <w:ilvl w:val="2"/>
                <w:numId w:val="5"/>
              </w:numPr>
              <w:ind w:left="1491" w:hanging="357"/>
              <w:rPr>
                <w:sz w:val="22"/>
                <w:szCs w:val="22"/>
              </w:rPr>
            </w:pPr>
            <w:r>
              <w:rPr>
                <w:sz w:val="22"/>
                <w:szCs w:val="22"/>
              </w:rPr>
              <w:t xml:space="preserve">Weniger Labore haben übermittelt </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Auslastung deutlich gesunken im Vergleich zur Vorwoche</w:t>
            </w:r>
          </w:p>
          <w:p>
            <w:pPr>
              <w:pStyle w:val="Listenabsatz"/>
              <w:numPr>
                <w:ilvl w:val="1"/>
                <w:numId w:val="5"/>
              </w:numPr>
              <w:ind w:left="924" w:hanging="357"/>
              <w:rPr>
                <w:sz w:val="22"/>
                <w:szCs w:val="22"/>
              </w:rPr>
            </w:pPr>
            <w:r>
              <w:rPr>
                <w:sz w:val="22"/>
                <w:szCs w:val="22"/>
              </w:rPr>
              <w:t>Probenrückstau</w:t>
            </w:r>
          </w:p>
          <w:p>
            <w:pPr>
              <w:pStyle w:val="Listenabsatz"/>
              <w:numPr>
                <w:ilvl w:val="2"/>
                <w:numId w:val="5"/>
              </w:numPr>
              <w:ind w:left="1491" w:hanging="357"/>
              <w:rPr>
                <w:sz w:val="22"/>
                <w:szCs w:val="22"/>
              </w:rPr>
            </w:pPr>
            <w:r>
              <w:rPr>
                <w:sz w:val="22"/>
                <w:szCs w:val="22"/>
              </w:rPr>
              <w:t>Kein Rückstau, keine Lieferengpässe</w:t>
            </w:r>
          </w:p>
          <w:p>
            <w:pPr>
              <w:pStyle w:val="Listenabsatz"/>
              <w:numPr>
                <w:ilvl w:val="1"/>
                <w:numId w:val="5"/>
              </w:numPr>
              <w:ind w:left="924" w:hanging="357"/>
              <w:rPr>
                <w:sz w:val="22"/>
                <w:szCs w:val="22"/>
              </w:rPr>
            </w:pPr>
            <w:r>
              <w:rPr>
                <w:sz w:val="22"/>
                <w:szCs w:val="22"/>
              </w:rPr>
              <w:t>Testzahlerfassung-VOC</w:t>
            </w:r>
          </w:p>
          <w:p>
            <w:pPr>
              <w:pStyle w:val="Listenabsatz"/>
              <w:numPr>
                <w:ilvl w:val="2"/>
                <w:numId w:val="5"/>
              </w:numPr>
              <w:ind w:left="1491" w:hanging="357"/>
              <w:rPr>
                <w:sz w:val="22"/>
                <w:szCs w:val="22"/>
              </w:rPr>
            </w:pPr>
            <w:r>
              <w:rPr>
                <w:sz w:val="22"/>
                <w:szCs w:val="22"/>
              </w:rPr>
              <w:t xml:space="preserve">Durch Feiertage verzögerte Datenlieferung erst am 07.04 abends  </w:t>
            </w:r>
          </w:p>
          <w:p>
            <w:pPr>
              <w:pStyle w:val="Listenabsatz"/>
              <w:numPr>
                <w:ilvl w:val="1"/>
                <w:numId w:val="5"/>
              </w:numPr>
              <w:ind w:left="924" w:hanging="357"/>
              <w:rPr>
                <w:sz w:val="22"/>
                <w:szCs w:val="22"/>
              </w:rPr>
            </w:pPr>
            <w:r>
              <w:rPr>
                <w:sz w:val="22"/>
                <w:szCs w:val="22"/>
              </w:rPr>
              <w:t>POCT in Einrichtungen</w:t>
            </w:r>
          </w:p>
          <w:p>
            <w:pPr>
              <w:pStyle w:val="Listenabsatz"/>
              <w:numPr>
                <w:ilvl w:val="2"/>
                <w:numId w:val="5"/>
              </w:numPr>
              <w:ind w:left="1491" w:hanging="357"/>
              <w:rPr>
                <w:sz w:val="22"/>
                <w:szCs w:val="22"/>
              </w:rPr>
            </w:pPr>
            <w:r>
              <w:rPr>
                <w:sz w:val="22"/>
                <w:szCs w:val="22"/>
              </w:rPr>
              <w:t xml:space="preserve">Auch hier weniger Testungen </w:t>
            </w:r>
          </w:p>
          <w:p>
            <w:pPr>
              <w:pStyle w:val="Listenabsatz"/>
              <w:numPr>
                <w:ilvl w:val="2"/>
                <w:numId w:val="5"/>
              </w:numPr>
              <w:ind w:left="1491" w:hanging="357"/>
              <w:rPr>
                <w:sz w:val="22"/>
                <w:szCs w:val="22"/>
              </w:rPr>
            </w:pPr>
            <w:r>
              <w:rPr>
                <w:sz w:val="22"/>
                <w:szCs w:val="22"/>
              </w:rPr>
              <w:t>Anscheinend wurden durch stat. Pflegeeinrichtungen weniger Tests entweder durchgeführt oder übermittelt</w:t>
            </w:r>
          </w:p>
          <w:p>
            <w:pPr>
              <w:pStyle w:val="Listenabsatz"/>
              <w:numPr>
                <w:ilvl w:val="2"/>
                <w:numId w:val="5"/>
              </w:numPr>
              <w:ind w:left="1491" w:hanging="357"/>
              <w:rPr>
                <w:sz w:val="22"/>
                <w:szCs w:val="22"/>
              </w:rPr>
            </w:pPr>
            <w:r>
              <w:rPr>
                <w:sz w:val="22"/>
                <w:szCs w:val="22"/>
              </w:rPr>
              <w:t xml:space="preserve">Auch Testzentren sind jetzt registriert, möglicher Shift von Meldungen vermehrt aus Testzentren und weniger aus Pflegeeinrichtungen </w:t>
            </w:r>
          </w:p>
          <w:p>
            <w:pPr>
              <w:pStyle w:val="Listenabsatz"/>
              <w:numPr>
                <w:ilvl w:val="2"/>
                <w:numId w:val="5"/>
              </w:numPr>
              <w:ind w:left="1491" w:hanging="357"/>
              <w:rPr>
                <w:sz w:val="22"/>
                <w:szCs w:val="22"/>
              </w:rPr>
            </w:pPr>
            <w:r>
              <w:rPr>
                <w:sz w:val="22"/>
                <w:szCs w:val="22"/>
              </w:rPr>
              <w:t>Insgesamt 428.063 POCT aus 354 Einrichtungen, 0,2% positiv, 84% (gleichbleibend) PCR-überprüft und 52,6% pos. bestätigt</w:t>
            </w:r>
          </w:p>
          <w:p>
            <w:pPr>
              <w:pStyle w:val="Listenabsatz"/>
              <w:numPr>
                <w:ilvl w:val="1"/>
                <w:numId w:val="5"/>
              </w:numPr>
              <w:ind w:left="924" w:hanging="357"/>
              <w:rPr>
                <w:b/>
                <w:sz w:val="22"/>
                <w:szCs w:val="22"/>
              </w:rPr>
            </w:pPr>
            <w:r>
              <w:rPr>
                <w:b/>
                <w:sz w:val="22"/>
                <w:szCs w:val="22"/>
              </w:rPr>
              <w:t>SARS-CoV-2 in ARS</w:t>
            </w:r>
          </w:p>
          <w:p>
            <w:pPr>
              <w:pStyle w:val="Listenabsatz"/>
              <w:numPr>
                <w:ilvl w:val="2"/>
                <w:numId w:val="5"/>
              </w:numPr>
              <w:ind w:left="1491" w:hanging="357"/>
              <w:rPr>
                <w:sz w:val="22"/>
                <w:szCs w:val="22"/>
              </w:rPr>
            </w:pPr>
            <w:r>
              <w:rPr>
                <w:sz w:val="22"/>
                <w:szCs w:val="22"/>
              </w:rPr>
              <w:t xml:space="preserve">Anstieg des Positivenanteils entspricht den Vorwochen, keine Zunahme des Anstiegs </w:t>
            </w:r>
          </w:p>
          <w:p>
            <w:pPr>
              <w:pStyle w:val="Listenabsatz"/>
              <w:numPr>
                <w:ilvl w:val="2"/>
                <w:numId w:val="5"/>
              </w:numPr>
              <w:ind w:left="1491" w:hanging="357"/>
              <w:rPr>
                <w:sz w:val="22"/>
                <w:szCs w:val="22"/>
              </w:rPr>
            </w:pPr>
            <w:r>
              <w:rPr>
                <w:sz w:val="22"/>
                <w:szCs w:val="22"/>
              </w:rPr>
              <w:t>Steile Abnahme der Anzahl der Tests /100.000 EW in jeder AG, besonders stark in AG 5-14</w:t>
            </w:r>
          </w:p>
          <w:p>
            <w:pPr>
              <w:pStyle w:val="Listenabsatz"/>
              <w:numPr>
                <w:ilvl w:val="2"/>
                <w:numId w:val="5"/>
              </w:numPr>
              <w:ind w:left="1491" w:hanging="357"/>
              <w:rPr>
                <w:sz w:val="22"/>
                <w:szCs w:val="22"/>
              </w:rPr>
            </w:pPr>
            <w:r>
              <w:rPr>
                <w:sz w:val="22"/>
                <w:szCs w:val="22"/>
              </w:rPr>
              <w:t>Zunahme des Positivenanteil in allen AG, wie in den Vorwochen ein unverändert kontinuierlicher Anstieg</w:t>
            </w:r>
          </w:p>
          <w:p>
            <w:pPr>
              <w:pStyle w:val="Listenabsatz"/>
              <w:numPr>
                <w:ilvl w:val="2"/>
                <w:numId w:val="5"/>
              </w:numPr>
              <w:ind w:left="1491" w:hanging="357"/>
              <w:rPr>
                <w:sz w:val="22"/>
                <w:szCs w:val="22"/>
              </w:rPr>
            </w:pPr>
            <w:r>
              <w:rPr>
                <w:sz w:val="22"/>
                <w:szCs w:val="22"/>
              </w:rPr>
              <w:t>Positivenanteil/100.000EW: leichter Rückgang</w:t>
            </w:r>
          </w:p>
          <w:p>
            <w:pPr>
              <w:pStyle w:val="Listenabsatz"/>
              <w:numPr>
                <w:ilvl w:val="2"/>
                <w:numId w:val="5"/>
              </w:numPr>
              <w:ind w:left="1491" w:hanging="357"/>
              <w:rPr>
                <w:sz w:val="22"/>
                <w:szCs w:val="22"/>
              </w:rPr>
            </w:pPr>
            <w:r>
              <w:rPr>
                <w:sz w:val="22"/>
                <w:szCs w:val="22"/>
              </w:rPr>
              <w:lastRenderedPageBreak/>
              <w:t xml:space="preserve">Interpretation ist schwierig </w:t>
            </w:r>
          </w:p>
          <w:p>
            <w:pPr>
              <w:pStyle w:val="Listenabsatz"/>
              <w:numPr>
                <w:ilvl w:val="2"/>
                <w:numId w:val="5"/>
              </w:numPr>
              <w:ind w:left="1491" w:hanging="357"/>
              <w:rPr>
                <w:sz w:val="22"/>
                <w:szCs w:val="22"/>
              </w:rPr>
            </w:pPr>
            <w:proofErr w:type="spellStart"/>
            <w:r>
              <w:rPr>
                <w:sz w:val="22"/>
                <w:szCs w:val="22"/>
              </w:rPr>
              <w:t>Testort</w:t>
            </w:r>
            <w:proofErr w:type="spellEnd"/>
            <w:r>
              <w:rPr>
                <w:sz w:val="22"/>
                <w:szCs w:val="22"/>
              </w:rPr>
              <w:t>: Größter Rückgang in Arztpraxen mit Sprung des Positivenanteils auf über 10%, in Krankenhäusern leichter Anstieg des Positivenanteils</w:t>
            </w:r>
          </w:p>
          <w:p>
            <w:pPr>
              <w:pStyle w:val="Listenabsatz"/>
              <w:numPr>
                <w:ilvl w:val="2"/>
                <w:numId w:val="5"/>
              </w:numPr>
              <w:ind w:left="1491" w:hanging="357"/>
              <w:rPr>
                <w:sz w:val="22"/>
                <w:szCs w:val="22"/>
              </w:rPr>
            </w:pPr>
            <w:r>
              <w:rPr>
                <w:sz w:val="22"/>
                <w:szCs w:val="22"/>
              </w:rPr>
              <w:t>Zuverlässige Zahlen sind für nächste Woche zu erwarten</w:t>
            </w:r>
          </w:p>
          <w:p>
            <w:pPr>
              <w:pStyle w:val="Listenabsatz"/>
              <w:numPr>
                <w:ilvl w:val="1"/>
                <w:numId w:val="5"/>
              </w:numPr>
              <w:ind w:left="924" w:hanging="357"/>
              <w:rPr>
                <w:b/>
                <w:sz w:val="22"/>
                <w:szCs w:val="22"/>
              </w:rPr>
            </w:pPr>
            <w:r>
              <w:rPr>
                <w:b/>
                <w:sz w:val="22"/>
                <w:szCs w:val="22"/>
              </w:rPr>
              <w:t xml:space="preserve">B.1.1.7 aus 12 Laboren (delH69/V70) </w:t>
            </w:r>
          </w:p>
          <w:p>
            <w:pPr>
              <w:pStyle w:val="Listenabsatz"/>
              <w:numPr>
                <w:ilvl w:val="2"/>
                <w:numId w:val="5"/>
              </w:numPr>
              <w:ind w:left="1491" w:hanging="357"/>
              <w:rPr>
                <w:sz w:val="22"/>
                <w:szCs w:val="22"/>
              </w:rPr>
            </w:pPr>
            <w:r>
              <w:rPr>
                <w:sz w:val="22"/>
                <w:szCs w:val="22"/>
              </w:rPr>
              <w:t>Insgesamt Zunahme von VOC</w:t>
            </w:r>
          </w:p>
          <w:p>
            <w:pPr>
              <w:pStyle w:val="Listenabsatz"/>
              <w:numPr>
                <w:ilvl w:val="2"/>
                <w:numId w:val="5"/>
              </w:numPr>
              <w:ind w:left="1491" w:hanging="357"/>
              <w:rPr>
                <w:sz w:val="22"/>
                <w:szCs w:val="22"/>
              </w:rPr>
            </w:pPr>
            <w:r>
              <w:rPr>
                <w:sz w:val="22"/>
                <w:szCs w:val="22"/>
              </w:rPr>
              <w:t xml:space="preserve">Anteil VOC an allen auf Deletionen getesteten Proben ist gestiegen (87%, Anteil von VOC an allen Proben ist gesunken. </w:t>
            </w:r>
          </w:p>
          <w:p>
            <w:pPr>
              <w:pStyle w:val="Listenabsatz"/>
              <w:numPr>
                <w:ilvl w:val="2"/>
                <w:numId w:val="5"/>
              </w:numPr>
              <w:ind w:left="1491" w:hanging="357"/>
              <w:rPr>
                <w:sz w:val="22"/>
                <w:szCs w:val="22"/>
              </w:rPr>
            </w:pPr>
            <w:r>
              <w:rPr>
                <w:sz w:val="22"/>
                <w:szCs w:val="22"/>
              </w:rPr>
              <w:t xml:space="preserve">Unterschiede zwischen den BL, BY und BW fast 100% VOC, in NW niedrigerer Anteil  </w:t>
            </w:r>
          </w:p>
          <w:p>
            <w:pPr>
              <w:pStyle w:val="Listenabsatz"/>
              <w:numPr>
                <w:ilvl w:val="1"/>
                <w:numId w:val="5"/>
              </w:numPr>
              <w:ind w:left="924" w:hanging="357"/>
              <w:rPr>
                <w:sz w:val="22"/>
                <w:szCs w:val="22"/>
              </w:rPr>
            </w:pPr>
            <w:r>
              <w:rPr>
                <w:sz w:val="22"/>
                <w:szCs w:val="22"/>
              </w:rPr>
              <w:t xml:space="preserve">Ausbrüche in Altenheimen und Krankenhäusern </w:t>
            </w:r>
          </w:p>
          <w:p>
            <w:pPr>
              <w:pStyle w:val="Listenabsatz"/>
              <w:numPr>
                <w:ilvl w:val="2"/>
                <w:numId w:val="5"/>
              </w:numPr>
              <w:ind w:left="1491" w:hanging="357"/>
              <w:rPr>
                <w:sz w:val="22"/>
                <w:szCs w:val="22"/>
              </w:rPr>
            </w:pPr>
            <w:r>
              <w:rPr>
                <w:sz w:val="22"/>
                <w:szCs w:val="22"/>
              </w:rPr>
              <w:t xml:space="preserve">Altenheime: insgesamt sehr niedrige Zahlen, geringer Anstieg </w:t>
            </w:r>
          </w:p>
          <w:p>
            <w:pPr>
              <w:pStyle w:val="Listenabsatz"/>
              <w:numPr>
                <w:ilvl w:val="2"/>
                <w:numId w:val="5"/>
              </w:numPr>
              <w:ind w:left="1491" w:hanging="357"/>
              <w:rPr>
                <w:sz w:val="22"/>
                <w:szCs w:val="22"/>
              </w:rPr>
            </w:pPr>
            <w:r>
              <w:rPr>
                <w:sz w:val="22"/>
                <w:szCs w:val="22"/>
              </w:rPr>
              <w:t xml:space="preserve">Krankenhäuser: wesentliche Abnahme i. Vgl. zur Vorwoche </w:t>
            </w:r>
          </w:p>
          <w:p>
            <w:pPr>
              <w:pStyle w:val="Listenabsatz"/>
              <w:numPr>
                <w:ilvl w:val="0"/>
                <w:numId w:val="5"/>
              </w:numPr>
              <w:ind w:left="453" w:hanging="340"/>
              <w:rPr>
                <w:sz w:val="22"/>
                <w:szCs w:val="22"/>
              </w:rPr>
            </w:pPr>
            <w:r>
              <w:rPr>
                <w:b/>
                <w:sz w:val="22"/>
                <w:szCs w:val="22"/>
              </w:rPr>
              <w:t>Diskussion</w:t>
            </w:r>
          </w:p>
          <w:p>
            <w:pPr>
              <w:pStyle w:val="Listenabsatz"/>
              <w:numPr>
                <w:ilvl w:val="1"/>
                <w:numId w:val="5"/>
              </w:numPr>
              <w:ind w:left="924" w:hanging="357"/>
              <w:rPr>
                <w:sz w:val="22"/>
                <w:szCs w:val="22"/>
              </w:rPr>
            </w:pPr>
            <w:r>
              <w:rPr>
                <w:sz w:val="22"/>
                <w:szCs w:val="22"/>
              </w:rPr>
              <w:t>Zahl der Testzentren nimmt rapide zu, sollten sie adressiert und Interesse an ihren Angaben signalisiert werden?</w:t>
            </w:r>
          </w:p>
          <w:p>
            <w:pPr>
              <w:pStyle w:val="Listenabsatz"/>
              <w:numPr>
                <w:ilvl w:val="1"/>
                <w:numId w:val="5"/>
              </w:numPr>
              <w:ind w:left="924" w:hanging="357"/>
              <w:rPr>
                <w:sz w:val="22"/>
                <w:szCs w:val="22"/>
              </w:rPr>
            </w:pPr>
            <w:r>
              <w:rPr>
                <w:sz w:val="22"/>
                <w:szCs w:val="22"/>
              </w:rPr>
              <w:t>Testzentren wurden über die zentrale Webseite auf der sie sie sich präsentieren, kontaktiert, Kontaktaufnahme ist aufwendig und schwierig, kann durch ein kleines Team nicht geleistet werden</w:t>
            </w:r>
          </w:p>
          <w:p>
            <w:pPr>
              <w:pStyle w:val="Listenabsatz"/>
              <w:numPr>
                <w:ilvl w:val="1"/>
                <w:numId w:val="5"/>
              </w:numPr>
              <w:ind w:left="924" w:hanging="357"/>
              <w:rPr>
                <w:sz w:val="22"/>
                <w:szCs w:val="22"/>
              </w:rPr>
            </w:pPr>
            <w:r>
              <w:rPr>
                <w:sz w:val="22"/>
                <w:szCs w:val="22"/>
              </w:rPr>
              <w:t>Spricht eine gleichmäßige Zunahme des Positivenanteils trotz geringerer Testzahlen eventuell für einen geringeren Anstieg der Infektionszahlen?</w:t>
            </w:r>
          </w:p>
          <w:p>
            <w:pPr>
              <w:pStyle w:val="Listenabsatz"/>
              <w:numPr>
                <w:ilvl w:val="1"/>
                <w:numId w:val="5"/>
              </w:numPr>
              <w:ind w:left="924" w:hanging="357"/>
              <w:rPr>
                <w:sz w:val="22"/>
                <w:szCs w:val="22"/>
              </w:rPr>
            </w:pPr>
            <w:r>
              <w:rPr>
                <w:sz w:val="22"/>
                <w:szCs w:val="22"/>
              </w:rPr>
              <w:t xml:space="preserve">Durch die Impfung finden weniger Arztbesuche durch schwere Fälle statt, auch dies könnte beitragen </w:t>
            </w:r>
          </w:p>
          <w:p>
            <w:pPr>
              <w:pStyle w:val="Listenabsatz"/>
              <w:numPr>
                <w:ilvl w:val="1"/>
                <w:numId w:val="5"/>
              </w:numPr>
              <w:ind w:left="924" w:hanging="357"/>
              <w:rPr>
                <w:sz w:val="22"/>
                <w:szCs w:val="22"/>
              </w:rPr>
            </w:pPr>
            <w:r>
              <w:rPr>
                <w:sz w:val="22"/>
                <w:szCs w:val="22"/>
              </w:rPr>
              <w:t xml:space="preserve">Nach welcher Zielgröße bzw. Maßzahl sollten sich Lockerungsempfehlungen richten? Soll eine bestimmte Positivenrate angestrebt werden? </w:t>
            </w:r>
          </w:p>
          <w:p>
            <w:pPr>
              <w:pStyle w:val="Listenabsatz"/>
              <w:numPr>
                <w:ilvl w:val="1"/>
                <w:numId w:val="5"/>
              </w:numPr>
              <w:ind w:left="924" w:hanging="357"/>
              <w:rPr>
                <w:sz w:val="22"/>
                <w:szCs w:val="22"/>
              </w:rPr>
            </w:pPr>
            <w:r>
              <w:rPr>
                <w:sz w:val="22"/>
                <w:szCs w:val="22"/>
              </w:rPr>
              <w:t xml:space="preserve">Ein Positivenanteil von 10% ist jedenfalls zu hoch, der Anteil bei den 5-59Jährigen von 11,25% ist sehr hoch (auch nach WHO Maßgabe), Schwerpunkt des Infektionsgeschehens liegt im familiären und beruflichen Umfeld </w:t>
            </w:r>
          </w:p>
          <w:p>
            <w:pPr>
              <w:pStyle w:val="Listenabsatz"/>
              <w:numPr>
                <w:ilvl w:val="1"/>
                <w:numId w:val="5"/>
              </w:numPr>
              <w:ind w:left="924" w:hanging="357"/>
              <w:rPr>
                <w:sz w:val="22"/>
                <w:szCs w:val="22"/>
              </w:rPr>
            </w:pPr>
            <w:r>
              <w:rPr>
                <w:sz w:val="22"/>
                <w:szCs w:val="22"/>
              </w:rPr>
              <w:t xml:space="preserve">Positivenanteil ist ein der Öffentlichkeit schwer </w:t>
            </w:r>
            <w:proofErr w:type="gramStart"/>
            <w:r>
              <w:rPr>
                <w:sz w:val="22"/>
                <w:szCs w:val="22"/>
              </w:rPr>
              <w:t>zu vermittelnder Wert</w:t>
            </w:r>
            <w:proofErr w:type="gramEnd"/>
          </w:p>
          <w:p>
            <w:pPr>
              <w:pStyle w:val="Listenabsatz"/>
              <w:numPr>
                <w:ilvl w:val="1"/>
                <w:numId w:val="5"/>
              </w:numPr>
              <w:ind w:left="924" w:hanging="357"/>
              <w:rPr>
                <w:sz w:val="22"/>
                <w:szCs w:val="22"/>
              </w:rPr>
            </w:pPr>
            <w:r>
              <w:rPr>
                <w:sz w:val="22"/>
                <w:szCs w:val="22"/>
              </w:rPr>
              <w:t xml:space="preserve">Bisheriger Indikator ist die Zahl der Patienten in ICU, alle anderen Maßzahlen können von Artefakten beeinflusst sein, der Anstieg der Patientenzahlen auf ICU ist beunruhigend </w:t>
            </w:r>
          </w:p>
          <w:p>
            <w:pPr>
              <w:pStyle w:val="Listenabsatz"/>
              <w:numPr>
                <w:ilvl w:val="1"/>
                <w:numId w:val="5"/>
              </w:numPr>
              <w:ind w:left="924" w:hanging="357"/>
              <w:rPr>
                <w:sz w:val="22"/>
                <w:szCs w:val="22"/>
              </w:rPr>
            </w:pPr>
            <w:r>
              <w:rPr>
                <w:sz w:val="22"/>
                <w:szCs w:val="22"/>
              </w:rPr>
              <w:t>Da viele Labore und Praxen diese Woche noch geschlossen sind, liegen wahrscheinlich erst übernächste Woche wirklich interpretierbare und belastbare Zahlen vor</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sz w:val="20"/>
                <w:szCs w:val="20"/>
              </w:rPr>
              <w:t>(nur mittwochs)</w:t>
            </w:r>
            <w:r>
              <w:rPr>
                <w:b/>
                <w:sz w:val="22"/>
                <w:szCs w:val="22"/>
              </w:rPr>
              <w:t xml:space="preserve"> </w:t>
            </w:r>
            <w:r>
              <w:rPr>
                <w:sz w:val="22"/>
                <w:szCs w:val="22"/>
              </w:rPr>
              <w:t xml:space="preserve">(Folien </w:t>
            </w:r>
            <w:hyperlink r:id="rId16" w:history="1">
              <w:r>
                <w:rPr>
                  <w:rStyle w:val="Hyperlink"/>
                  <w:sz w:val="22"/>
                  <w:szCs w:val="22"/>
                  <w:highlight w:val="yellow"/>
                </w:rPr>
                <w:t>??</w:t>
              </w:r>
            </w:hyperlink>
            <w:r>
              <w:rPr>
                <w:sz w:val="22"/>
                <w:szCs w:val="22"/>
                <w:highlight w:val="yellow"/>
              </w:rPr>
              <w:t>)</w:t>
            </w:r>
            <w:r>
              <w:rPr>
                <w:sz w:val="22"/>
                <w:szCs w:val="22"/>
              </w:rPr>
              <w:t xml:space="preserve"> </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Insgesamt liegt die ARE Inzidenz unter der der Vorjahre</w:t>
            </w:r>
          </w:p>
          <w:p>
            <w:pPr>
              <w:pStyle w:val="Listenabsatz"/>
              <w:numPr>
                <w:ilvl w:val="2"/>
                <w:numId w:val="5"/>
              </w:numPr>
              <w:ind w:left="1491" w:hanging="357"/>
              <w:rPr>
                <w:sz w:val="22"/>
                <w:szCs w:val="22"/>
              </w:rPr>
            </w:pPr>
            <w:r>
              <w:rPr>
                <w:sz w:val="22"/>
                <w:szCs w:val="22"/>
              </w:rPr>
              <w:t>Kontaktbeschränkungsmaßnahmen werden eingehalten</w:t>
            </w:r>
          </w:p>
          <w:p>
            <w:pPr>
              <w:pStyle w:val="Listenabsatz"/>
              <w:numPr>
                <w:ilvl w:val="2"/>
                <w:numId w:val="5"/>
              </w:numPr>
              <w:ind w:left="1491" w:hanging="357"/>
              <w:rPr>
                <w:sz w:val="22"/>
                <w:szCs w:val="22"/>
              </w:rPr>
            </w:pPr>
            <w:r>
              <w:rPr>
                <w:sz w:val="22"/>
                <w:szCs w:val="22"/>
              </w:rPr>
              <w:lastRenderedPageBreak/>
              <w:t>Leichter Anstieg in den AG 0-5 und 6-10</w:t>
            </w:r>
          </w:p>
          <w:p>
            <w:pPr>
              <w:pStyle w:val="Listenabsatz"/>
              <w:numPr>
                <w:ilvl w:val="2"/>
                <w:numId w:val="5"/>
              </w:numPr>
              <w:ind w:left="1491" w:hanging="357"/>
              <w:rPr>
                <w:sz w:val="22"/>
                <w:szCs w:val="22"/>
              </w:rPr>
            </w:pPr>
            <w:r>
              <w:rPr>
                <w:sz w:val="22"/>
                <w:szCs w:val="22"/>
              </w:rPr>
              <w:t>Steile Abnahme in den Meldedaten, über die Feiertage wurde weniger erhoben und weniger übermittelt</w:t>
            </w:r>
          </w:p>
          <w:p>
            <w:pPr>
              <w:pStyle w:val="Listenabsatz"/>
              <w:numPr>
                <w:ilvl w:val="2"/>
                <w:numId w:val="5"/>
              </w:numPr>
              <w:ind w:left="1491" w:hanging="357"/>
              <w:rPr>
                <w:sz w:val="22"/>
                <w:szCs w:val="22"/>
              </w:rPr>
            </w:pPr>
            <w:r>
              <w:rPr>
                <w:sz w:val="22"/>
                <w:szCs w:val="22"/>
              </w:rPr>
              <w:t>Anstieg der Ausbrüche in Schulen seit Öffnung Anfang März bis zum Ferienbeginn, jedoch weiterhin unter Vorweihnachtsniveau</w:t>
            </w:r>
          </w:p>
          <w:p>
            <w:pPr>
              <w:pStyle w:val="Listenabsatz"/>
              <w:numPr>
                <w:ilvl w:val="2"/>
                <w:numId w:val="5"/>
              </w:numPr>
              <w:ind w:left="1491" w:hanging="357"/>
              <w:rPr>
                <w:sz w:val="22"/>
                <w:szCs w:val="22"/>
              </w:rPr>
            </w:pPr>
            <w:r>
              <w:rPr>
                <w:sz w:val="22"/>
                <w:szCs w:val="22"/>
              </w:rPr>
              <w:t xml:space="preserve">In KW 10/11 exponentieller Anstieg der Ausbrüche in Kindergärten, 3-4x so viel wie vor Weihnachten </w:t>
            </w:r>
          </w:p>
          <w:p>
            <w:pPr>
              <w:pStyle w:val="Listenabsatz"/>
              <w:numPr>
                <w:ilvl w:val="2"/>
                <w:numId w:val="5"/>
              </w:numPr>
              <w:ind w:left="1491" w:hanging="357"/>
              <w:rPr>
                <w:sz w:val="22"/>
                <w:szCs w:val="22"/>
              </w:rPr>
            </w:pPr>
            <w:r>
              <w:rPr>
                <w:sz w:val="22"/>
                <w:szCs w:val="22"/>
              </w:rPr>
              <w:t xml:space="preserve">Inzidenz nach Altersgruppen weitgehend unverändert </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 xml:space="preserve">Abnahme durch Osterferien </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 xml:space="preserve">Deutlicher Anstieg der SARI-Fallzahlen in der AG 35-59 </w:t>
            </w:r>
          </w:p>
          <w:p>
            <w:pPr>
              <w:pStyle w:val="Listenabsatz"/>
              <w:numPr>
                <w:ilvl w:val="2"/>
                <w:numId w:val="5"/>
              </w:numPr>
              <w:ind w:left="1491" w:hanging="357"/>
              <w:rPr>
                <w:sz w:val="22"/>
                <w:szCs w:val="22"/>
              </w:rPr>
            </w:pPr>
            <w:r>
              <w:rPr>
                <w:sz w:val="22"/>
                <w:szCs w:val="22"/>
              </w:rPr>
              <w:t>Konstant hohes Niveau in den älteren AG</w:t>
            </w:r>
          </w:p>
          <w:p>
            <w:pPr>
              <w:pStyle w:val="Listenabsatz"/>
              <w:numPr>
                <w:ilvl w:val="2"/>
                <w:numId w:val="5"/>
              </w:numPr>
              <w:ind w:left="1491" w:hanging="357"/>
              <w:rPr>
                <w:sz w:val="22"/>
                <w:szCs w:val="22"/>
              </w:rPr>
            </w:pPr>
            <w:r>
              <w:rPr>
                <w:sz w:val="22"/>
                <w:szCs w:val="22"/>
              </w:rPr>
              <w:t xml:space="preserve">ICOSARI-Zahlen bilden das COVID-Geschehen ab </w:t>
            </w:r>
          </w:p>
          <w:p>
            <w:pPr>
              <w:pStyle w:val="Listenabsatz"/>
              <w:numPr>
                <w:ilvl w:val="1"/>
                <w:numId w:val="5"/>
              </w:numPr>
              <w:ind w:left="924" w:hanging="357"/>
              <w:rPr>
                <w:sz w:val="22"/>
                <w:szCs w:val="22"/>
                <w:lang w:val="en-US"/>
              </w:rPr>
            </w:pPr>
            <w:r>
              <w:rPr>
                <w:sz w:val="22"/>
                <w:szCs w:val="22"/>
                <w:lang w:val="en-US"/>
              </w:rPr>
              <w:t>ICOSARI-KH-Surveillance – COVID-SARI-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Sowohl bei Fällen mit max. Verweildauer von 7 Tagen als auch bei allen Fällen deutlicher (</w:t>
            </w:r>
            <w:proofErr w:type="spellStart"/>
            <w:r>
              <w:rPr>
                <w:sz w:val="22"/>
                <w:szCs w:val="22"/>
              </w:rPr>
              <w:t>Covid</w:t>
            </w:r>
            <w:proofErr w:type="spellEnd"/>
            <w:r>
              <w:rPr>
                <w:sz w:val="22"/>
                <w:szCs w:val="22"/>
              </w:rPr>
              <w:t>-bestimmter) Anstieg in den AG 35-59 und 60-79</w:t>
            </w:r>
          </w:p>
          <w:p>
            <w:pPr>
              <w:pStyle w:val="Listenabsatz"/>
              <w:numPr>
                <w:ilvl w:val="2"/>
                <w:numId w:val="5"/>
              </w:numPr>
              <w:ind w:left="1491" w:hanging="357"/>
              <w:rPr>
                <w:sz w:val="22"/>
                <w:szCs w:val="22"/>
              </w:rPr>
            </w:pPr>
            <w:r>
              <w:rPr>
                <w:sz w:val="22"/>
                <w:szCs w:val="22"/>
              </w:rPr>
              <w:t>Kein Anstieg in den AG &gt; 80 (Wirkung der Impfung)</w:t>
            </w:r>
          </w:p>
          <w:p>
            <w:pPr>
              <w:pStyle w:val="Listenabsatz"/>
              <w:numPr>
                <w:ilvl w:val="1"/>
                <w:numId w:val="5"/>
              </w:numPr>
              <w:ind w:left="924" w:hanging="357"/>
              <w:rPr>
                <w:sz w:val="22"/>
                <w:szCs w:val="22"/>
              </w:rPr>
            </w:pPr>
            <w:r>
              <w:rPr>
                <w:sz w:val="22"/>
                <w:szCs w:val="22"/>
              </w:rPr>
              <w:t>ICOSARI: SARI-Fälle mit/ohne COVID-19 und Intensivbehandlung</w:t>
            </w:r>
          </w:p>
          <w:p>
            <w:pPr>
              <w:pStyle w:val="Listenabsatz"/>
              <w:numPr>
                <w:ilvl w:val="2"/>
                <w:numId w:val="5"/>
              </w:numPr>
              <w:ind w:left="1491" w:hanging="357"/>
              <w:rPr>
                <w:sz w:val="22"/>
                <w:szCs w:val="22"/>
              </w:rPr>
            </w:pPr>
            <w:r>
              <w:rPr>
                <w:sz w:val="22"/>
                <w:szCs w:val="22"/>
              </w:rPr>
              <w:t>Deutlicher Anstieg in der AG 60-79</w:t>
            </w:r>
          </w:p>
          <w:p>
            <w:pPr>
              <w:pStyle w:val="Listenabsatz"/>
              <w:numPr>
                <w:ilvl w:val="2"/>
                <w:numId w:val="5"/>
              </w:numPr>
              <w:ind w:left="1491" w:hanging="357"/>
              <w:rPr>
                <w:sz w:val="22"/>
                <w:szCs w:val="22"/>
              </w:rPr>
            </w:pPr>
            <w:r>
              <w:rPr>
                <w:sz w:val="22"/>
                <w:szCs w:val="22"/>
              </w:rPr>
              <w:t xml:space="preserve">Gleichbleibendes Niveau in den AG 35-59 und AG &gt;80 </w:t>
            </w:r>
          </w:p>
          <w:p>
            <w:pPr>
              <w:pStyle w:val="Listenabsatz"/>
              <w:numPr>
                <w:ilvl w:val="2"/>
                <w:numId w:val="5"/>
              </w:numPr>
              <w:ind w:left="1491" w:hanging="357"/>
              <w:rPr>
                <w:sz w:val="22"/>
                <w:szCs w:val="22"/>
              </w:rPr>
            </w:pPr>
            <w:r>
              <w:rPr>
                <w:sz w:val="22"/>
                <w:szCs w:val="22"/>
              </w:rPr>
              <w:t xml:space="preserve">Medianes Alter ist gesunken (60-70) </w:t>
            </w:r>
          </w:p>
          <w:p>
            <w:pPr>
              <w:pStyle w:val="Listenabsatz"/>
              <w:numPr>
                <w:ilvl w:val="2"/>
                <w:numId w:val="5"/>
              </w:numPr>
              <w:ind w:left="1491" w:hanging="357"/>
              <w:rPr>
                <w:sz w:val="22"/>
                <w:szCs w:val="22"/>
              </w:rPr>
            </w:pPr>
            <w:r>
              <w:rPr>
                <w:sz w:val="22"/>
                <w:szCs w:val="22"/>
              </w:rPr>
              <w:t xml:space="preserve">Insgesamt wenig Veränderung i. Vgl. zur Vorwoche  </w:t>
            </w:r>
          </w:p>
          <w:p>
            <w:pPr>
              <w:pStyle w:val="Listenabsatz"/>
              <w:numPr>
                <w:ilvl w:val="0"/>
                <w:numId w:val="5"/>
              </w:numPr>
              <w:ind w:left="453" w:hanging="340"/>
              <w:rPr>
                <w:sz w:val="22"/>
                <w:szCs w:val="22"/>
              </w:rPr>
            </w:pPr>
            <w:r>
              <w:rPr>
                <w:b/>
                <w:sz w:val="22"/>
                <w:szCs w:val="22"/>
              </w:rPr>
              <w:t xml:space="preserve">Virologische Surveillance – NRZ Influenzaviren </w:t>
            </w:r>
            <w:r>
              <w:rPr>
                <w:b/>
                <w:sz w:val="20"/>
                <w:szCs w:val="20"/>
              </w:rPr>
              <w:t>(nur mittwochs)</w:t>
            </w:r>
            <w:r>
              <w:rPr>
                <w:sz w:val="22"/>
                <w:szCs w:val="22"/>
              </w:rPr>
              <w:t xml:space="preserve"> (Folien </w:t>
            </w:r>
            <w:hyperlink r:id="rId17" w:history="1">
              <w:r>
                <w:rPr>
                  <w:rStyle w:val="Hyperlink"/>
                </w:rPr>
                <w:t>hier</w:t>
              </w:r>
            </w:hyperlink>
            <w:r>
              <w:t>)</w:t>
            </w:r>
          </w:p>
          <w:p>
            <w:pPr>
              <w:pStyle w:val="Listenabsatz"/>
              <w:numPr>
                <w:ilvl w:val="1"/>
                <w:numId w:val="5"/>
              </w:numPr>
              <w:ind w:left="924" w:hanging="357"/>
              <w:rPr>
                <w:sz w:val="22"/>
                <w:szCs w:val="22"/>
              </w:rPr>
            </w:pPr>
            <w:r>
              <w:rPr>
                <w:sz w:val="22"/>
                <w:szCs w:val="22"/>
              </w:rPr>
              <w:t xml:space="preserve">Eingang von 123 Proben in KW 13 </w:t>
            </w:r>
          </w:p>
          <w:p>
            <w:pPr>
              <w:pStyle w:val="Listenabsatz"/>
              <w:numPr>
                <w:ilvl w:val="1"/>
                <w:numId w:val="5"/>
              </w:numPr>
              <w:ind w:left="924" w:hanging="357"/>
              <w:rPr>
                <w:sz w:val="22"/>
                <w:szCs w:val="22"/>
              </w:rPr>
            </w:pPr>
            <w:r>
              <w:rPr>
                <w:sz w:val="22"/>
                <w:szCs w:val="22"/>
              </w:rPr>
              <w:t xml:space="preserve">Anzahl wegen der Feiertage halbiert </w:t>
            </w:r>
          </w:p>
          <w:p>
            <w:pPr>
              <w:pStyle w:val="Listenabsatz"/>
              <w:numPr>
                <w:ilvl w:val="1"/>
                <w:numId w:val="5"/>
              </w:numPr>
              <w:ind w:left="924" w:hanging="357"/>
              <w:rPr>
                <w:sz w:val="22"/>
                <w:szCs w:val="22"/>
              </w:rPr>
            </w:pPr>
            <w:proofErr w:type="spellStart"/>
            <w:r>
              <w:rPr>
                <w:sz w:val="22"/>
                <w:szCs w:val="22"/>
              </w:rPr>
              <w:t>Rhinoviren</w:t>
            </w:r>
            <w:proofErr w:type="spellEnd"/>
            <w:r>
              <w:rPr>
                <w:sz w:val="22"/>
                <w:szCs w:val="22"/>
              </w:rPr>
              <w:t xml:space="preserve"> auf dem Niveau wie vor dem Lockdown, nach den Lockerungen sofortiger Anstieg zunächst bei den Jüngsten, dann in den anderen AG </w:t>
            </w:r>
          </w:p>
          <w:p>
            <w:pPr>
              <w:pStyle w:val="Listenabsatz"/>
              <w:numPr>
                <w:ilvl w:val="1"/>
                <w:numId w:val="5"/>
              </w:numPr>
              <w:ind w:left="924" w:hanging="357"/>
              <w:rPr>
                <w:sz w:val="22"/>
                <w:szCs w:val="22"/>
              </w:rPr>
            </w:pPr>
            <w:r>
              <w:rPr>
                <w:sz w:val="22"/>
                <w:szCs w:val="22"/>
              </w:rPr>
              <w:t>Nachweise von SARS-CoV-2 knapp über 5% (Vorwoche 3-4%)</w:t>
            </w:r>
          </w:p>
          <w:p>
            <w:pPr>
              <w:pStyle w:val="Listenabsatz"/>
              <w:numPr>
                <w:ilvl w:val="1"/>
                <w:numId w:val="5"/>
              </w:numPr>
              <w:ind w:left="924" w:hanging="357"/>
              <w:rPr>
                <w:sz w:val="22"/>
                <w:szCs w:val="22"/>
              </w:rPr>
            </w:pPr>
            <w:r>
              <w:rPr>
                <w:sz w:val="22"/>
                <w:szCs w:val="22"/>
              </w:rPr>
              <w:t>Insgesamt Verschiebung der Probenanteile hin zu pädiatrischen Proben</w:t>
            </w:r>
          </w:p>
          <w:p>
            <w:pPr>
              <w:pStyle w:val="Listenabsatz"/>
              <w:numPr>
                <w:ilvl w:val="1"/>
                <w:numId w:val="5"/>
              </w:numPr>
              <w:ind w:left="924" w:hanging="357"/>
              <w:rPr>
                <w:sz w:val="22"/>
                <w:szCs w:val="22"/>
              </w:rPr>
            </w:pPr>
            <w:r>
              <w:rPr>
                <w:sz w:val="22"/>
                <w:szCs w:val="22"/>
              </w:rPr>
              <w:t>Im Hintergrund wenig Nachweise von Parainfluenzaviren</w:t>
            </w:r>
          </w:p>
          <w:p>
            <w:pPr>
              <w:pStyle w:val="Listenabsatz"/>
              <w:numPr>
                <w:ilvl w:val="1"/>
                <w:numId w:val="5"/>
              </w:numPr>
              <w:ind w:left="924" w:hanging="357"/>
              <w:rPr>
                <w:sz w:val="22"/>
                <w:szCs w:val="22"/>
              </w:rPr>
            </w:pPr>
            <w:r>
              <w:rPr>
                <w:sz w:val="22"/>
                <w:szCs w:val="22"/>
              </w:rPr>
              <w:t>Keine Influenza Nachweise</w:t>
            </w:r>
          </w:p>
          <w:p>
            <w:pPr>
              <w:pStyle w:val="Listenabsatz"/>
              <w:numPr>
                <w:ilvl w:val="1"/>
                <w:numId w:val="5"/>
              </w:numPr>
              <w:ind w:left="924" w:hanging="357"/>
              <w:rPr>
                <w:sz w:val="22"/>
                <w:szCs w:val="22"/>
              </w:rPr>
            </w:pPr>
            <w:r>
              <w:rPr>
                <w:sz w:val="22"/>
                <w:szCs w:val="22"/>
              </w:rPr>
              <w:t>Günstige Bedingungen für saisonale Viren: Starker Anstieg von NL63 und Anstieg von OC43</w:t>
            </w:r>
          </w:p>
          <w:p>
            <w:pPr>
              <w:pStyle w:val="Listenabsatz"/>
              <w:numPr>
                <w:ilvl w:val="1"/>
                <w:numId w:val="5"/>
              </w:numPr>
              <w:ind w:left="924" w:hanging="357"/>
              <w:rPr>
                <w:sz w:val="22"/>
                <w:szCs w:val="22"/>
              </w:rPr>
            </w:pPr>
            <w:r>
              <w:rPr>
                <w:sz w:val="22"/>
                <w:szCs w:val="22"/>
              </w:rPr>
              <w:t xml:space="preserve">VOC Anteil bei SARS-CoV-2 positiven Proben: 100%  </w:t>
            </w:r>
          </w:p>
          <w:p>
            <w:pPr>
              <w:rPr>
                <w:sz w:val="22"/>
                <w:szCs w:val="22"/>
              </w:rPr>
            </w:pPr>
          </w:p>
          <w:p>
            <w:pPr>
              <w:pStyle w:val="Listenabsatz"/>
              <w:numPr>
                <w:ilvl w:val="0"/>
                <w:numId w:val="5"/>
              </w:numPr>
              <w:ind w:left="453" w:hanging="340"/>
              <w:rPr>
                <w:sz w:val="22"/>
                <w:szCs w:val="22"/>
              </w:rPr>
            </w:pPr>
            <w:r>
              <w:rPr>
                <w:b/>
                <w:sz w:val="22"/>
                <w:szCs w:val="22"/>
              </w:rPr>
              <w:t xml:space="preserve">Diskussion </w:t>
            </w:r>
          </w:p>
          <w:p>
            <w:pPr>
              <w:pStyle w:val="Listenabsatz"/>
              <w:numPr>
                <w:ilvl w:val="1"/>
                <w:numId w:val="5"/>
              </w:numPr>
              <w:ind w:left="924" w:hanging="357"/>
              <w:rPr>
                <w:sz w:val="22"/>
                <w:szCs w:val="22"/>
              </w:rPr>
            </w:pPr>
            <w:r>
              <w:rPr>
                <w:sz w:val="22"/>
                <w:szCs w:val="22"/>
              </w:rPr>
              <w:t>Stationäre Fälle SARI mit COVID: Steiler Anstieg ist stärkeres Signal als Inzidenzen</w:t>
            </w:r>
          </w:p>
          <w:p>
            <w:pPr>
              <w:pStyle w:val="Listenabsatz"/>
              <w:numPr>
                <w:ilvl w:val="1"/>
                <w:numId w:val="5"/>
              </w:numPr>
              <w:ind w:left="924" w:hanging="357"/>
              <w:rPr>
                <w:sz w:val="22"/>
                <w:szCs w:val="22"/>
              </w:rPr>
            </w:pPr>
            <w:r>
              <w:rPr>
                <w:sz w:val="22"/>
                <w:szCs w:val="22"/>
              </w:rPr>
              <w:t xml:space="preserve">Wie belastbar sind die Zahlen der </w:t>
            </w:r>
            <w:proofErr w:type="spellStart"/>
            <w:r>
              <w:rPr>
                <w:sz w:val="22"/>
                <w:szCs w:val="22"/>
              </w:rPr>
              <w:t>syndromischen</w:t>
            </w:r>
            <w:proofErr w:type="spellEnd"/>
            <w:r>
              <w:rPr>
                <w:sz w:val="22"/>
                <w:szCs w:val="22"/>
              </w:rPr>
              <w:t xml:space="preserve"> Surveillance? </w:t>
            </w:r>
          </w:p>
          <w:p>
            <w:pPr>
              <w:pStyle w:val="Listenabsatz"/>
              <w:numPr>
                <w:ilvl w:val="1"/>
                <w:numId w:val="5"/>
              </w:numPr>
              <w:ind w:left="924" w:hanging="357"/>
              <w:rPr>
                <w:sz w:val="22"/>
                <w:szCs w:val="22"/>
              </w:rPr>
            </w:pPr>
            <w:r>
              <w:rPr>
                <w:sz w:val="22"/>
                <w:szCs w:val="22"/>
              </w:rPr>
              <w:t xml:space="preserve">Kleine aber seit Jahren konstante Stichprobe (i. Vgl. zu DIVI-Intensiv-Register), solide Datenbasis für Vergleiche, expansionsfähig, sollte expandieren, viele </w:t>
            </w:r>
            <w:r>
              <w:rPr>
                <w:sz w:val="22"/>
                <w:szCs w:val="22"/>
              </w:rPr>
              <w:lastRenderedPageBreak/>
              <w:t>Zusatzinformationen (Altersmedian, Beatmungsdauer, Liegezeit)</w:t>
            </w:r>
          </w:p>
          <w:p>
            <w:pPr>
              <w:pStyle w:val="Listenabsatz"/>
              <w:numPr>
                <w:ilvl w:val="1"/>
                <w:numId w:val="5"/>
              </w:numPr>
              <w:ind w:left="924" w:hanging="357"/>
              <w:rPr>
                <w:sz w:val="22"/>
                <w:szCs w:val="22"/>
              </w:rPr>
            </w:pPr>
            <w:r>
              <w:rPr>
                <w:sz w:val="22"/>
                <w:szCs w:val="22"/>
              </w:rPr>
              <w:t xml:space="preserve">Alleinstellungsmerkmal: Information sowohl zu Diagnosen liegender Patienten als auch </w:t>
            </w:r>
            <w:proofErr w:type="spellStart"/>
            <w:r>
              <w:rPr>
                <w:sz w:val="22"/>
                <w:szCs w:val="22"/>
              </w:rPr>
              <w:t>Entlassdiagnosen</w:t>
            </w:r>
            <w:proofErr w:type="spellEnd"/>
            <w:r>
              <w:rPr>
                <w:sz w:val="22"/>
                <w:szCs w:val="22"/>
              </w:rPr>
              <w:t xml:space="preserve">  </w:t>
            </w:r>
          </w:p>
          <w:p>
            <w:pPr>
              <w:pStyle w:val="Listenabsatz"/>
              <w:numPr>
                <w:ilvl w:val="1"/>
                <w:numId w:val="5"/>
              </w:numPr>
              <w:ind w:left="924" w:hanging="357"/>
              <w:rPr>
                <w:sz w:val="22"/>
                <w:szCs w:val="22"/>
              </w:rPr>
            </w:pPr>
            <w:r>
              <w:rPr>
                <w:sz w:val="22"/>
                <w:szCs w:val="22"/>
              </w:rPr>
              <w:t xml:space="preserve">DIVI: sehr breite Abdeckung, ICOSARI tiefergehende Informationen </w:t>
            </w:r>
          </w:p>
          <w:p>
            <w:pPr>
              <w:pStyle w:val="Listenabsatz"/>
              <w:numPr>
                <w:ilvl w:val="1"/>
                <w:numId w:val="5"/>
              </w:numPr>
              <w:ind w:left="924" w:hanging="357"/>
              <w:rPr>
                <w:sz w:val="22"/>
                <w:szCs w:val="22"/>
              </w:rPr>
            </w:pPr>
            <w:r>
              <w:rPr>
                <w:sz w:val="22"/>
                <w:szCs w:val="22"/>
              </w:rPr>
              <w:t>Hinweis: Anstieg bei Hospitalisierung bildet das Infektionsgeschehen von vor 2 Wochen ab</w:t>
            </w:r>
          </w:p>
          <w:p>
            <w:pPr>
              <w:pStyle w:val="Listenabsatz"/>
              <w:numPr>
                <w:ilvl w:val="1"/>
                <w:numId w:val="5"/>
              </w:numPr>
              <w:ind w:left="924" w:hanging="357"/>
              <w:rPr>
                <w:sz w:val="22"/>
                <w:szCs w:val="22"/>
              </w:rPr>
            </w:pPr>
            <w:r>
              <w:rPr>
                <w:sz w:val="22"/>
                <w:szCs w:val="22"/>
              </w:rPr>
              <w:t>Obwohl im Steckbrief kürzere Fristen bis zu Symptomatik und stationärer Aufnahme angegeben sind, muss die Zeit bis zur Übermittlung eingerechnet werden</w:t>
            </w:r>
          </w:p>
          <w:p>
            <w:pPr>
              <w:pStyle w:val="Listenabsatz"/>
              <w:numPr>
                <w:ilvl w:val="1"/>
                <w:numId w:val="5"/>
              </w:numPr>
              <w:ind w:left="924" w:hanging="357"/>
              <w:rPr>
                <w:sz w:val="22"/>
                <w:szCs w:val="22"/>
              </w:rPr>
            </w:pPr>
            <w:r>
              <w:rPr>
                <w:sz w:val="22"/>
                <w:szCs w:val="22"/>
              </w:rPr>
              <w:t>Anregung DIVI- und ICOSARI-Daten abzugleichen, wird von M. Fischer und W. Haas begrüßt, erste Kontakte wurden ohnehin bereits geknüpft</w:t>
            </w:r>
          </w:p>
          <w:p>
            <w:pPr>
              <w:rPr>
                <w:sz w:val="22"/>
                <w:szCs w:val="22"/>
              </w:rPr>
            </w:pPr>
          </w:p>
          <w:p>
            <w:pPr>
              <w:rPr>
                <w:i/>
                <w:sz w:val="22"/>
                <w:szCs w:val="22"/>
              </w:rPr>
            </w:pPr>
            <w:proofErr w:type="spellStart"/>
            <w:r>
              <w:rPr>
                <w:i/>
                <w:sz w:val="22"/>
                <w:szCs w:val="22"/>
              </w:rPr>
              <w:t>ToDo</w:t>
            </w:r>
            <w:proofErr w:type="spellEnd"/>
            <w:r>
              <w:rPr>
                <w:i/>
                <w:sz w:val="22"/>
                <w:szCs w:val="22"/>
              </w:rPr>
              <w:t>: Abgleich von ICOSARI-Daten und DIVI-Daten, sollen als Grundlage für die BPK am Freitag 09.04. zusammengestellt werden</w:t>
            </w:r>
          </w:p>
          <w:p>
            <w:pPr>
              <w:rPr>
                <w:i/>
                <w:sz w:val="22"/>
                <w:szCs w:val="22"/>
              </w:rPr>
            </w:pPr>
            <w:r>
              <w:rPr>
                <w:i/>
                <w:sz w:val="22"/>
                <w:szCs w:val="22"/>
              </w:rPr>
              <w:t xml:space="preserve"> </w:t>
            </w:r>
          </w:p>
          <w:p>
            <w:pPr>
              <w:pStyle w:val="Listenabsatz"/>
              <w:numPr>
                <w:ilvl w:val="1"/>
                <w:numId w:val="5"/>
              </w:numPr>
              <w:ind w:left="924" w:hanging="357"/>
              <w:rPr>
                <w:b/>
                <w:sz w:val="22"/>
                <w:szCs w:val="22"/>
              </w:rPr>
            </w:pPr>
            <w:r>
              <w:rPr>
                <w:b/>
                <w:sz w:val="22"/>
                <w:szCs w:val="22"/>
              </w:rPr>
              <w:t>Disclaimer im Lagebericht</w:t>
            </w:r>
          </w:p>
          <w:p>
            <w:pPr>
              <w:pStyle w:val="Listenabsatz"/>
              <w:numPr>
                <w:ilvl w:val="1"/>
                <w:numId w:val="5"/>
              </w:numPr>
              <w:ind w:left="924" w:hanging="357"/>
              <w:rPr>
                <w:sz w:val="22"/>
                <w:szCs w:val="22"/>
              </w:rPr>
            </w:pPr>
            <w:r>
              <w:rPr>
                <w:sz w:val="22"/>
                <w:szCs w:val="22"/>
              </w:rPr>
              <w:t>Vorschlag: Erläuterung im Lagebericht, wann die Zahlen zur Testhäufigkeit wieder auf einem normalen Niveau liegen, da</w:t>
            </w:r>
          </w:p>
          <w:p>
            <w:pPr>
              <w:pStyle w:val="Listenabsatz"/>
              <w:ind w:left="924"/>
              <w:rPr>
                <w:sz w:val="22"/>
                <w:szCs w:val="22"/>
              </w:rPr>
            </w:pPr>
            <w:r>
              <w:rPr>
                <w:sz w:val="22"/>
                <w:szCs w:val="22"/>
              </w:rPr>
              <w:t>sich Meldedaten schon kommende Woche normalisieren, zuverlässige 7-Tage-Inzidenz ev. erst übernächste Woche vorliegen</w:t>
            </w:r>
          </w:p>
          <w:p>
            <w:pPr>
              <w:pStyle w:val="Listenabsatz"/>
              <w:ind w:left="924"/>
              <w:rPr>
                <w:sz w:val="22"/>
                <w:szCs w:val="22"/>
              </w:rPr>
            </w:pPr>
            <w:r>
              <w:rPr>
                <w:sz w:val="22"/>
                <w:szCs w:val="22"/>
              </w:rPr>
              <w:t xml:space="preserve"> </w:t>
            </w:r>
          </w:p>
          <w:p>
            <w:pPr>
              <w:rPr>
                <w:i/>
                <w:sz w:val="22"/>
                <w:szCs w:val="22"/>
              </w:rPr>
            </w:pPr>
            <w:proofErr w:type="spellStart"/>
            <w:r>
              <w:rPr>
                <w:i/>
                <w:sz w:val="22"/>
                <w:szCs w:val="22"/>
              </w:rPr>
              <w:t>ToDo</w:t>
            </w:r>
            <w:proofErr w:type="spellEnd"/>
            <w:r>
              <w:rPr>
                <w:i/>
                <w:sz w:val="22"/>
                <w:szCs w:val="22"/>
              </w:rPr>
              <w:t>: Disclaimer bleibt bis Mittwoch, 14.04., wird modifiziert: Der Hinweis auf die reduzierte Übermittlung durch die GÄ wird</w:t>
            </w:r>
            <w:r>
              <w:rPr>
                <w:sz w:val="22"/>
                <w:szCs w:val="22"/>
              </w:rPr>
              <w:t xml:space="preserve"> </w:t>
            </w:r>
            <w:r>
              <w:rPr>
                <w:i/>
                <w:sz w:val="22"/>
                <w:szCs w:val="22"/>
              </w:rPr>
              <w:t>gestrichen</w:t>
            </w:r>
          </w:p>
          <w:p>
            <w:pPr>
              <w:rPr>
                <w:i/>
                <w:sz w:val="22"/>
                <w:szCs w:val="22"/>
              </w:rPr>
            </w:pPr>
            <w:r>
              <w:rPr>
                <w:i/>
                <w:sz w:val="22"/>
                <w:szCs w:val="22"/>
              </w:rPr>
              <w:t>Vorschlag einer Erläuterung im Lagebericht wird v. M. Diercke vorbereitet</w:t>
            </w:r>
          </w:p>
          <w:p>
            <w:pPr>
              <w:rPr>
                <w:sz w:val="22"/>
                <w:szCs w:val="22"/>
              </w:rPr>
            </w:pPr>
          </w:p>
          <w:p>
            <w:pPr>
              <w:pStyle w:val="Listenabsatz"/>
              <w:numPr>
                <w:ilvl w:val="1"/>
                <w:numId w:val="5"/>
              </w:numPr>
              <w:ind w:left="924" w:hanging="357"/>
              <w:rPr>
                <w:sz w:val="22"/>
                <w:szCs w:val="22"/>
              </w:rPr>
            </w:pPr>
            <w:r>
              <w:rPr>
                <w:sz w:val="22"/>
                <w:szCs w:val="22"/>
              </w:rPr>
              <w:t xml:space="preserve">Einordnung einer Agenturanfrage zur Äußerung Söders, dass niedrige Zahlen vor allem mit den Ferien-Schulschließungen zusammenhingen: </w:t>
            </w:r>
          </w:p>
          <w:p>
            <w:pPr>
              <w:pStyle w:val="Listenabsatz"/>
              <w:numPr>
                <w:ilvl w:val="1"/>
                <w:numId w:val="34"/>
              </w:numPr>
              <w:rPr>
                <w:sz w:val="22"/>
                <w:szCs w:val="22"/>
              </w:rPr>
            </w:pPr>
            <w:r>
              <w:rPr>
                <w:sz w:val="22"/>
                <w:szCs w:val="22"/>
              </w:rPr>
              <w:t>Sinkende Zahlen betreffen alle AG, nicht nur Schüler und Lehrer</w:t>
            </w:r>
          </w:p>
          <w:p>
            <w:pPr>
              <w:pStyle w:val="Listenabsatz"/>
              <w:numPr>
                <w:ilvl w:val="1"/>
                <w:numId w:val="34"/>
              </w:numPr>
              <w:rPr>
                <w:sz w:val="22"/>
                <w:szCs w:val="22"/>
              </w:rPr>
            </w:pPr>
            <w:r>
              <w:rPr>
                <w:sz w:val="22"/>
                <w:szCs w:val="22"/>
              </w:rPr>
              <w:t>Eine Auswirkung auf die Fallzahlen wäre, falls es eine gäbe, zudem erst in 14 Tagen zu erwarten</w:t>
            </w:r>
          </w:p>
          <w:p>
            <w:pPr>
              <w:pStyle w:val="Listenabsatz"/>
              <w:ind w:left="453"/>
              <w:rPr>
                <w:sz w:val="22"/>
                <w:szCs w:val="22"/>
              </w:rPr>
            </w:pPr>
          </w:p>
          <w:p>
            <w:pPr>
              <w:pStyle w:val="Listenabsatz"/>
              <w:ind w:left="1491"/>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 xml:space="preserve">FG32 (M.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Diercke</w:t>
            </w:r>
          </w:p>
          <w:p>
            <w:pPr>
              <w:rPr>
                <w:sz w:val="22"/>
                <w:szCs w:val="22"/>
                <w:highlight w:val="yellow"/>
              </w:rPr>
            </w:pPr>
          </w:p>
          <w:p>
            <w:pPr>
              <w:rPr>
                <w:sz w:val="22"/>
                <w:szCs w:val="22"/>
              </w:rPr>
            </w:pPr>
          </w:p>
          <w:p>
            <w:pPr>
              <w:rPr>
                <w:sz w:val="22"/>
                <w:szCs w:val="22"/>
              </w:rPr>
            </w:pPr>
            <w:r>
              <w:rPr>
                <w:sz w:val="22"/>
                <w:szCs w:val="22"/>
              </w:rPr>
              <w:t>AL3 (Janna Seifried)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37 (Tim Eckmanns)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w:t>
            </w:r>
            <w:proofErr w:type="spellStart"/>
            <w:r>
              <w:rPr>
                <w:sz w:val="22"/>
                <w:szCs w:val="22"/>
              </w:rPr>
              <w:t>W.Haas</w:t>
            </w:r>
            <w:proofErr w:type="spell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17 (R. Dürrwald)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17, MF4 </w:t>
            </w:r>
          </w:p>
          <w:p>
            <w:pPr>
              <w:rPr>
                <w:sz w:val="22"/>
                <w:szCs w:val="22"/>
              </w:rPr>
            </w:pPr>
          </w:p>
          <w:p>
            <w:pPr>
              <w:rPr>
                <w:sz w:val="22"/>
                <w:szCs w:val="22"/>
              </w:rPr>
            </w:pPr>
          </w:p>
          <w:p>
            <w:pPr>
              <w:rPr>
                <w:sz w:val="22"/>
                <w:szCs w:val="22"/>
              </w:rPr>
            </w:pPr>
          </w:p>
          <w:p>
            <w:pPr>
              <w:rPr>
                <w:sz w:val="22"/>
                <w:szCs w:val="22"/>
              </w:rPr>
            </w:pPr>
            <w:r>
              <w:rPr>
                <w:sz w:val="22"/>
                <w:szCs w:val="22"/>
              </w:rPr>
              <w:t xml:space="preserve">Presse (S. Glasmacher)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sz w:val="22"/>
                <w:szCs w:val="22"/>
              </w:rPr>
              <w:t>(nur freitags)</w:t>
            </w:r>
          </w:p>
          <w:p>
            <w:pPr>
              <w:pStyle w:val="Listenabsatz"/>
              <w:numPr>
                <w:ilvl w:val="0"/>
                <w:numId w:val="5"/>
              </w:numPr>
              <w:ind w:left="453" w:hanging="340"/>
              <w:rPr>
                <w:sz w:val="22"/>
                <w:szCs w:val="22"/>
              </w:rPr>
            </w:pPr>
            <w:r>
              <w:rPr>
                <w:sz w:val="22"/>
                <w:szCs w:val="22"/>
              </w:rPr>
              <w:t>Nicht besprochen</w:t>
            </w:r>
          </w:p>
          <w:p>
            <w:pPr>
              <w:pStyle w:val="Listenabsatz"/>
              <w:ind w:left="453"/>
              <w:rPr>
                <w:b/>
                <w:sz w:val="22"/>
                <w:szCs w:val="22"/>
              </w:rPr>
            </w:pP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sz w:val="22"/>
                <w:szCs w:val="22"/>
              </w:rPr>
              <w:t>(nur montags)</w:t>
            </w:r>
          </w:p>
          <w:p>
            <w:pPr>
              <w:pStyle w:val="Listenabsatz"/>
              <w:numPr>
                <w:ilvl w:val="0"/>
                <w:numId w:val="5"/>
              </w:numPr>
              <w:ind w:left="453" w:hanging="340"/>
              <w:rPr>
                <w:sz w:val="22"/>
                <w:szCs w:val="22"/>
              </w:rPr>
            </w:pPr>
            <w:r>
              <w:rPr>
                <w:sz w:val="22"/>
                <w:szCs w:val="22"/>
              </w:rPr>
              <w:t>Nicht besprochen</w:t>
            </w:r>
          </w:p>
          <w:p>
            <w:pPr>
              <w:pStyle w:val="Listenabsatz"/>
              <w:ind w:left="924"/>
              <w:rPr>
                <w:sz w:val="22"/>
                <w:szCs w:val="22"/>
              </w:rPr>
            </w:pP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1"/>
                <w:numId w:val="5"/>
              </w:numPr>
              <w:ind w:left="924" w:hanging="357"/>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b/>
                <w:sz w:val="22"/>
                <w:szCs w:val="22"/>
              </w:rPr>
            </w:pPr>
            <w:r>
              <w:rPr>
                <w:sz w:val="22"/>
                <w:szCs w:val="22"/>
              </w:rPr>
              <w:lastRenderedPageBreak/>
              <w:t>Aktuelles Infoblatt (</w:t>
            </w:r>
            <w:r>
              <w:rPr>
                <w:sz w:val="22"/>
                <w:szCs w:val="22"/>
                <w:highlight w:val="yellow"/>
              </w:rPr>
              <w:t>Zielgruppe?)</w:t>
            </w:r>
            <w:r>
              <w:rPr>
                <w:sz w:val="22"/>
                <w:szCs w:val="22"/>
              </w:rPr>
              <w:t xml:space="preserve"> unter Berücksichtigung der STIKO-Empfehlungen ist in Arbeit und soll nächste Woche in den Verteiler  </w:t>
            </w:r>
          </w:p>
          <w:p>
            <w:pPr>
              <w:ind w:left="113"/>
              <w:rPr>
                <w:b/>
                <w:sz w:val="22"/>
                <w:szCs w:val="22"/>
              </w:rPr>
            </w:pPr>
            <w:r>
              <w:rPr>
                <w:b/>
                <w:sz w:val="22"/>
                <w:szCs w:val="22"/>
              </w:rPr>
              <w:t xml:space="preserve">P1 </w:t>
            </w:r>
          </w:p>
          <w:p>
            <w:pPr>
              <w:pStyle w:val="Listenabsatz"/>
              <w:numPr>
                <w:ilvl w:val="0"/>
                <w:numId w:val="5"/>
              </w:numPr>
              <w:ind w:left="453" w:hanging="340"/>
              <w:rPr>
                <w:b/>
                <w:sz w:val="22"/>
                <w:szCs w:val="22"/>
              </w:rPr>
            </w:pPr>
            <w:r>
              <w:rPr>
                <w:sz w:val="22"/>
                <w:szCs w:val="22"/>
              </w:rPr>
              <w:t xml:space="preserve">Thema der BPK nächste Woche ist „Long </w:t>
            </w:r>
            <w:proofErr w:type="spellStart"/>
            <w:r>
              <w:rPr>
                <w:sz w:val="22"/>
                <w:szCs w:val="22"/>
              </w:rPr>
              <w:t>Covid</w:t>
            </w:r>
            <w:proofErr w:type="spellEnd"/>
            <w:r>
              <w:rPr>
                <w:sz w:val="22"/>
                <w:szCs w:val="22"/>
              </w:rPr>
              <w:t xml:space="preserve">“. Frage: Wer ist Ansprechpartner zu diesem Thema? </w:t>
            </w:r>
          </w:p>
          <w:p>
            <w:pPr>
              <w:pStyle w:val="Listenabsatz"/>
              <w:ind w:left="453"/>
              <w:rPr>
                <w:b/>
                <w:sz w:val="22"/>
                <w:szCs w:val="22"/>
              </w:rPr>
            </w:pPr>
            <w:r>
              <w:rPr>
                <w:sz w:val="22"/>
                <w:szCs w:val="22"/>
              </w:rPr>
              <w:t xml:space="preserve">Antwort: IBBS, Michaela Niebank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lastRenderedPageBreak/>
              <w:t xml:space="preserve">(H. </w:t>
            </w:r>
            <w:r>
              <w:rPr>
                <w:color w:val="000000" w:themeColor="text1"/>
                <w:sz w:val="22"/>
                <w:szCs w:val="22"/>
              </w:rPr>
              <w:t>Ebrahimzadeh-Wetter)</w:t>
            </w:r>
          </w:p>
          <w:p>
            <w:pPr>
              <w:rPr>
                <w:sz w:val="22"/>
                <w:szCs w:val="22"/>
              </w:rPr>
            </w:pPr>
          </w:p>
          <w:p>
            <w:pPr>
              <w:rPr>
                <w:sz w:val="22"/>
                <w:szCs w:val="22"/>
              </w:rPr>
            </w:pPr>
            <w:r>
              <w:rPr>
                <w:sz w:val="22"/>
                <w:szCs w:val="22"/>
              </w:rPr>
              <w:t xml:space="preserve">P1 (I. Lein) </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b/>
                <w:sz w:val="22"/>
                <w:szCs w:val="22"/>
              </w:rPr>
            </w:pPr>
            <w:r>
              <w:rPr>
                <w:b/>
                <w:sz w:val="22"/>
                <w:szCs w:val="22"/>
              </w:rPr>
              <w:t xml:space="preserve">Kontaktpersonen-Nachverfolgung bei SARS-CoV-2-Infektionen </w:t>
            </w:r>
            <w:r>
              <w:rPr>
                <w:sz w:val="22"/>
                <w:szCs w:val="22"/>
              </w:rPr>
              <w:t xml:space="preserve">(Dokument </w:t>
            </w:r>
            <w:hyperlink r:id="rId1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Änderungen betreffen das Tragen von FFP2-Masken und die Anordnung der Quarantäne bei Geimpften und Genesenen</w:t>
            </w:r>
          </w:p>
          <w:p>
            <w:pPr>
              <w:pStyle w:val="Listenabsatz"/>
              <w:numPr>
                <w:ilvl w:val="1"/>
                <w:numId w:val="5"/>
              </w:numPr>
              <w:ind w:left="907" w:hanging="340"/>
              <w:rPr>
                <w:sz w:val="22"/>
                <w:szCs w:val="22"/>
              </w:rPr>
            </w:pPr>
            <w:r>
              <w:rPr>
                <w:sz w:val="22"/>
                <w:szCs w:val="22"/>
              </w:rPr>
              <w:t>Nach Rückfragen wurde für die Situation „Gespräch“ wieder ein Abstand definiert</w:t>
            </w:r>
          </w:p>
          <w:p>
            <w:pPr>
              <w:pStyle w:val="Listenabsatz"/>
              <w:numPr>
                <w:ilvl w:val="1"/>
                <w:numId w:val="5"/>
              </w:numPr>
              <w:ind w:left="907" w:hanging="340"/>
              <w:rPr>
                <w:sz w:val="22"/>
                <w:szCs w:val="22"/>
              </w:rPr>
            </w:pPr>
            <w:r>
              <w:rPr>
                <w:sz w:val="22"/>
                <w:szCs w:val="22"/>
              </w:rPr>
              <w:t>Aus dem Zusatz „Außerhalb des Arbeitsschutzes“ wurde die eindeutige Formulierung, dass der Gesundheitsbereich von der Regelung* ausgenommen ist, da vom korrekten FIT ausgegangen werden kann</w:t>
            </w:r>
          </w:p>
          <w:p>
            <w:pPr>
              <w:pStyle w:val="Listenabsatz"/>
              <w:ind w:left="907"/>
              <w:rPr>
                <w:sz w:val="22"/>
                <w:szCs w:val="22"/>
              </w:rPr>
            </w:pPr>
            <w:r>
              <w:rPr>
                <w:sz w:val="22"/>
                <w:szCs w:val="22"/>
              </w:rPr>
              <w:t>*</w:t>
            </w:r>
            <w:r>
              <w:rPr>
                <w:rFonts w:ascii="Times New Roman" w:eastAsia="Times New Roman" w:hAnsi="Times New Roman" w:cs="Times New Roman"/>
                <w:lang w:eastAsia="de-DE"/>
              </w:rPr>
              <w:t xml:space="preserve"> </w:t>
            </w:r>
            <w:r>
              <w:rPr>
                <w:rFonts w:ascii="Times New Roman" w:eastAsia="Times New Roman" w:hAnsi="Times New Roman" w:cs="Times New Roman"/>
                <w:sz w:val="16"/>
                <w:szCs w:val="16"/>
                <w:lang w:eastAsia="de-DE"/>
              </w:rPr>
              <w:t xml:space="preserve">Gleichzeitiger Aufenthalt von Kontaktperson und Fall im selben Raum mit wahrscheinlich hoher Konzentration infektiöser Aerosole unabhängig vom Abstand für &gt; 10 Minuten, </w:t>
            </w:r>
            <w:r>
              <w:rPr>
                <w:rFonts w:ascii="Times New Roman" w:eastAsia="Times New Roman" w:hAnsi="Times New Roman" w:cs="Times New Roman"/>
                <w:b/>
                <w:bCs/>
                <w:sz w:val="16"/>
                <w:szCs w:val="16"/>
                <w:lang w:eastAsia="de-DE"/>
              </w:rPr>
              <w:t xml:space="preserve">auch wenn durchgehend und korrekt </w:t>
            </w:r>
            <w:r>
              <w:rPr>
                <w:rFonts w:ascii="Times New Roman" w:eastAsia="Times New Roman" w:hAnsi="Times New Roman" w:cs="Times New Roman"/>
                <w:sz w:val="16"/>
                <w:szCs w:val="16"/>
                <w:lang w:eastAsia="de-DE"/>
              </w:rPr>
              <w:t>MNS (Mund-Nasen-Schutz) oder FFP2-Maske getragen wurde.</w:t>
            </w:r>
            <w:r>
              <w:rPr>
                <w:sz w:val="22"/>
                <w:szCs w:val="22"/>
              </w:rPr>
              <w:t xml:space="preserve"> </w:t>
            </w:r>
          </w:p>
          <w:p>
            <w:pPr>
              <w:pStyle w:val="Listenabsatz"/>
              <w:numPr>
                <w:ilvl w:val="1"/>
                <w:numId w:val="5"/>
              </w:numPr>
              <w:ind w:left="907" w:hanging="340"/>
              <w:rPr>
                <w:sz w:val="22"/>
                <w:szCs w:val="22"/>
              </w:rPr>
            </w:pPr>
            <w:r>
              <w:rPr>
                <w:sz w:val="22"/>
                <w:szCs w:val="22"/>
              </w:rPr>
              <w:t xml:space="preserve">Kurze Diskussion: Andere Bereiche, z.B. Lehrpersonal, auch nach FIT-Test und Einweisung, sind </w:t>
            </w:r>
            <w:r>
              <w:rPr>
                <w:sz w:val="22"/>
                <w:szCs w:val="22"/>
                <w:u w:val="single"/>
              </w:rPr>
              <w:t>nicht</w:t>
            </w:r>
            <w:r>
              <w:rPr>
                <w:sz w:val="22"/>
                <w:szCs w:val="22"/>
              </w:rPr>
              <w:t xml:space="preserve"> ausgenommen </w:t>
            </w:r>
          </w:p>
          <w:p>
            <w:pPr>
              <w:pStyle w:val="Listenabsatz"/>
              <w:numPr>
                <w:ilvl w:val="1"/>
                <w:numId w:val="5"/>
              </w:numPr>
              <w:ind w:left="907" w:hanging="340"/>
              <w:rPr>
                <w:sz w:val="22"/>
                <w:szCs w:val="22"/>
              </w:rPr>
            </w:pPr>
            <w:r>
              <w:rPr>
                <w:sz w:val="22"/>
                <w:szCs w:val="22"/>
              </w:rPr>
              <w:t xml:space="preserve">Definition „Vollständig geimpft“: Ab dem 15. Tag nach der 2. Impfung </w:t>
            </w:r>
          </w:p>
          <w:p>
            <w:pPr>
              <w:pStyle w:val="Listenabsatz"/>
              <w:numPr>
                <w:ilvl w:val="1"/>
                <w:numId w:val="5"/>
              </w:numPr>
              <w:ind w:left="907" w:hanging="340"/>
              <w:rPr>
                <w:sz w:val="22"/>
                <w:szCs w:val="22"/>
              </w:rPr>
            </w:pPr>
            <w:r>
              <w:rPr>
                <w:sz w:val="22"/>
                <w:szCs w:val="22"/>
              </w:rPr>
              <w:t>Definition „Genesen“: Analog ab dem 15. Tag nach 1 Impfung</w:t>
            </w:r>
          </w:p>
          <w:p>
            <w:pPr>
              <w:pStyle w:val="Listenabsatz"/>
              <w:ind w:left="907"/>
              <w:rPr>
                <w:sz w:val="22"/>
                <w:szCs w:val="22"/>
              </w:rPr>
            </w:pPr>
          </w:p>
          <w:p>
            <w:pPr>
              <w:rPr>
                <w:i/>
                <w:sz w:val="22"/>
                <w:szCs w:val="22"/>
              </w:rPr>
            </w:pPr>
            <w:proofErr w:type="spellStart"/>
            <w:r>
              <w:rPr>
                <w:i/>
                <w:sz w:val="22"/>
                <w:szCs w:val="22"/>
              </w:rPr>
              <w:t>ToDo</w:t>
            </w:r>
            <w:proofErr w:type="spellEnd"/>
            <w:r>
              <w:rPr>
                <w:i/>
                <w:sz w:val="22"/>
                <w:szCs w:val="22"/>
              </w:rPr>
              <w:t>: geeigneten Link zu den Definitionen in den STIKO-Dokumenten auswählen</w:t>
            </w:r>
          </w:p>
          <w:p>
            <w:pPr>
              <w:rPr>
                <w:i/>
                <w:sz w:val="22"/>
                <w:szCs w:val="22"/>
              </w:rPr>
            </w:pPr>
            <w:r>
              <w:rPr>
                <w:i/>
                <w:sz w:val="22"/>
                <w:szCs w:val="22"/>
              </w:rPr>
              <w:t xml:space="preserve"> </w:t>
            </w:r>
          </w:p>
          <w:p>
            <w:pPr>
              <w:pStyle w:val="Listenabsatz"/>
              <w:numPr>
                <w:ilvl w:val="1"/>
                <w:numId w:val="5"/>
              </w:numPr>
              <w:ind w:left="907" w:hanging="340"/>
              <w:rPr>
                <w:sz w:val="22"/>
                <w:szCs w:val="22"/>
              </w:rPr>
            </w:pPr>
            <w:r>
              <w:rPr>
                <w:sz w:val="22"/>
                <w:szCs w:val="22"/>
              </w:rPr>
              <w:t>Für Genesene wird die maximale Zeitspanne nach der Infektion, innerhalb derer auf eine Quarantäneverzichtet werden kann, auf 6 Monate erhöht – allgemeine Zustimmung</w:t>
            </w:r>
          </w:p>
          <w:p>
            <w:pPr>
              <w:pStyle w:val="Listenabsatz"/>
              <w:numPr>
                <w:ilvl w:val="1"/>
                <w:numId w:val="5"/>
              </w:numPr>
              <w:ind w:left="907" w:hanging="340"/>
              <w:rPr>
                <w:sz w:val="22"/>
                <w:szCs w:val="22"/>
              </w:rPr>
            </w:pPr>
            <w:r>
              <w:rPr>
                <w:sz w:val="22"/>
                <w:szCs w:val="22"/>
              </w:rPr>
              <w:t>Hinweis: Die Gründe für die insgesamt umfangreichen Änderungen sollten evtl. erläutert werden, z. B. Infobrief an die GÄ oder als Information in den EpiLag Notizen? Beispielsweise, dass eine Verschärfung wegen der Zunahme und Eigenschaften der VOC geboten ist</w:t>
            </w:r>
          </w:p>
          <w:p>
            <w:pPr>
              <w:pStyle w:val="Listenabsatz"/>
              <w:numPr>
                <w:ilvl w:val="1"/>
                <w:numId w:val="5"/>
              </w:numPr>
              <w:ind w:left="907" w:hanging="340"/>
              <w:rPr>
                <w:sz w:val="22"/>
                <w:szCs w:val="22"/>
              </w:rPr>
            </w:pPr>
            <w:r>
              <w:rPr>
                <w:sz w:val="22"/>
                <w:szCs w:val="22"/>
              </w:rPr>
              <w:t>Anfragen zu dem Dokument ähneln sich, Textbausteine wurden dazu fertiggestellt und sollen an das LZ kommuniziert werden</w:t>
            </w:r>
          </w:p>
          <w:p>
            <w:pPr>
              <w:pStyle w:val="Listenabsatz"/>
              <w:numPr>
                <w:ilvl w:val="1"/>
                <w:numId w:val="5"/>
              </w:numPr>
              <w:ind w:left="907" w:hanging="340"/>
              <w:rPr>
                <w:sz w:val="22"/>
                <w:szCs w:val="22"/>
              </w:rPr>
            </w:pPr>
            <w:r>
              <w:rPr>
                <w:sz w:val="22"/>
                <w:szCs w:val="22"/>
              </w:rPr>
              <w:t xml:space="preserve">Unklare Textstelle, hier den Nebensatz verdeutlichen: „ist - </w:t>
            </w:r>
            <w:r>
              <w:rPr>
                <w:i/>
                <w:sz w:val="22"/>
                <w:szCs w:val="22"/>
              </w:rPr>
              <w:t>aufgrund der aktuellen Datenlage zu Reinfektionen und Kontagiosität bei erneuter Infektion</w:t>
            </w:r>
            <w:r>
              <w:rPr>
                <w:sz w:val="22"/>
                <w:szCs w:val="22"/>
              </w:rPr>
              <w:t xml:space="preserve">- nur dann keine </w:t>
            </w:r>
            <w:r>
              <w:rPr>
                <w:sz w:val="22"/>
                <w:szCs w:val="22"/>
              </w:rPr>
              <w:lastRenderedPageBreak/>
              <w:t xml:space="preserve">Quarantäne erforderlich, wenn der Kontakt innerhalb von 6 Monaten nach dem Nachweis der vorherigen SARS-CoV-2-Infektion erfolgte“ </w:t>
            </w:r>
          </w:p>
          <w:p>
            <w:pPr>
              <w:pStyle w:val="Listenabsatz"/>
              <w:numPr>
                <w:ilvl w:val="1"/>
                <w:numId w:val="5"/>
              </w:numPr>
              <w:ind w:left="907" w:hanging="340"/>
              <w:rPr>
                <w:sz w:val="22"/>
                <w:szCs w:val="22"/>
              </w:rPr>
            </w:pPr>
            <w:r>
              <w:rPr>
                <w:sz w:val="22"/>
                <w:szCs w:val="22"/>
              </w:rPr>
              <w:t>Gibt es Evidenzen zur zeitlichen Begrenzung des Kontakts auf 10 min?</w:t>
            </w:r>
          </w:p>
          <w:p>
            <w:pPr>
              <w:pStyle w:val="Listenabsatz"/>
              <w:numPr>
                <w:ilvl w:val="1"/>
                <w:numId w:val="5"/>
              </w:numPr>
              <w:ind w:left="907" w:hanging="340"/>
              <w:rPr>
                <w:sz w:val="22"/>
                <w:szCs w:val="22"/>
              </w:rPr>
            </w:pPr>
            <w:r>
              <w:rPr>
                <w:sz w:val="22"/>
                <w:szCs w:val="22"/>
              </w:rPr>
              <w:t xml:space="preserve">Nein, rein pragmatische Entscheidung wegen höherer Kontagiosität, und nach Hinweisen von GÄ </w:t>
            </w:r>
          </w:p>
          <w:p>
            <w:pPr>
              <w:pStyle w:val="Listenabsatz"/>
              <w:numPr>
                <w:ilvl w:val="1"/>
                <w:numId w:val="5"/>
              </w:numPr>
              <w:ind w:left="907" w:hanging="340"/>
              <w:rPr>
                <w:sz w:val="22"/>
                <w:szCs w:val="22"/>
              </w:rPr>
            </w:pPr>
            <w:r>
              <w:rPr>
                <w:sz w:val="22"/>
                <w:szCs w:val="22"/>
              </w:rPr>
              <w:t xml:space="preserve">Diskussion: Sollten Genesene nach symptomatischer und nach asymptomatischer Erkrankung unterschieden werden? Gibt es Aussagen zur </w:t>
            </w:r>
            <w:proofErr w:type="spellStart"/>
            <w:r>
              <w:rPr>
                <w:sz w:val="22"/>
                <w:szCs w:val="22"/>
              </w:rPr>
              <w:t>Boosterwirkung</w:t>
            </w:r>
            <w:proofErr w:type="spellEnd"/>
            <w:r>
              <w:rPr>
                <w:sz w:val="22"/>
                <w:szCs w:val="22"/>
              </w:rPr>
              <w:t xml:space="preserve"> der Impfung nach asymptomatischem Verlauf (der evtl. keine B-Zell Wirkung induziert hat)? </w:t>
            </w:r>
          </w:p>
          <w:p>
            <w:pPr>
              <w:pStyle w:val="Listenabsatz"/>
              <w:numPr>
                <w:ilvl w:val="1"/>
                <w:numId w:val="5"/>
              </w:numPr>
              <w:ind w:left="907" w:hanging="340"/>
              <w:rPr>
                <w:sz w:val="22"/>
                <w:szCs w:val="22"/>
              </w:rPr>
            </w:pPr>
            <w:r>
              <w:rPr>
                <w:sz w:val="22"/>
                <w:szCs w:val="22"/>
              </w:rPr>
              <w:t xml:space="preserve">Es sollte auf die Gruppe der symptomatisch Erkrankten eingegrenzt werden </w:t>
            </w:r>
          </w:p>
          <w:p>
            <w:pPr>
              <w:pStyle w:val="Listenabsatz"/>
              <w:numPr>
                <w:ilvl w:val="1"/>
                <w:numId w:val="5"/>
              </w:numPr>
              <w:ind w:left="907" w:hanging="340"/>
              <w:rPr>
                <w:sz w:val="22"/>
                <w:szCs w:val="22"/>
              </w:rPr>
            </w:pPr>
            <w:r>
              <w:rPr>
                <w:sz w:val="22"/>
                <w:szCs w:val="22"/>
              </w:rPr>
              <w:t xml:space="preserve">Hinweis: Sehr schwierig, dies genau zu definieren, wird möglicherweise in der Rechtsverordnung nicht differenziert werden </w:t>
            </w:r>
          </w:p>
          <w:p>
            <w:pPr>
              <w:pStyle w:val="Listenabsatz"/>
              <w:numPr>
                <w:ilvl w:val="1"/>
                <w:numId w:val="5"/>
              </w:numPr>
              <w:ind w:left="907" w:hanging="340"/>
              <w:rPr>
                <w:sz w:val="22"/>
                <w:szCs w:val="22"/>
              </w:rPr>
            </w:pPr>
            <w:r>
              <w:rPr>
                <w:sz w:val="22"/>
                <w:szCs w:val="22"/>
              </w:rPr>
              <w:t>Hinweis: In der AGI wurde die zweimalige Testung während der Quarantäne kritisch gesehen</w:t>
            </w:r>
          </w:p>
          <w:p>
            <w:pPr>
              <w:pStyle w:val="Listenabsatz"/>
              <w:numPr>
                <w:ilvl w:val="1"/>
                <w:numId w:val="5"/>
              </w:numPr>
              <w:ind w:left="907" w:hanging="340"/>
              <w:rPr>
                <w:sz w:val="22"/>
                <w:szCs w:val="22"/>
              </w:rPr>
            </w:pPr>
            <w:r>
              <w:rPr>
                <w:sz w:val="22"/>
                <w:szCs w:val="22"/>
              </w:rPr>
              <w:t>Ort und Art des Tests und die Umsetzung wurden auf Wunsch der Länder nicht genauer spezifiziert, da unterschiedliche Voraussetzungen in den Länderverordnungen zu Transport, Quarantäneunterbrechung für Testung und Kostenübernahme, Umsetzung bleibt Sache der Länder bzw. GÄ</w:t>
            </w:r>
          </w:p>
          <w:p>
            <w:pPr>
              <w:pStyle w:val="Listenabsatz"/>
              <w:numPr>
                <w:ilvl w:val="1"/>
                <w:numId w:val="5"/>
              </w:numPr>
              <w:ind w:left="907" w:hanging="340"/>
              <w:rPr>
                <w:sz w:val="22"/>
                <w:szCs w:val="22"/>
              </w:rPr>
            </w:pPr>
            <w:r>
              <w:rPr>
                <w:sz w:val="22"/>
                <w:szCs w:val="22"/>
              </w:rPr>
              <w:t xml:space="preserve">Die Testung wurden als Reaktion auf die häufigen Nachfragen der GÄ, zur Quarantänedauer (zu kurz, insbes. bei VOC), aufgenommen </w:t>
            </w:r>
          </w:p>
          <w:p>
            <w:pPr>
              <w:pStyle w:val="Listenabsatz"/>
              <w:numPr>
                <w:ilvl w:val="1"/>
                <w:numId w:val="5"/>
              </w:numPr>
              <w:ind w:left="907" w:hanging="340"/>
              <w:rPr>
                <w:sz w:val="22"/>
                <w:szCs w:val="22"/>
              </w:rPr>
            </w:pPr>
            <w:r>
              <w:rPr>
                <w:sz w:val="22"/>
                <w:szCs w:val="22"/>
              </w:rPr>
              <w:t>Es entspricht der 2x/wöchentlichen Testempfehlung in Schulen und Betrieben</w:t>
            </w:r>
          </w:p>
          <w:p>
            <w:pPr>
              <w:pStyle w:val="Listenabsatz"/>
              <w:ind w:left="907"/>
              <w:rPr>
                <w:sz w:val="22"/>
                <w:szCs w:val="22"/>
              </w:rPr>
            </w:pPr>
          </w:p>
          <w:p>
            <w:pPr>
              <w:rPr>
                <w:sz w:val="22"/>
                <w:szCs w:val="22"/>
              </w:rPr>
            </w:pPr>
            <w:proofErr w:type="spellStart"/>
            <w:r>
              <w:rPr>
                <w:sz w:val="22"/>
                <w:szCs w:val="22"/>
              </w:rPr>
              <w:t>ToDo</w:t>
            </w:r>
            <w:proofErr w:type="spellEnd"/>
            <w:r>
              <w:rPr>
                <w:sz w:val="22"/>
                <w:szCs w:val="22"/>
              </w:rPr>
              <w:t xml:space="preserve">: </w:t>
            </w:r>
            <w:r>
              <w:rPr>
                <w:i/>
                <w:sz w:val="22"/>
                <w:szCs w:val="22"/>
              </w:rPr>
              <w:t>Fertigstellung des Dokuments mit Erläuterungen bzw. Begründung der Änderung in der Einleitung noch heute 07.04.</w:t>
            </w:r>
            <w:r>
              <w:rPr>
                <w:sz w:val="22"/>
                <w:szCs w:val="22"/>
              </w:rPr>
              <w:t xml:space="preserve"> </w:t>
            </w:r>
          </w:p>
          <w:p>
            <w:pPr>
              <w:rPr>
                <w:sz w:val="22"/>
                <w:szCs w:val="22"/>
              </w:rPr>
            </w:pPr>
          </w:p>
          <w:p>
            <w:pPr>
              <w:pStyle w:val="Listenabsatz"/>
              <w:numPr>
                <w:ilvl w:val="1"/>
                <w:numId w:val="5"/>
              </w:numPr>
              <w:ind w:left="907" w:hanging="340"/>
              <w:rPr>
                <w:sz w:val="22"/>
                <w:szCs w:val="22"/>
              </w:rPr>
            </w:pPr>
            <w:r>
              <w:rPr>
                <w:sz w:val="22"/>
                <w:szCs w:val="22"/>
              </w:rPr>
              <w:t xml:space="preserve">Dokument „Organisatorische und personelle Maßnahmen für Einrichtungen des Gesundheitswesens sowie Alten- und Pflegeeinrichtungen“ wird angepasst </w:t>
            </w:r>
          </w:p>
          <w:p>
            <w:pPr>
              <w:pStyle w:val="Listenabsatz"/>
              <w:numPr>
                <w:ilvl w:val="1"/>
                <w:numId w:val="5"/>
              </w:numPr>
              <w:ind w:left="907" w:hanging="340"/>
              <w:rPr>
                <w:sz w:val="22"/>
                <w:szCs w:val="22"/>
              </w:rPr>
            </w:pPr>
            <w:r>
              <w:rPr>
                <w:sz w:val="22"/>
                <w:szCs w:val="22"/>
              </w:rPr>
              <w:t>Begründung, warum keine Quarantäneausnahmen für Mitarbeiter und Bewohner gelten, werden aufgenommen</w:t>
            </w:r>
          </w:p>
          <w:p>
            <w:pPr>
              <w:pStyle w:val="Listenabsatz"/>
              <w:numPr>
                <w:ilvl w:val="1"/>
                <w:numId w:val="5"/>
              </w:numPr>
              <w:ind w:left="907" w:hanging="340"/>
              <w:rPr>
                <w:sz w:val="22"/>
                <w:szCs w:val="22"/>
              </w:rPr>
            </w:pPr>
            <w:r>
              <w:rPr>
                <w:sz w:val="22"/>
                <w:szCs w:val="22"/>
              </w:rPr>
              <w:t>Hinweis, dass die Testhäufigkeit nach Impfaktion angepasst werden kann, wurde bereits aufgenommen.</w:t>
            </w:r>
          </w:p>
          <w:p>
            <w:pPr>
              <w:pStyle w:val="Listenabsatz"/>
              <w:ind w:left="907"/>
              <w:rPr>
                <w:sz w:val="22"/>
                <w:szCs w:val="22"/>
              </w:rPr>
            </w:pPr>
          </w:p>
          <w:p>
            <w:pPr>
              <w:rPr>
                <w:i/>
                <w:sz w:val="22"/>
                <w:szCs w:val="22"/>
              </w:rPr>
            </w:pPr>
            <w:proofErr w:type="spellStart"/>
            <w:r>
              <w:rPr>
                <w:i/>
                <w:sz w:val="22"/>
                <w:szCs w:val="22"/>
              </w:rPr>
              <w:t>ToDo</w:t>
            </w:r>
            <w:proofErr w:type="spellEnd"/>
            <w:r>
              <w:rPr>
                <w:i/>
                <w:sz w:val="22"/>
                <w:szCs w:val="22"/>
              </w:rPr>
              <w:t xml:space="preserve">: Koordination der Anpassungen mit Birgitta Schweickert (Altenheime) und Ronja Wenchel (Presse)  </w:t>
            </w:r>
          </w:p>
          <w:p>
            <w:pPr>
              <w:rPr>
                <w:sz w:val="22"/>
                <w:szCs w:val="22"/>
              </w:rPr>
            </w:pPr>
          </w:p>
          <w:p>
            <w:pPr>
              <w:pStyle w:val="Listenabsatz"/>
              <w:numPr>
                <w:ilvl w:val="1"/>
                <w:numId w:val="5"/>
              </w:numPr>
              <w:ind w:left="907" w:hanging="340"/>
              <w:rPr>
                <w:sz w:val="22"/>
                <w:szCs w:val="22"/>
              </w:rPr>
            </w:pPr>
            <w:r>
              <w:rPr>
                <w:sz w:val="22"/>
                <w:szCs w:val="22"/>
              </w:rPr>
              <w:t>Dokument zu den Testkriterien und Flussschemata werden an die aktuellen Änderungen angepasst werden</w:t>
            </w:r>
          </w:p>
          <w:p>
            <w:pPr>
              <w:pStyle w:val="Listenabsatz"/>
              <w:numPr>
                <w:ilvl w:val="1"/>
                <w:numId w:val="5"/>
              </w:numPr>
              <w:ind w:left="907" w:hanging="340"/>
              <w:rPr>
                <w:sz w:val="22"/>
                <w:szCs w:val="22"/>
              </w:rPr>
            </w:pPr>
            <w:r>
              <w:rPr>
                <w:sz w:val="22"/>
                <w:szCs w:val="22"/>
              </w:rPr>
              <w:t xml:space="preserve">Flussschema wird zu diesem Zweck vorübergehend von der Homepage genommen  </w:t>
            </w:r>
          </w:p>
          <w:p>
            <w:pPr>
              <w:pStyle w:val="Listenabsatz"/>
              <w:ind w:left="907"/>
              <w:rPr>
                <w:sz w:val="22"/>
                <w:szCs w:val="22"/>
              </w:rPr>
            </w:pPr>
            <w:r>
              <w:rPr>
                <w:sz w:val="22"/>
                <w:szCs w:val="22"/>
              </w:rPr>
              <w:t xml:space="preserve"> </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(W. Haas, L. Bös)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FG33 (T. Harder)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(W. Haas,</w:t>
            </w:r>
          </w:p>
          <w:p>
            <w:pPr>
              <w:rPr>
                <w:sz w:val="22"/>
                <w:szCs w:val="22"/>
              </w:rPr>
            </w:pPr>
            <w:r>
              <w:rPr>
                <w:sz w:val="22"/>
                <w:szCs w:val="22"/>
              </w:rPr>
              <w:t>L. Bös)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T. Eckmanns</w:t>
            </w:r>
          </w:p>
          <w:p>
            <w:pPr>
              <w:rPr>
                <w:sz w:val="22"/>
                <w:szCs w:val="22"/>
              </w:rPr>
            </w:pPr>
          </w:p>
          <w:p>
            <w:pPr>
              <w:rPr>
                <w:sz w:val="22"/>
                <w:szCs w:val="22"/>
              </w:rPr>
            </w:pPr>
          </w:p>
          <w:p>
            <w:pPr>
              <w:rPr>
                <w:sz w:val="22"/>
                <w:szCs w:val="22"/>
              </w:rPr>
            </w:pPr>
          </w:p>
          <w:p>
            <w:pPr>
              <w:rPr>
                <w:sz w:val="22"/>
                <w:szCs w:val="22"/>
              </w:rPr>
            </w:pPr>
            <w:r>
              <w:rPr>
                <w:sz w:val="22"/>
                <w:szCs w:val="22"/>
              </w:rPr>
              <w:t>W. Haas</w:t>
            </w: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sz w:val="20"/>
                <w:szCs w:val="20"/>
              </w:rPr>
              <w:t>(nur freitags)</w:t>
            </w:r>
          </w:p>
          <w:p>
            <w:pPr>
              <w:pStyle w:val="Listenabsatz"/>
              <w:numPr>
                <w:ilvl w:val="0"/>
                <w:numId w:val="5"/>
              </w:numPr>
              <w:ind w:left="453" w:hanging="340"/>
              <w:rPr>
                <w:b/>
                <w:sz w:val="22"/>
                <w:szCs w:val="22"/>
              </w:rPr>
            </w:pPr>
            <w:r>
              <w:rPr>
                <w:sz w:val="22"/>
                <w:szCs w:val="22"/>
              </w:rPr>
              <w:lastRenderedPageBreak/>
              <w:t>Nicht besprochen</w:t>
            </w:r>
          </w:p>
          <w:p>
            <w:pPr>
              <w:pStyle w:val="Listenabsatz"/>
              <w:numPr>
                <w:ilvl w:val="0"/>
                <w:numId w:val="5"/>
              </w:numPr>
              <w:ind w:left="453" w:hanging="340"/>
              <w:rPr>
                <w:b/>
                <w:sz w:val="22"/>
                <w:szCs w:val="22"/>
              </w:rPr>
            </w:pPr>
            <w:r>
              <w:rPr>
                <w:b/>
                <w:sz w:val="22"/>
                <w:szCs w:val="22"/>
              </w:rPr>
              <w:t>Impfung für RKI Mitarbeiter*innen</w:t>
            </w:r>
          </w:p>
          <w:p>
            <w:pPr>
              <w:pStyle w:val="Listenabsatz"/>
              <w:numPr>
                <w:ilvl w:val="1"/>
                <w:numId w:val="5"/>
              </w:numPr>
              <w:ind w:left="907" w:hanging="340"/>
              <w:rPr>
                <w:sz w:val="22"/>
                <w:szCs w:val="22"/>
              </w:rPr>
            </w:pPr>
            <w:r>
              <w:rPr>
                <w:sz w:val="22"/>
                <w:szCs w:val="22"/>
              </w:rPr>
              <w:t>Bisher nur AstraZeneca- Impfstoff angeboten, wird in der LK thematisiert, da Ministerium /Bundeswehr/ggf. Landesbehörden involviert sind</w:t>
            </w:r>
          </w:p>
          <w:p>
            <w:pPr>
              <w:rPr>
                <w:b/>
                <w:sz w:val="22"/>
                <w:szCs w:val="22"/>
              </w:rPr>
            </w:pPr>
          </w:p>
          <w:p>
            <w:pPr>
              <w:pStyle w:val="Listenabsatz"/>
              <w:ind w:left="453"/>
              <w:rPr>
                <w:b/>
                <w:sz w:val="22"/>
                <w:szCs w:val="22"/>
              </w:rPr>
            </w:pPr>
          </w:p>
        </w:tc>
        <w:tc>
          <w:tcPr>
            <w:tcW w:w="1492" w:type="dxa"/>
          </w:tcPr>
          <w:p>
            <w:pPr>
              <w:rPr>
                <w:sz w:val="22"/>
                <w:szCs w:val="22"/>
              </w:rPr>
            </w:pPr>
          </w:p>
          <w:p>
            <w:pPr>
              <w:rPr>
                <w:sz w:val="22"/>
                <w:szCs w:val="22"/>
              </w:rPr>
            </w:pPr>
            <w:r>
              <w:rPr>
                <w:sz w:val="22"/>
                <w:szCs w:val="22"/>
              </w:rPr>
              <w:lastRenderedPageBreak/>
              <w:t>FG33</w:t>
            </w:r>
          </w:p>
          <w:p>
            <w:pPr>
              <w:rPr>
                <w:sz w:val="22"/>
                <w:szCs w:val="22"/>
              </w:rPr>
            </w:pPr>
            <w:r>
              <w:rPr>
                <w:sz w:val="22"/>
                <w:szCs w:val="22"/>
              </w:rPr>
              <w:t>T. Eckmanns</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szCs w:val="22"/>
              </w:rPr>
              <w:t>1062 Einsendungen, davon 491 positiv</w:t>
            </w:r>
          </w:p>
          <w:p>
            <w:pPr>
              <w:pStyle w:val="Listenabsatz"/>
              <w:numPr>
                <w:ilvl w:val="0"/>
                <w:numId w:val="5"/>
              </w:numPr>
              <w:ind w:left="453" w:hanging="340"/>
              <w:rPr>
                <w:sz w:val="22"/>
                <w:szCs w:val="22"/>
              </w:rPr>
            </w:pPr>
            <w:r>
              <w:rPr>
                <w:sz w:val="22"/>
                <w:szCs w:val="22"/>
              </w:rPr>
              <w:t>Positivrate 45%</w:t>
            </w:r>
          </w:p>
          <w:p>
            <w:pPr>
              <w:pStyle w:val="Listenabsatz"/>
              <w:numPr>
                <w:ilvl w:val="0"/>
                <w:numId w:val="5"/>
              </w:numPr>
              <w:ind w:left="453" w:hanging="340"/>
              <w:rPr>
                <w:sz w:val="22"/>
                <w:szCs w:val="22"/>
              </w:rPr>
            </w:pPr>
            <w:r>
              <w:rPr>
                <w:sz w:val="22"/>
                <w:szCs w:val="22"/>
              </w:rPr>
              <w:t>B.1.1.7: 90%</w:t>
            </w:r>
          </w:p>
          <w:p>
            <w:pPr>
              <w:pStyle w:val="Listenabsatz"/>
              <w:numPr>
                <w:ilvl w:val="0"/>
                <w:numId w:val="5"/>
              </w:numPr>
              <w:ind w:left="453" w:hanging="340"/>
              <w:rPr>
                <w:sz w:val="22"/>
                <w:szCs w:val="22"/>
              </w:rPr>
            </w:pPr>
            <w:r>
              <w:rPr>
                <w:sz w:val="22"/>
                <w:szCs w:val="22"/>
              </w:rPr>
              <w:t>Letzte Woche über WHO wurden Proben aus der Ukraine vermittelt, 33 Sequenzierungen (B.1.1.7 positiv) möglich, Ergebnisse auf GISAID hochgeladen</w:t>
            </w:r>
          </w:p>
          <w:p>
            <w:pPr>
              <w:pStyle w:val="Listenabsatz"/>
              <w:numPr>
                <w:ilvl w:val="0"/>
                <w:numId w:val="5"/>
              </w:numPr>
              <w:ind w:left="453" w:hanging="340"/>
              <w:rPr>
                <w:sz w:val="22"/>
                <w:szCs w:val="22"/>
              </w:rPr>
            </w:pPr>
            <w:r>
              <w:rPr>
                <w:sz w:val="22"/>
                <w:szCs w:val="22"/>
              </w:rPr>
              <w:t xml:space="preserve">Etwa 100 weitere Sequenzierungen wurden durchgeführt. Labore senden zuverlässig ein </w:t>
            </w:r>
          </w:p>
          <w:p>
            <w:pPr>
              <w:rPr>
                <w:sz w:val="22"/>
              </w:rPr>
            </w:pPr>
          </w:p>
        </w:tc>
        <w:tc>
          <w:tcPr>
            <w:tcW w:w="1492" w:type="dxa"/>
          </w:tcPr>
          <w:p>
            <w:pPr>
              <w:rPr>
                <w:sz w:val="22"/>
                <w:szCs w:val="22"/>
              </w:rPr>
            </w:pPr>
          </w:p>
          <w:p>
            <w:pPr>
              <w:rPr>
                <w:sz w:val="22"/>
                <w:szCs w:val="22"/>
              </w:rPr>
            </w:pPr>
            <w:r>
              <w:rPr>
                <w:sz w:val="22"/>
                <w:szCs w:val="22"/>
              </w:rPr>
              <w:t>ZBS 1</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Dokument </w:t>
            </w:r>
            <w:r>
              <w:rPr>
                <w:b/>
                <w:sz w:val="22"/>
                <w:szCs w:val="22"/>
              </w:rPr>
              <w:t xml:space="preserve">Hinweise zur Durchführung der Quarantäne </w:t>
            </w:r>
            <w:r>
              <w:rPr>
                <w:color w:val="000000" w:themeColor="text1"/>
                <w:sz w:val="22"/>
                <w:szCs w:val="22"/>
              </w:rPr>
              <w:t>(</w:t>
            </w:r>
            <w:r>
              <w:rPr>
                <w:color w:val="000000" w:themeColor="text1"/>
                <w:sz w:val="22"/>
                <w:szCs w:val="22"/>
                <w:highlight w:val="yellow"/>
              </w:rPr>
              <w:t>Dokument ??)</w:t>
            </w:r>
            <w:r>
              <w:rPr>
                <w:color w:val="000000" w:themeColor="text1"/>
                <w:sz w:val="22"/>
                <w:szCs w:val="22"/>
              </w:rPr>
              <w:t xml:space="preserve"> </w:t>
            </w:r>
          </w:p>
          <w:p>
            <w:pPr>
              <w:pStyle w:val="Listenabsatz"/>
              <w:numPr>
                <w:ilvl w:val="1"/>
                <w:numId w:val="5"/>
              </w:numPr>
              <w:ind w:left="907" w:hanging="340"/>
              <w:rPr>
                <w:sz w:val="22"/>
                <w:szCs w:val="22"/>
              </w:rPr>
            </w:pPr>
            <w:r>
              <w:rPr>
                <w:sz w:val="22"/>
                <w:szCs w:val="22"/>
              </w:rPr>
              <w:t>Soll ausschließlich an die BL kommuniziert werden</w:t>
            </w:r>
          </w:p>
          <w:p>
            <w:pPr>
              <w:pStyle w:val="Listenabsatz"/>
              <w:numPr>
                <w:ilvl w:val="1"/>
                <w:numId w:val="5"/>
              </w:numPr>
              <w:ind w:left="907" w:hanging="340"/>
              <w:rPr>
                <w:sz w:val="22"/>
                <w:szCs w:val="22"/>
              </w:rPr>
            </w:pPr>
            <w:r>
              <w:rPr>
                <w:sz w:val="22"/>
                <w:szCs w:val="22"/>
              </w:rPr>
              <w:t>Anregung, die Isolation bei Infektion außerhalb der Familie durchzuführen</w:t>
            </w:r>
          </w:p>
          <w:p>
            <w:pPr>
              <w:pStyle w:val="Listenabsatz"/>
              <w:numPr>
                <w:ilvl w:val="1"/>
                <w:numId w:val="5"/>
              </w:numPr>
              <w:ind w:left="907" w:hanging="340"/>
              <w:rPr>
                <w:sz w:val="22"/>
                <w:szCs w:val="22"/>
              </w:rPr>
            </w:pPr>
            <w:r>
              <w:rPr>
                <w:sz w:val="22"/>
                <w:szCs w:val="22"/>
              </w:rPr>
              <w:t>Ethische und soziale Herausforderungen, insbesondere für Bevölkerungsgruppen, die die Trennung von erkrankten Haushaltsmitgliedern als besondere Härte empfinden</w:t>
            </w:r>
          </w:p>
          <w:p>
            <w:pPr>
              <w:pStyle w:val="Listenabsatz"/>
              <w:numPr>
                <w:ilvl w:val="1"/>
                <w:numId w:val="5"/>
              </w:numPr>
              <w:ind w:left="907" w:hanging="340"/>
              <w:rPr>
                <w:sz w:val="22"/>
                <w:szCs w:val="22"/>
              </w:rPr>
            </w:pPr>
            <w:r>
              <w:rPr>
                <w:sz w:val="22"/>
                <w:szCs w:val="22"/>
              </w:rPr>
              <w:t>Juristische Stellungnahme (J-M. Mehlitz) wird noch erwartet</w:t>
            </w:r>
          </w:p>
          <w:p>
            <w:pPr>
              <w:pStyle w:val="Listenabsatz"/>
              <w:numPr>
                <w:ilvl w:val="1"/>
                <w:numId w:val="5"/>
              </w:numPr>
              <w:ind w:left="907" w:hanging="340"/>
              <w:rPr>
                <w:sz w:val="22"/>
                <w:szCs w:val="22"/>
              </w:rPr>
            </w:pPr>
            <w:r>
              <w:rPr>
                <w:sz w:val="22"/>
                <w:szCs w:val="22"/>
              </w:rPr>
              <w:t xml:space="preserve">Formulierung „sollte erwogen werden“ soll geändert werden zu „kann erwogen werden“, das entspricht der Formulierung im Dokument zur </w:t>
            </w:r>
            <w:proofErr w:type="spellStart"/>
            <w:r>
              <w:rPr>
                <w:sz w:val="22"/>
                <w:szCs w:val="22"/>
              </w:rPr>
              <w:t>KoNa</w:t>
            </w:r>
            <w:proofErr w:type="spellEnd"/>
            <w:r>
              <w:rPr>
                <w:sz w:val="22"/>
                <w:szCs w:val="22"/>
              </w:rPr>
              <w:t xml:space="preserve"> </w:t>
            </w:r>
          </w:p>
          <w:p>
            <w:pPr>
              <w:pStyle w:val="Listenabsatz"/>
              <w:numPr>
                <w:ilvl w:val="1"/>
                <w:numId w:val="5"/>
              </w:numPr>
              <w:ind w:left="907" w:hanging="340"/>
              <w:rPr>
                <w:sz w:val="22"/>
                <w:szCs w:val="22"/>
              </w:rPr>
            </w:pPr>
            <w:r>
              <w:rPr>
                <w:sz w:val="22"/>
                <w:szCs w:val="22"/>
              </w:rPr>
              <w:t xml:space="preserve">Frage: Welche Settings kommen für die Isolierung in Frage? </w:t>
            </w:r>
          </w:p>
          <w:p>
            <w:pPr>
              <w:pStyle w:val="Listenabsatz"/>
              <w:ind w:left="907"/>
              <w:rPr>
                <w:sz w:val="22"/>
                <w:szCs w:val="22"/>
              </w:rPr>
            </w:pPr>
            <w:r>
              <w:rPr>
                <w:sz w:val="22"/>
                <w:szCs w:val="22"/>
              </w:rPr>
              <w:t>Kann es ein „geeigneter Haushalt“ sein oder ist es ein außerhalb familiärer Kontexte überwachter Bereich mit standardisierten Hygienebedingungen?</w:t>
            </w:r>
          </w:p>
          <w:p>
            <w:pPr>
              <w:numPr>
                <w:ilvl w:val="1"/>
                <w:numId w:val="5"/>
              </w:numPr>
              <w:spacing w:after="200"/>
              <w:ind w:left="907" w:hanging="340"/>
              <w:contextualSpacing/>
              <w:rPr>
                <w:sz w:val="22"/>
                <w:szCs w:val="22"/>
              </w:rPr>
            </w:pPr>
            <w:r>
              <w:rPr>
                <w:sz w:val="22"/>
                <w:szCs w:val="22"/>
              </w:rPr>
              <w:t xml:space="preserve">Im Vordergrund sollte der Schutz der Familienmitglieder stehen, nicht die Überwachung </w:t>
            </w:r>
          </w:p>
          <w:p>
            <w:pPr>
              <w:numPr>
                <w:ilvl w:val="1"/>
                <w:numId w:val="5"/>
              </w:numPr>
              <w:spacing w:after="200"/>
              <w:ind w:left="907" w:hanging="340"/>
              <w:contextualSpacing/>
              <w:rPr>
                <w:sz w:val="22"/>
                <w:szCs w:val="22"/>
              </w:rPr>
            </w:pPr>
            <w:r>
              <w:rPr>
                <w:sz w:val="22"/>
                <w:szCs w:val="22"/>
              </w:rPr>
              <w:t>Kinder und Pflegebedürftige werden in dem Dokument bisher nur indirekt (Betreuungsbedarf) adressiert, Kinder sollten erwähnt werden</w:t>
            </w:r>
          </w:p>
          <w:p>
            <w:pPr>
              <w:spacing w:after="200"/>
              <w:ind w:left="907"/>
              <w:contextualSpacing/>
              <w:rPr>
                <w:sz w:val="22"/>
                <w:szCs w:val="22"/>
              </w:rPr>
            </w:pPr>
          </w:p>
          <w:p>
            <w:pPr>
              <w:rPr>
                <w:i/>
                <w:sz w:val="22"/>
                <w:szCs w:val="22"/>
              </w:rPr>
            </w:pPr>
            <w:proofErr w:type="spellStart"/>
            <w:r>
              <w:rPr>
                <w:i/>
                <w:sz w:val="22"/>
                <w:szCs w:val="22"/>
              </w:rPr>
              <w:t>ToDo</w:t>
            </w:r>
            <w:proofErr w:type="spellEnd"/>
            <w:r>
              <w:rPr>
                <w:i/>
                <w:sz w:val="22"/>
                <w:szCs w:val="22"/>
              </w:rPr>
              <w:t xml:space="preserve">: Dokument soll nach Änderung im Krisenstab zirkuliert werden, </w:t>
            </w:r>
          </w:p>
          <w:p>
            <w:pPr>
              <w:rPr>
                <w:i/>
                <w:sz w:val="22"/>
                <w:szCs w:val="22"/>
              </w:rPr>
            </w:pPr>
            <w:r>
              <w:rPr>
                <w:i/>
                <w:sz w:val="22"/>
                <w:szCs w:val="22"/>
              </w:rPr>
              <w:t xml:space="preserve">Abstimmungsbedarf (evtl. nach Rechtsgutachten nicht nötig?) mit BMG muss noch geklärt werden (da öffentliche Wahrnehmung kritisch sein könnte)   </w:t>
            </w:r>
          </w:p>
          <w:p>
            <w:pPr>
              <w:rPr>
                <w:sz w:val="22"/>
                <w:szCs w:val="22"/>
              </w:rPr>
            </w:pPr>
          </w:p>
        </w:tc>
        <w:tc>
          <w:tcPr>
            <w:tcW w:w="1492" w:type="dxa"/>
          </w:tcPr>
          <w:p>
            <w:pPr>
              <w:rPr>
                <w:sz w:val="22"/>
                <w:szCs w:val="22"/>
              </w:rPr>
            </w:pPr>
          </w:p>
          <w:p>
            <w:pPr>
              <w:rPr>
                <w:sz w:val="22"/>
                <w:szCs w:val="22"/>
              </w:rPr>
            </w:pPr>
            <w:r>
              <w:rPr>
                <w:sz w:val="22"/>
                <w:szCs w:val="22"/>
              </w:rPr>
              <w:t>IBBS (C. Herzog)</w:t>
            </w: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C. Herzog, L. Schaade</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sz w:val="22"/>
                <w:szCs w:val="22"/>
              </w:rPr>
              <w:t xml:space="preserve">Nicht besprochen </w:t>
            </w:r>
          </w:p>
          <w:p>
            <w:pPr>
              <w:pStyle w:val="Listenabsatz"/>
              <w:ind w:left="907"/>
              <w:rPr>
                <w:sz w:val="22"/>
              </w:rPr>
            </w:pPr>
          </w:p>
        </w:tc>
        <w:tc>
          <w:tcPr>
            <w:tcW w:w="1492" w:type="dxa"/>
          </w:tcPr>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sz w:val="22"/>
                <w:szCs w:val="22"/>
              </w:rPr>
              <w:t>(nur freitags)</w:t>
            </w:r>
          </w:p>
          <w:p>
            <w:pPr>
              <w:pStyle w:val="Listenabsatz"/>
              <w:numPr>
                <w:ilvl w:val="0"/>
                <w:numId w:val="5"/>
              </w:numPr>
              <w:ind w:left="453" w:hanging="340"/>
              <w:rPr>
                <w:sz w:val="22"/>
              </w:rPr>
            </w:pPr>
            <w:r>
              <w:rPr>
                <w:sz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sz w:val="22"/>
                <w:szCs w:val="22"/>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09.04.2021,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F7700C3"/>
    <w:multiLevelType w:val="hybridMultilevel"/>
    <w:tmpl w:val="5838F1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916AFD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203271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2D2DDE"/>
    <w:multiLevelType w:val="hybridMultilevel"/>
    <w:tmpl w:val="C9FA2C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C0587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08A837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9A74D46"/>
    <w:multiLevelType w:val="hybridMultilevel"/>
    <w:tmpl w:val="68389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095C62"/>
    <w:multiLevelType w:val="hybridMultilevel"/>
    <w:tmpl w:val="49AA71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256C49"/>
    <w:multiLevelType w:val="hybridMultilevel"/>
    <w:tmpl w:val="12DAA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E31650"/>
    <w:multiLevelType w:val="hybridMultilevel"/>
    <w:tmpl w:val="5EEA8D12"/>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4"/>
  </w:num>
  <w:num w:numId="4">
    <w:abstractNumId w:val="21"/>
  </w:num>
  <w:num w:numId="5">
    <w:abstractNumId w:val="10"/>
  </w:num>
  <w:num w:numId="6">
    <w:abstractNumId w:val="23"/>
  </w:num>
  <w:num w:numId="7">
    <w:abstractNumId w:val="28"/>
  </w:num>
  <w:num w:numId="8">
    <w:abstractNumId w:val="16"/>
  </w:num>
  <w:num w:numId="9">
    <w:abstractNumId w:val="6"/>
  </w:num>
  <w:num w:numId="10">
    <w:abstractNumId w:val="33"/>
  </w:num>
  <w:num w:numId="11">
    <w:abstractNumId w:val="27"/>
  </w:num>
  <w:num w:numId="12">
    <w:abstractNumId w:val="18"/>
  </w:num>
  <w:num w:numId="13">
    <w:abstractNumId w:val="15"/>
  </w:num>
  <w:num w:numId="14">
    <w:abstractNumId w:val="24"/>
  </w:num>
  <w:num w:numId="15">
    <w:abstractNumId w:val="19"/>
  </w:num>
  <w:num w:numId="16">
    <w:abstractNumId w:val="0"/>
  </w:num>
  <w:num w:numId="17">
    <w:abstractNumId w:val="14"/>
  </w:num>
  <w:num w:numId="18">
    <w:abstractNumId w:val="31"/>
  </w:num>
  <w:num w:numId="19">
    <w:abstractNumId w:val="12"/>
  </w:num>
  <w:num w:numId="20">
    <w:abstractNumId w:val="29"/>
  </w:num>
  <w:num w:numId="21">
    <w:abstractNumId w:val="9"/>
  </w:num>
  <w:num w:numId="22">
    <w:abstractNumId w:val="11"/>
  </w:num>
  <w:num w:numId="23">
    <w:abstractNumId w:val="2"/>
  </w:num>
  <w:num w:numId="24">
    <w:abstractNumId w:val="25"/>
  </w:num>
  <w:num w:numId="25">
    <w:abstractNumId w:val="17"/>
  </w:num>
  <w:num w:numId="26">
    <w:abstractNumId w:val="1"/>
  </w:num>
  <w:num w:numId="27">
    <w:abstractNumId w:val="26"/>
  </w:num>
  <w:num w:numId="28">
    <w:abstractNumId w:val="32"/>
  </w:num>
  <w:num w:numId="29">
    <w:abstractNumId w:val="20"/>
  </w:num>
  <w:num w:numId="30">
    <w:abstractNumId w:val="22"/>
  </w:num>
  <w:num w:numId="31">
    <w:abstractNumId w:val="7"/>
  </w:num>
  <w:num w:numId="32">
    <w:abstractNumId w:val="3"/>
  </w:num>
  <w:num w:numId="33">
    <w:abstractNumId w:val="8"/>
  </w:num>
  <w:num w:numId="3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4343928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4-07_Lage_AG\Kontaktpersonenmanagement_2021_04_07-MA.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4-07_Lage_AG\NRZ%20Influenzaviren%20Krisenstab%2007042021.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3-31_Lage_AG\syndrom-ARE-SARI-COVID_bis_KW12_2021_f&#252;r-Krisenstab.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4-07_Lage_AG\Testzahlerfassung%20am%20RKI_2021-04-07.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4-07_Lage_AG\Lage-National_2021-04-07.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382D-4B56-49EE-BE29-0BC035B3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2537</Words>
  <Characters>15988</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3</cp:revision>
  <cp:lastPrinted>2020-05-06T16:43:00Z</cp:lastPrinted>
  <dcterms:created xsi:type="dcterms:W3CDTF">2021-04-07T20:48:00Z</dcterms:created>
  <dcterms:modified xsi:type="dcterms:W3CDTF">2021-05-10T15:28:00Z</dcterms:modified>
</cp:coreProperties>
</file>