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09.04.2021,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 xml:space="preserve">RKI, </w:t>
          </w:r>
          <w:proofErr w:type="spellStart"/>
          <w:r>
            <w:rPr>
              <w:rFonts w:cs="Arial"/>
              <w:sz w:val="20"/>
              <w:szCs w:val="20"/>
            </w:rPr>
            <w:t>Webex</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bookmarkStart w:id="1" w:name="_Hlk69485706"/>
      <w:r>
        <w:rPr>
          <w:sz w:val="22"/>
        </w:rPr>
        <w:t>Abt. 1 Leitung</w:t>
      </w:r>
    </w:p>
    <w:bookmarkEnd w:id="1"/>
    <w:p>
      <w:pPr>
        <w:pStyle w:val="Listenabsatz"/>
        <w:numPr>
          <w:ilvl w:val="1"/>
          <w:numId w:val="2"/>
        </w:numPr>
        <w:spacing w:after="0"/>
        <w:contextualSpacing w:val="0"/>
        <w:rPr>
          <w:sz w:val="22"/>
        </w:rPr>
      </w:pPr>
      <w:r>
        <w:rPr>
          <w:sz w:val="22"/>
        </w:rPr>
        <w:t>Annette Mankertz</w:t>
      </w:r>
    </w:p>
    <w:p>
      <w:pPr>
        <w:pStyle w:val="Listenabsatz"/>
        <w:numPr>
          <w:ilvl w:val="0"/>
          <w:numId w:val="2"/>
        </w:numPr>
        <w:spacing w:after="0"/>
        <w:contextualSpacing w:val="0"/>
        <w:rPr>
          <w:sz w:val="22"/>
        </w:rPr>
      </w:pPr>
      <w:bookmarkStart w:id="2" w:name="_Hlk69485669"/>
      <w:r>
        <w:rPr>
          <w:sz w:val="22"/>
        </w:rPr>
        <w:t>Abt. 2 Leitung</w:t>
      </w:r>
    </w:p>
    <w:bookmarkEnd w:id="2"/>
    <w:p>
      <w:pPr>
        <w:pStyle w:val="Listenabsatz"/>
        <w:numPr>
          <w:ilvl w:val="1"/>
          <w:numId w:val="2"/>
        </w:numPr>
        <w:spacing w:after="0"/>
        <w:contextualSpacing w:val="0"/>
        <w:rPr>
          <w:sz w:val="22"/>
        </w:rPr>
      </w:pPr>
      <w:r>
        <w:rPr>
          <w:sz w:val="22"/>
        </w:rPr>
        <w:t>Thomas Ziese</w:t>
      </w:r>
    </w:p>
    <w:p>
      <w:pPr>
        <w:pStyle w:val="Listenabsatz"/>
        <w:numPr>
          <w:ilvl w:val="0"/>
          <w:numId w:val="2"/>
        </w:numPr>
        <w:spacing w:after="0"/>
        <w:contextualSpacing w:val="0"/>
        <w:rPr>
          <w:sz w:val="22"/>
        </w:rPr>
      </w:pPr>
      <w:r>
        <w:rPr>
          <w:sz w:val="22"/>
        </w:rPr>
        <w:t>Abt. 3 Leitung-Bereich</w:t>
      </w:r>
    </w:p>
    <w:p>
      <w:pPr>
        <w:pStyle w:val="Listenabsatz"/>
        <w:numPr>
          <w:ilvl w:val="1"/>
          <w:numId w:val="2"/>
        </w:numPr>
        <w:spacing w:after="0"/>
        <w:contextualSpacing w:val="0"/>
        <w:rPr>
          <w:sz w:val="22"/>
        </w:rPr>
      </w:pPr>
      <w:r>
        <w:rPr>
          <w:sz w:val="22"/>
        </w:rPr>
        <w:t>Tanja Jung-Sendzik</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Dschin-Je Oh</w:t>
      </w:r>
    </w:p>
    <w:p>
      <w:pPr>
        <w:pStyle w:val="Listenabsatz"/>
        <w:spacing w:after="0"/>
        <w:rPr>
          <w:sz w:val="22"/>
          <w:highlight w:val="yellow"/>
        </w:rPr>
      </w:pPr>
    </w:p>
    <w:p>
      <w:pPr>
        <w:pStyle w:val="Listenabsatz"/>
        <w:numPr>
          <w:ilvl w:val="0"/>
          <w:numId w:val="5"/>
        </w:numPr>
        <w:spacing w:after="0"/>
        <w:contextualSpacing w:val="0"/>
        <w:rPr>
          <w:sz w:val="22"/>
        </w:rPr>
      </w:pPr>
      <w:r>
        <w:rPr>
          <w:sz w:val="22"/>
        </w:rPr>
        <w:t>FG 32</w:t>
      </w:r>
    </w:p>
    <w:p>
      <w:pPr>
        <w:pStyle w:val="Listenabsatz"/>
        <w:numPr>
          <w:ilvl w:val="1"/>
          <w:numId w:val="5"/>
        </w:numPr>
        <w:spacing w:after="0"/>
        <w:contextualSpacing w:val="0"/>
        <w:rPr>
          <w:sz w:val="22"/>
        </w:rPr>
      </w:pPr>
      <w:r>
        <w:rPr>
          <w:sz w:val="22"/>
        </w:rPr>
        <w:t>Michaela Diercke</w:t>
      </w:r>
    </w:p>
    <w:p>
      <w:pPr>
        <w:pStyle w:val="Listenabsatz"/>
        <w:numPr>
          <w:ilvl w:val="0"/>
          <w:numId w:val="5"/>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Ole Wichmann</w:t>
      </w:r>
    </w:p>
    <w:p>
      <w:pPr>
        <w:pStyle w:val="Listenabsatz"/>
        <w:spacing w:after="0"/>
        <w:ind w:left="1440"/>
        <w:contextualSpacing w:val="0"/>
        <w:rPr>
          <w:sz w:val="22"/>
        </w:rPr>
      </w:pP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Lena Bös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33"/>
        </w:numPr>
        <w:spacing w:after="0"/>
        <w:rPr>
          <w:sz w:val="22"/>
        </w:rPr>
      </w:pPr>
      <w:r>
        <w:rPr>
          <w:sz w:val="22"/>
        </w:rPr>
        <w:t>P1</w:t>
      </w:r>
    </w:p>
    <w:p>
      <w:pPr>
        <w:pStyle w:val="Listenabsatz"/>
        <w:numPr>
          <w:ilvl w:val="1"/>
          <w:numId w:val="2"/>
        </w:numPr>
        <w:spacing w:after="0"/>
        <w:rPr>
          <w:sz w:val="22"/>
        </w:rPr>
      </w:pPr>
      <w:r>
        <w:t>Mirjam Jenny</w:t>
      </w:r>
    </w:p>
    <w:p>
      <w:pPr>
        <w:pStyle w:val="Listenabsatz"/>
        <w:numPr>
          <w:ilvl w:val="0"/>
          <w:numId w:val="33"/>
        </w:numPr>
        <w:spacing w:after="0"/>
        <w:rPr>
          <w:sz w:val="22"/>
        </w:rPr>
      </w:pPr>
      <w:r>
        <w:rPr>
          <w:sz w:val="22"/>
        </w:rPr>
        <w:t>P4</w:t>
      </w:r>
    </w:p>
    <w:p>
      <w:pPr>
        <w:pStyle w:val="Listenabsatz"/>
        <w:numPr>
          <w:ilvl w:val="1"/>
          <w:numId w:val="2"/>
        </w:numPr>
        <w:spacing w:after="0"/>
        <w:rPr>
          <w:sz w:val="22"/>
        </w:rPr>
      </w:pPr>
      <w:r>
        <w:rPr>
          <w:sz w:val="22"/>
        </w:rPr>
        <w:t>Susi Gottwald</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 INIG</w:t>
      </w:r>
    </w:p>
    <w:p>
      <w:pPr>
        <w:pStyle w:val="Listenabsatz"/>
        <w:numPr>
          <w:ilvl w:val="1"/>
          <w:numId w:val="2"/>
        </w:numPr>
        <w:spacing w:after="0"/>
        <w:contextualSpacing w:val="0"/>
        <w:rPr>
          <w:sz w:val="22"/>
        </w:rPr>
      </w:pPr>
      <w:r>
        <w:rPr>
          <w:sz w:val="22"/>
        </w:rPr>
        <w:t>Angela Fehr</w:t>
      </w:r>
    </w:p>
    <w:p>
      <w:pPr>
        <w:pStyle w:val="Listenabsatz"/>
        <w:numPr>
          <w:ilvl w:val="1"/>
          <w:numId w:val="2"/>
        </w:numPr>
        <w:spacing w:after="0"/>
        <w:contextualSpacing w:val="0"/>
        <w:rPr>
          <w:sz w:val="22"/>
        </w:rPr>
      </w:pPr>
      <w:r>
        <w:rPr>
          <w:sz w:val="22"/>
        </w:rPr>
        <w:t>Eugenia Romo Ventura</w:t>
      </w:r>
    </w:p>
    <w:p>
      <w:pPr>
        <w:pStyle w:val="Listenabsatz"/>
        <w:numPr>
          <w:ilvl w:val="0"/>
          <w:numId w:val="2"/>
        </w:numPr>
        <w:spacing w:after="0"/>
        <w:contextualSpacing w:val="0"/>
        <w:rPr>
          <w:sz w:val="22"/>
        </w:rPr>
      </w:pPr>
      <w:r>
        <w:rPr>
          <w:sz w:val="22"/>
        </w:rPr>
        <w:t>MF4</w:t>
      </w:r>
    </w:p>
    <w:p>
      <w:pPr>
        <w:pStyle w:val="Listenabsatz"/>
        <w:numPr>
          <w:ilvl w:val="1"/>
          <w:numId w:val="2"/>
        </w:numPr>
        <w:spacing w:after="0"/>
        <w:rPr>
          <w:sz w:val="22"/>
        </w:rPr>
      </w:pPr>
      <w:r>
        <w:rPr>
          <w:sz w:val="22"/>
        </w:rPr>
        <w:t>Martina Fischer</w:t>
      </w:r>
    </w:p>
    <w:p>
      <w:pPr>
        <w:pStyle w:val="Listenabsatz"/>
        <w:numPr>
          <w:ilvl w:val="0"/>
          <w:numId w:val="2"/>
        </w:numPr>
        <w:spacing w:after="0"/>
        <w:contextualSpacing w:val="0"/>
        <w:rPr>
          <w:sz w:val="22"/>
        </w:rPr>
      </w:pPr>
      <w:r>
        <w:rPr>
          <w:sz w:val="22"/>
        </w:rPr>
        <w:t>BZgA</w:t>
      </w:r>
    </w:p>
    <w:p>
      <w:pPr>
        <w:pStyle w:val="Listenabsatz"/>
        <w:numPr>
          <w:ilvl w:val="1"/>
          <w:numId w:val="2"/>
        </w:numPr>
        <w:spacing w:after="0"/>
        <w:contextualSpacing w:val="0"/>
        <w:rPr>
          <w:sz w:val="22"/>
        </w:rPr>
      </w:pPr>
      <w:r>
        <w:t xml:space="preserve">Heide </w:t>
      </w:r>
      <w:proofErr w:type="spellStart"/>
      <w:r>
        <w:t>Ebrahimzadeh</w:t>
      </w:r>
      <w:proofErr w:type="spellEnd"/>
      <w:r>
        <w:t>-Wetter</w:t>
      </w:r>
    </w:p>
    <w:p>
      <w:pPr>
        <w:pStyle w:val="Listenabsatz"/>
        <w:numPr>
          <w:ilvl w:val="0"/>
          <w:numId w:val="2"/>
        </w:numPr>
        <w:spacing w:after="0"/>
        <w:contextualSpacing w:val="0"/>
        <w:rPr>
          <w:sz w:val="22"/>
        </w:rPr>
      </w:pPr>
      <w:r>
        <w:rPr>
          <w:sz w:val="22"/>
        </w:rPr>
        <w:t>Abt.1</w:t>
      </w:r>
    </w:p>
    <w:p>
      <w:pPr>
        <w:pStyle w:val="Listenabsatz"/>
        <w:numPr>
          <w:ilvl w:val="1"/>
          <w:numId w:val="2"/>
        </w:numPr>
        <w:spacing w:after="0"/>
        <w:contextualSpacing w:val="0"/>
        <w:rPr>
          <w:sz w:val="22"/>
        </w:rPr>
      </w:pPr>
      <w:r>
        <w:rPr>
          <w:sz w:val="22"/>
        </w:rPr>
        <w:t xml:space="preserve">Sangeeta Banerji (Protokoll) </w:t>
      </w:r>
    </w:p>
    <w:p>
      <w:pPr>
        <w:spacing w:after="0"/>
      </w:pPr>
    </w:p>
    <w:p>
      <w:pPr>
        <w:pStyle w:val="Listenabsatz"/>
        <w:numPr>
          <w:ilvl w:val="0"/>
          <w:numId w:val="2"/>
        </w:numPr>
        <w:spacing w:after="0"/>
        <w:sectPr>
          <w:type w:val="continuous"/>
          <w:pgSz w:w="11900" w:h="16840"/>
          <w:pgMar w:top="1440" w:right="1800" w:bottom="1440" w:left="1800" w:header="708" w:footer="708" w:gutter="0"/>
          <w:cols w:num="2" w:space="708"/>
        </w:sectPr>
      </w:pPr>
    </w:p>
    <w:p>
      <w:pPr>
        <w:spacing w:after="0"/>
      </w:pPr>
      <w:r>
        <w:br w:type="page"/>
      </w:r>
    </w:p>
    <w:p/>
    <w:tbl>
      <w:tblPr>
        <w:tblStyle w:val="Tabellenraster"/>
        <w:tblW w:w="8971" w:type="dxa"/>
        <w:tblLayout w:type="fixed"/>
        <w:tblLook w:val="00A0" w:firstRow="1" w:lastRow="0" w:firstColumn="1" w:lastColumn="0" w:noHBand="0" w:noVBand="0"/>
      </w:tblPr>
      <w:tblGrid>
        <w:gridCol w:w="684"/>
        <w:gridCol w:w="6682"/>
        <w:gridCol w:w="1605"/>
      </w:tblGrid>
      <w:tr>
        <w:tc>
          <w:tcPr>
            <w:tcW w:w="684" w:type="dxa"/>
          </w:tcPr>
          <w:p>
            <w:pPr>
              <w:rPr>
                <w:b/>
                <w:sz w:val="22"/>
                <w:szCs w:val="22"/>
              </w:rPr>
            </w:pPr>
            <w:r>
              <w:rPr>
                <w:b/>
                <w:sz w:val="22"/>
                <w:szCs w:val="22"/>
              </w:rPr>
              <w:t>TOP</w:t>
            </w:r>
          </w:p>
        </w:tc>
        <w:tc>
          <w:tcPr>
            <w:tcW w:w="6682" w:type="dxa"/>
          </w:tcPr>
          <w:p>
            <w:pPr>
              <w:rPr>
                <w:b/>
                <w:sz w:val="22"/>
                <w:szCs w:val="22"/>
              </w:rPr>
            </w:pPr>
            <w:r>
              <w:rPr>
                <w:b/>
                <w:sz w:val="22"/>
                <w:szCs w:val="22"/>
              </w:rPr>
              <w:t>Beitrag/Thema</w:t>
            </w:r>
          </w:p>
        </w:tc>
        <w:tc>
          <w:tcPr>
            <w:tcW w:w="1605" w:type="dxa"/>
          </w:tcPr>
          <w:p>
            <w:pPr>
              <w:rPr>
                <w:b/>
                <w:sz w:val="22"/>
                <w:szCs w:val="22"/>
              </w:rPr>
            </w:pPr>
            <w:r>
              <w:rPr>
                <w:b/>
                <w:sz w:val="22"/>
                <w:szCs w:val="22"/>
              </w:rPr>
              <w:t>eingebracht von</w:t>
            </w:r>
          </w:p>
        </w:tc>
      </w:tr>
      <w:tr>
        <w:trPr>
          <w:trHeight w:val="5031"/>
        </w:trPr>
        <w:tc>
          <w:tcPr>
            <w:tcW w:w="684" w:type="dxa"/>
          </w:tcPr>
          <w:p>
            <w:pPr>
              <w:rPr>
                <w:b/>
                <w:sz w:val="22"/>
                <w:szCs w:val="22"/>
              </w:rPr>
            </w:pPr>
            <w:r>
              <w:rPr>
                <w:b/>
                <w:sz w:val="22"/>
                <w:szCs w:val="22"/>
              </w:rPr>
              <w:t>1</w:t>
            </w:r>
          </w:p>
        </w:tc>
        <w:tc>
          <w:tcPr>
            <w:tcW w:w="6682" w:type="dxa"/>
          </w:tcPr>
          <w:p>
            <w:pPr>
              <w:rPr>
                <w:b/>
                <w:sz w:val="22"/>
                <w:szCs w:val="22"/>
              </w:rPr>
            </w:pPr>
            <w:r>
              <w:rPr>
                <w:b/>
                <w:sz w:val="22"/>
                <w:szCs w:val="22"/>
              </w:rPr>
              <w:t>Aktuelle Lage</w:t>
            </w:r>
          </w:p>
          <w:p>
            <w:pPr>
              <w:pStyle w:val="Listenabsatz"/>
              <w:numPr>
                <w:ilvl w:val="0"/>
                <w:numId w:val="27"/>
              </w:numPr>
              <w:rPr>
                <w:sz w:val="22"/>
                <w:szCs w:val="22"/>
              </w:rPr>
            </w:pPr>
            <w:r>
              <w:rPr>
                <w:sz w:val="22"/>
                <w:szCs w:val="22"/>
              </w:rPr>
              <w:t>International (nicht besprochen)</w:t>
            </w:r>
          </w:p>
          <w:p>
            <w:pPr>
              <w:pStyle w:val="Listenabsatz"/>
              <w:numPr>
                <w:ilvl w:val="1"/>
                <w:numId w:val="27"/>
              </w:numPr>
              <w:rPr>
                <w:sz w:val="22"/>
                <w:szCs w:val="22"/>
              </w:rPr>
            </w:pPr>
            <w:r>
              <w:rPr>
                <w:sz w:val="22"/>
                <w:szCs w:val="22"/>
              </w:rPr>
              <w:t>Fälle, Ausbreitung</w:t>
            </w:r>
          </w:p>
          <w:p>
            <w:pPr>
              <w:pStyle w:val="Listenabsatz"/>
              <w:numPr>
                <w:ilvl w:val="0"/>
                <w:numId w:val="27"/>
              </w:numPr>
              <w:rPr>
                <w:sz w:val="22"/>
                <w:szCs w:val="22"/>
              </w:rPr>
            </w:pPr>
            <w:r>
              <w:rPr>
                <w:sz w:val="22"/>
                <w:szCs w:val="22"/>
              </w:rPr>
              <w:t xml:space="preserve">National (Folien </w:t>
            </w:r>
            <w:hyperlink r:id="rId14" w:history="1">
              <w:r>
                <w:rPr>
                  <w:rStyle w:val="Hyperlink"/>
                  <w:sz w:val="22"/>
                  <w:szCs w:val="22"/>
                </w:rPr>
                <w:t>hier</w:t>
              </w:r>
            </w:hyperlink>
            <w:r>
              <w:rPr>
                <w:sz w:val="22"/>
                <w:szCs w:val="22"/>
              </w:rPr>
              <w:t>)</w:t>
            </w:r>
          </w:p>
          <w:p>
            <w:pPr>
              <w:pStyle w:val="Listenabsatz"/>
              <w:numPr>
                <w:ilvl w:val="1"/>
                <w:numId w:val="27"/>
              </w:numPr>
              <w:rPr>
                <w:sz w:val="22"/>
                <w:szCs w:val="22"/>
              </w:rPr>
            </w:pPr>
            <w:r>
              <w:rPr>
                <w:sz w:val="22"/>
                <w:szCs w:val="22"/>
              </w:rPr>
              <w:t>Fallzahlen: 110/100.000 EW (+25.000 Fälle und +300 Todesfälle seit Vortag)</w:t>
            </w:r>
          </w:p>
          <w:p>
            <w:pPr>
              <w:pStyle w:val="Listenabsatz"/>
              <w:numPr>
                <w:ilvl w:val="1"/>
                <w:numId w:val="27"/>
              </w:numPr>
              <w:rPr>
                <w:sz w:val="22"/>
                <w:szCs w:val="22"/>
              </w:rPr>
            </w:pPr>
            <w:r>
              <w:rPr>
                <w:sz w:val="22"/>
                <w:szCs w:val="22"/>
              </w:rPr>
              <w:t>Anstieg intensivmedizinischer Fälle</w:t>
            </w:r>
          </w:p>
          <w:p>
            <w:pPr>
              <w:pStyle w:val="Listenabsatz"/>
              <w:numPr>
                <w:ilvl w:val="1"/>
                <w:numId w:val="27"/>
              </w:numPr>
              <w:rPr>
                <w:sz w:val="22"/>
                <w:szCs w:val="22"/>
              </w:rPr>
            </w:pPr>
            <w:r>
              <w:rPr>
                <w:sz w:val="22"/>
                <w:szCs w:val="22"/>
              </w:rPr>
              <w:t xml:space="preserve">7d-Inzidenz der Bundesländer wird vermutlich wieder ansteigen:  Top 3: Thüringen Sachsen, Sachsen-Anhalt, Anstieg in Bayern, Bremen und Saarland. </w:t>
            </w:r>
          </w:p>
          <w:p>
            <w:pPr>
              <w:pStyle w:val="Listenabsatz"/>
              <w:numPr>
                <w:ilvl w:val="1"/>
                <w:numId w:val="27"/>
              </w:numPr>
              <w:rPr>
                <w:sz w:val="22"/>
                <w:szCs w:val="22"/>
              </w:rPr>
            </w:pPr>
            <w:r>
              <w:rPr>
                <w:sz w:val="22"/>
                <w:szCs w:val="22"/>
              </w:rPr>
              <w:t>Geografische Verteilung der 7d-Inzidenzen nach LK: 19 LK&lt;50/100.000 EW, &gt;200 LK &gt;100/100.000 EW, SK/LK Hof sowie Greiz die höchsten Inzidenzen</w:t>
            </w:r>
          </w:p>
          <w:p>
            <w:pPr>
              <w:pStyle w:val="Listenabsatz"/>
              <w:numPr>
                <w:ilvl w:val="1"/>
                <w:numId w:val="27"/>
              </w:numPr>
              <w:rPr>
                <w:sz w:val="22"/>
                <w:szCs w:val="22"/>
              </w:rPr>
            </w:pPr>
            <w:r>
              <w:rPr>
                <w:sz w:val="22"/>
                <w:szCs w:val="22"/>
              </w:rPr>
              <w:t>Altersmediane: ca. 40 Jahre bei COVID-19-Fällen gesamt, ca. 66/67 Jahren bei Fällen auf ITS/in Hospitalisierung, ca. 81/82 bei Todesfällen</w:t>
            </w:r>
          </w:p>
          <w:p>
            <w:pPr>
              <w:pStyle w:val="Listenabsatz"/>
              <w:ind w:left="1440"/>
              <w:rPr>
                <w:sz w:val="22"/>
                <w:szCs w:val="22"/>
              </w:rPr>
            </w:pPr>
            <w:r>
              <w:rPr>
                <w:sz w:val="22"/>
                <w:szCs w:val="22"/>
              </w:rPr>
              <w:t>Bemerkung: Es ist keine Altersverschiebung der ITS Patienten nach unten zu erkennen</w:t>
            </w:r>
          </w:p>
          <w:p>
            <w:pPr>
              <w:pStyle w:val="Listenabsatz"/>
              <w:numPr>
                <w:ilvl w:val="1"/>
                <w:numId w:val="27"/>
              </w:numPr>
              <w:rPr>
                <w:sz w:val="22"/>
                <w:szCs w:val="22"/>
              </w:rPr>
            </w:pPr>
            <w:r>
              <w:rPr>
                <w:sz w:val="22"/>
                <w:szCs w:val="22"/>
              </w:rPr>
              <w:t>Todesfälle je 100.000 EW in den letzten 14d:</w:t>
            </w:r>
          </w:p>
          <w:p>
            <w:pPr>
              <w:pStyle w:val="Listenabsatz"/>
              <w:ind w:left="1440"/>
              <w:rPr>
                <w:sz w:val="22"/>
                <w:szCs w:val="22"/>
              </w:rPr>
            </w:pPr>
            <w:r>
              <w:rPr>
                <w:sz w:val="22"/>
                <w:szCs w:val="22"/>
              </w:rPr>
              <w:t>- am stärksten betroffen: LK Thüringen</w:t>
            </w:r>
          </w:p>
          <w:p>
            <w:pPr>
              <w:pStyle w:val="Listenabsatz"/>
              <w:ind w:left="1440"/>
              <w:rPr>
                <w:sz w:val="22"/>
                <w:szCs w:val="22"/>
              </w:rPr>
            </w:pPr>
            <w:r>
              <w:rPr>
                <w:sz w:val="22"/>
                <w:szCs w:val="22"/>
              </w:rPr>
              <w:t xml:space="preserve"> -Deutschlandweit: n&gt;2000</w:t>
            </w:r>
          </w:p>
          <w:p>
            <w:pPr>
              <w:pStyle w:val="Listenabsatz"/>
              <w:numPr>
                <w:ilvl w:val="1"/>
                <w:numId w:val="27"/>
              </w:numPr>
              <w:rPr>
                <w:sz w:val="22"/>
                <w:szCs w:val="22"/>
              </w:rPr>
            </w:pPr>
            <w:r>
              <w:rPr>
                <w:sz w:val="22"/>
                <w:szCs w:val="22"/>
              </w:rPr>
              <w:t xml:space="preserve">Sterbefälle im Bereich der Vorjahre, wobei zu berück sichten wäre, dass im letzten Jahr zu dieser Zeit sowohl noch Influenza-Saison war, wie auch bereits die erste Welle zum tragen kam. </w:t>
            </w:r>
          </w:p>
          <w:p>
            <w:pPr>
              <w:rPr>
                <w:sz w:val="22"/>
                <w:szCs w:val="22"/>
              </w:rPr>
            </w:pPr>
          </w:p>
          <w:p>
            <w:pPr>
              <w:pStyle w:val="Listenabsatz"/>
              <w:ind w:left="1440"/>
              <w:rPr>
                <w:sz w:val="22"/>
                <w:szCs w:val="22"/>
              </w:rPr>
            </w:pPr>
            <w:r>
              <w:rPr>
                <w:sz w:val="22"/>
                <w:szCs w:val="22"/>
              </w:rPr>
              <w:t xml:space="preserve">DIVI-Intensivregister (Folien </w:t>
            </w:r>
            <w:hyperlink r:id="rId15" w:history="1">
              <w:r>
                <w:rPr>
                  <w:rStyle w:val="Hyperlink"/>
                  <w:sz w:val="22"/>
                  <w:szCs w:val="22"/>
                </w:rPr>
                <w:t>hier</w:t>
              </w:r>
            </w:hyperlink>
            <w:r>
              <w:rPr>
                <w:sz w:val="22"/>
                <w:szCs w:val="22"/>
              </w:rPr>
              <w:t>)</w:t>
            </w:r>
          </w:p>
          <w:p>
            <w:pPr>
              <w:pStyle w:val="Listenabsatz"/>
              <w:numPr>
                <w:ilvl w:val="1"/>
                <w:numId w:val="27"/>
              </w:numPr>
              <w:rPr>
                <w:sz w:val="22"/>
                <w:szCs w:val="22"/>
              </w:rPr>
            </w:pPr>
            <w:r>
              <w:rPr>
                <w:sz w:val="22"/>
                <w:szCs w:val="22"/>
              </w:rPr>
              <w:t>4510 Fälle auf ITS</w:t>
            </w:r>
          </w:p>
          <w:p>
            <w:pPr>
              <w:pStyle w:val="Listenabsatz"/>
              <w:rPr>
                <w:sz w:val="22"/>
                <w:szCs w:val="22"/>
              </w:rPr>
            </w:pPr>
          </w:p>
          <w:p>
            <w:pPr>
              <w:pStyle w:val="Listenabsatz"/>
              <w:numPr>
                <w:ilvl w:val="1"/>
                <w:numId w:val="27"/>
              </w:numPr>
              <w:rPr>
                <w:sz w:val="22"/>
                <w:szCs w:val="22"/>
              </w:rPr>
            </w:pPr>
            <w:r>
              <w:rPr>
                <w:sz w:val="22"/>
                <w:szCs w:val="22"/>
              </w:rPr>
              <w:t>Exponentielle Anstieg der ITS Fälle bei erwachsenen COVID-19 Patienten und deutlicher Anstieg bei Kindern</w:t>
            </w:r>
          </w:p>
          <w:p>
            <w:pPr>
              <w:pStyle w:val="Listenabsatz"/>
              <w:rPr>
                <w:sz w:val="22"/>
                <w:szCs w:val="22"/>
              </w:rPr>
            </w:pPr>
          </w:p>
          <w:p>
            <w:pPr>
              <w:pStyle w:val="Listenabsatz"/>
              <w:numPr>
                <w:ilvl w:val="1"/>
                <w:numId w:val="27"/>
              </w:numPr>
              <w:rPr>
                <w:sz w:val="22"/>
                <w:szCs w:val="22"/>
              </w:rPr>
            </w:pPr>
            <w:r>
              <w:rPr>
                <w:sz w:val="22"/>
                <w:szCs w:val="22"/>
              </w:rPr>
              <w:t xml:space="preserve">Bei &gt;8 Bundesländer sind &gt;20% der ITS Betten belegt, wobei zu beachten wäre, dass nur ca. 50% der Betten für eine Behandlung von COVID-10 Patienten geeignet sind </w:t>
            </w:r>
          </w:p>
          <w:p>
            <w:pPr>
              <w:pStyle w:val="Listenabsatz"/>
              <w:rPr>
                <w:sz w:val="22"/>
                <w:szCs w:val="22"/>
              </w:rPr>
            </w:pPr>
          </w:p>
          <w:p>
            <w:pPr>
              <w:pStyle w:val="Listenabsatz"/>
              <w:numPr>
                <w:ilvl w:val="1"/>
                <w:numId w:val="27"/>
              </w:numPr>
              <w:rPr>
                <w:sz w:val="22"/>
                <w:szCs w:val="22"/>
              </w:rPr>
            </w:pPr>
            <w:r>
              <w:rPr>
                <w:sz w:val="22"/>
                <w:szCs w:val="22"/>
              </w:rPr>
              <w:t>Anteil der COVID-19 Fälle an der Gesamtzahl betreibbarer ITS-Betten: Anstieg vor allem in Bremen, Thüringen und Sachsen, Abfall in SH</w:t>
            </w:r>
          </w:p>
          <w:p>
            <w:pPr>
              <w:pStyle w:val="Listenabsatz"/>
              <w:rPr>
                <w:sz w:val="22"/>
                <w:szCs w:val="22"/>
              </w:rPr>
            </w:pPr>
          </w:p>
          <w:p>
            <w:pPr>
              <w:pStyle w:val="Listenabsatz"/>
              <w:numPr>
                <w:ilvl w:val="1"/>
                <w:numId w:val="27"/>
              </w:numPr>
              <w:rPr>
                <w:sz w:val="22"/>
                <w:szCs w:val="22"/>
              </w:rPr>
            </w:pPr>
            <w:r>
              <w:rPr>
                <w:sz w:val="22"/>
                <w:szCs w:val="22"/>
              </w:rPr>
              <w:t xml:space="preserve">85% der ITS-COVID-19-Fälle benötigen Beatmung; überproportionaler Anstieg der ECMO-COVID-19-Fälle im Verhältnis zum Anstieg der gesamten ECMO Fälle. </w:t>
            </w:r>
          </w:p>
          <w:p>
            <w:pPr>
              <w:pStyle w:val="Listenabsatz"/>
              <w:rPr>
                <w:sz w:val="22"/>
                <w:szCs w:val="22"/>
              </w:rPr>
            </w:pPr>
          </w:p>
          <w:p>
            <w:pPr>
              <w:pStyle w:val="Listenabsatz"/>
              <w:numPr>
                <w:ilvl w:val="1"/>
                <w:numId w:val="27"/>
              </w:numPr>
              <w:rPr>
                <w:sz w:val="22"/>
                <w:szCs w:val="22"/>
              </w:rPr>
            </w:pPr>
            <w:proofErr w:type="spellStart"/>
            <w:r>
              <w:rPr>
                <w:sz w:val="22"/>
                <w:szCs w:val="22"/>
              </w:rPr>
              <w:t>SPoCK</w:t>
            </w:r>
            <w:proofErr w:type="spellEnd"/>
            <w:r>
              <w:rPr>
                <w:sz w:val="22"/>
                <w:szCs w:val="22"/>
              </w:rPr>
              <w:t xml:space="preserve">: Prognose der COVID-19 Intensivfälle: Im Osten, Süden und Westen starker Anstieg, nur im Norden wird ein flacherer Anstieg erwartet. </w:t>
            </w:r>
          </w:p>
          <w:p>
            <w:pPr>
              <w:pStyle w:val="Listenabsatz"/>
              <w:rPr>
                <w:sz w:val="22"/>
                <w:szCs w:val="22"/>
              </w:rPr>
            </w:pPr>
          </w:p>
          <w:p>
            <w:pPr>
              <w:rPr>
                <w:sz w:val="22"/>
                <w:szCs w:val="22"/>
              </w:rPr>
            </w:pPr>
            <w:r>
              <w:rPr>
                <w:sz w:val="22"/>
                <w:szCs w:val="22"/>
              </w:rPr>
              <w:t>Frage: Wird die Prognose im Lagebericht kommuniziert?</w:t>
            </w:r>
          </w:p>
          <w:p>
            <w:pPr>
              <w:rPr>
                <w:sz w:val="22"/>
                <w:szCs w:val="22"/>
              </w:rPr>
            </w:pPr>
            <w:r>
              <w:rPr>
                <w:sz w:val="22"/>
                <w:szCs w:val="22"/>
              </w:rPr>
              <w:t>Antwort: Ja, 1 Mal die Woche für Gesamtdeutschland, aber nicht für einzelne Regionen</w:t>
            </w:r>
          </w:p>
          <w:p>
            <w:pPr>
              <w:rPr>
                <w:sz w:val="22"/>
                <w:szCs w:val="22"/>
              </w:rPr>
            </w:pPr>
          </w:p>
          <w:p>
            <w:pPr>
              <w:rPr>
                <w:sz w:val="22"/>
                <w:szCs w:val="22"/>
              </w:rPr>
            </w:pPr>
            <w:r>
              <w:rPr>
                <w:sz w:val="22"/>
                <w:szCs w:val="22"/>
              </w:rPr>
              <w:t xml:space="preserve">Vorschlag: BMG fragen, ob die gesamten DIVI Daten öffentlich gemacht werden dürfen. </w:t>
            </w:r>
          </w:p>
          <w:p>
            <w:pPr>
              <w:rPr>
                <w:sz w:val="22"/>
                <w:szCs w:val="22"/>
              </w:rPr>
            </w:pPr>
          </w:p>
          <w:p>
            <w:pPr>
              <w:rPr>
                <w:sz w:val="22"/>
                <w:szCs w:val="22"/>
              </w:rPr>
            </w:pPr>
            <w:r>
              <w:rPr>
                <w:sz w:val="22"/>
                <w:szCs w:val="22"/>
              </w:rPr>
              <w:t>Frage: Ist es möglich DIVI Bericht generell auf die Mittwochssitzung zu legen, damit er für die BPK zur Verfügung steht?</w:t>
            </w:r>
          </w:p>
          <w:p>
            <w:pPr>
              <w:rPr>
                <w:sz w:val="22"/>
                <w:szCs w:val="22"/>
              </w:rPr>
            </w:pPr>
          </w:p>
          <w:p>
            <w:pPr>
              <w:rPr>
                <w:i/>
                <w:sz w:val="22"/>
                <w:szCs w:val="22"/>
              </w:rPr>
            </w:pPr>
            <w:proofErr w:type="spellStart"/>
            <w:r>
              <w:rPr>
                <w:i/>
                <w:sz w:val="22"/>
                <w:szCs w:val="22"/>
              </w:rPr>
              <w:t>To</w:t>
            </w:r>
            <w:proofErr w:type="spellEnd"/>
            <w:r>
              <w:rPr>
                <w:i/>
                <w:sz w:val="22"/>
                <w:szCs w:val="22"/>
              </w:rPr>
              <w:t xml:space="preserve"> do: Zukünftig nach Möglichkeit strategische Punkte und Dokumente </w:t>
            </w:r>
            <w:proofErr w:type="spellStart"/>
            <w:r>
              <w:rPr>
                <w:i/>
                <w:sz w:val="22"/>
                <w:szCs w:val="22"/>
              </w:rPr>
              <w:t>Mo+Fr</w:t>
            </w:r>
            <w:proofErr w:type="spellEnd"/>
            <w:r>
              <w:rPr>
                <w:i/>
                <w:sz w:val="22"/>
                <w:szCs w:val="22"/>
              </w:rPr>
              <w:t xml:space="preserve"> und Mi hauptsächlich Berichte besprechen.</w:t>
            </w:r>
          </w:p>
          <w:p>
            <w:pPr>
              <w:rPr>
                <w:sz w:val="22"/>
                <w:szCs w:val="22"/>
              </w:rPr>
            </w:pPr>
          </w:p>
          <w:p>
            <w:pPr>
              <w:pStyle w:val="Listenabsatz"/>
              <w:numPr>
                <w:ilvl w:val="0"/>
                <w:numId w:val="36"/>
              </w:numPr>
              <w:rPr>
                <w:sz w:val="22"/>
                <w:szCs w:val="22"/>
              </w:rPr>
            </w:pPr>
            <w:r>
              <w:rPr>
                <w:sz w:val="22"/>
                <w:szCs w:val="22"/>
              </w:rPr>
              <w:t>Modellierung: nicht besprochen</w:t>
            </w:r>
          </w:p>
        </w:tc>
        <w:tc>
          <w:tcPr>
            <w:tcW w:w="1605" w:type="dxa"/>
          </w:tcPr>
          <w:p>
            <w:pPr>
              <w:rPr>
                <w:sz w:val="22"/>
                <w:szCs w:val="22"/>
              </w:rPr>
            </w:pPr>
          </w:p>
          <w:p>
            <w:pPr>
              <w:rPr>
                <w:sz w:val="22"/>
                <w:szCs w:val="22"/>
              </w:rPr>
            </w:pPr>
            <w:r>
              <w:rPr>
                <w:sz w:val="22"/>
                <w:szCs w:val="22"/>
              </w:rPr>
              <w:t>Eugenia Romo Ventura</w:t>
            </w:r>
          </w:p>
          <w:p>
            <w:pPr>
              <w:rPr>
                <w:sz w:val="22"/>
                <w:szCs w:val="22"/>
              </w:rPr>
            </w:pPr>
          </w:p>
          <w:p>
            <w:pPr>
              <w:rPr>
                <w:sz w:val="22"/>
                <w:szCs w:val="22"/>
              </w:rPr>
            </w:pPr>
            <w:r>
              <w:rPr>
                <w:sz w:val="22"/>
                <w:szCs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Martina Fischer</w:t>
            </w:r>
          </w:p>
        </w:tc>
      </w:tr>
      <w:tr>
        <w:tc>
          <w:tcPr>
            <w:tcW w:w="684" w:type="dxa"/>
          </w:tcPr>
          <w:p>
            <w:pPr>
              <w:rPr>
                <w:sz w:val="22"/>
                <w:szCs w:val="22"/>
              </w:rPr>
            </w:pPr>
            <w:r>
              <w:rPr>
                <w:b/>
                <w:sz w:val="22"/>
                <w:szCs w:val="22"/>
              </w:rPr>
              <w:t>2</w:t>
            </w:r>
          </w:p>
        </w:tc>
        <w:tc>
          <w:tcPr>
            <w:tcW w:w="6682" w:type="dxa"/>
          </w:tcPr>
          <w:p>
            <w:pPr>
              <w:rPr>
                <w:b/>
                <w:sz w:val="22"/>
                <w:szCs w:val="22"/>
              </w:rPr>
            </w:pPr>
            <w:r>
              <w:rPr>
                <w:b/>
                <w:sz w:val="22"/>
                <w:szCs w:val="22"/>
              </w:rPr>
              <w:t xml:space="preserve">Internationales </w:t>
            </w:r>
            <w:r>
              <w:rPr>
                <w:b/>
                <w:color w:val="FF0000"/>
                <w:sz w:val="22"/>
                <w:szCs w:val="22"/>
              </w:rPr>
              <w:t>(nur freitags)</w:t>
            </w:r>
          </w:p>
          <w:p>
            <w:pPr>
              <w:pStyle w:val="Listenabsatz"/>
              <w:numPr>
                <w:ilvl w:val="0"/>
                <w:numId w:val="36"/>
              </w:numPr>
              <w:rPr>
                <w:sz w:val="22"/>
                <w:szCs w:val="22"/>
              </w:rPr>
            </w:pPr>
            <w:r>
              <w:rPr>
                <w:sz w:val="22"/>
                <w:szCs w:val="22"/>
              </w:rPr>
              <w:t>Vorbereitung Montenegro Mission läuft</w:t>
            </w:r>
          </w:p>
          <w:p>
            <w:pPr>
              <w:rPr>
                <w:sz w:val="22"/>
                <w:szCs w:val="22"/>
              </w:rPr>
            </w:pPr>
          </w:p>
        </w:tc>
        <w:tc>
          <w:tcPr>
            <w:tcW w:w="1605" w:type="dxa"/>
          </w:tcPr>
          <w:p>
            <w:pPr>
              <w:rPr>
                <w:sz w:val="22"/>
                <w:szCs w:val="22"/>
              </w:rPr>
            </w:pPr>
            <w:r>
              <w:rPr>
                <w:sz w:val="22"/>
                <w:szCs w:val="22"/>
              </w:rPr>
              <w:t>ZIG</w:t>
            </w:r>
          </w:p>
        </w:tc>
      </w:tr>
      <w:tr>
        <w:tc>
          <w:tcPr>
            <w:tcW w:w="684" w:type="dxa"/>
          </w:tcPr>
          <w:p>
            <w:pPr>
              <w:rPr>
                <w:sz w:val="22"/>
                <w:szCs w:val="22"/>
              </w:rPr>
            </w:pPr>
            <w:r>
              <w:rPr>
                <w:b/>
                <w:sz w:val="22"/>
                <w:szCs w:val="22"/>
              </w:rPr>
              <w:t>3</w:t>
            </w:r>
          </w:p>
        </w:tc>
        <w:tc>
          <w:tcPr>
            <w:tcW w:w="6682" w:type="dxa"/>
          </w:tcPr>
          <w:p>
            <w:pPr>
              <w:rPr>
                <w:b/>
                <w:sz w:val="22"/>
                <w:szCs w:val="22"/>
              </w:rPr>
            </w:pPr>
            <w:r>
              <w:rPr>
                <w:b/>
                <w:sz w:val="22"/>
                <w:szCs w:val="22"/>
              </w:rPr>
              <w:t xml:space="preserve">Update Digitale Projekte </w:t>
            </w:r>
            <w:r>
              <w:rPr>
                <w:b/>
                <w:color w:val="FF0000"/>
                <w:sz w:val="22"/>
                <w:szCs w:val="22"/>
              </w:rPr>
              <w:t xml:space="preserve">(nur montags) </w:t>
            </w:r>
          </w:p>
        </w:tc>
        <w:tc>
          <w:tcPr>
            <w:tcW w:w="1605" w:type="dxa"/>
          </w:tcPr>
          <w:p>
            <w:pPr>
              <w:rPr>
                <w:sz w:val="22"/>
                <w:szCs w:val="22"/>
              </w:rPr>
            </w:pPr>
            <w:r>
              <w:rPr>
                <w:sz w:val="22"/>
                <w:szCs w:val="22"/>
              </w:rPr>
              <w:t>Schmich</w:t>
            </w:r>
          </w:p>
        </w:tc>
      </w:tr>
      <w:tr>
        <w:tc>
          <w:tcPr>
            <w:tcW w:w="684" w:type="dxa"/>
          </w:tcPr>
          <w:p>
            <w:pPr>
              <w:rPr>
                <w:b/>
                <w:sz w:val="22"/>
                <w:szCs w:val="22"/>
              </w:rPr>
            </w:pPr>
            <w:r>
              <w:rPr>
                <w:b/>
                <w:sz w:val="22"/>
                <w:szCs w:val="22"/>
              </w:rPr>
              <w:t>4</w:t>
            </w:r>
          </w:p>
        </w:tc>
        <w:tc>
          <w:tcPr>
            <w:tcW w:w="6682" w:type="dxa"/>
          </w:tcPr>
          <w:p>
            <w:pPr>
              <w:rPr>
                <w:b/>
                <w:sz w:val="22"/>
                <w:szCs w:val="22"/>
              </w:rPr>
            </w:pPr>
            <w:r>
              <w:rPr>
                <w:b/>
                <w:sz w:val="22"/>
                <w:szCs w:val="22"/>
              </w:rPr>
              <w:t>Aktuelle Risikobewertung</w:t>
            </w:r>
          </w:p>
          <w:p>
            <w:pPr>
              <w:pStyle w:val="Listenabsatz"/>
              <w:numPr>
                <w:ilvl w:val="0"/>
                <w:numId w:val="28"/>
              </w:numPr>
              <w:rPr>
                <w:sz w:val="22"/>
                <w:szCs w:val="22"/>
              </w:rPr>
            </w:pPr>
            <w:r>
              <w:rPr>
                <w:sz w:val="22"/>
                <w:szCs w:val="22"/>
              </w:rPr>
              <w:t>Auf Mittwoch/Freitag nächster Woche vertagt!</w:t>
            </w:r>
          </w:p>
          <w:p>
            <w:pPr>
              <w:rPr>
                <w:sz w:val="22"/>
                <w:szCs w:val="22"/>
              </w:rPr>
            </w:pPr>
          </w:p>
        </w:tc>
        <w:tc>
          <w:tcPr>
            <w:tcW w:w="1605" w:type="dxa"/>
          </w:tcPr>
          <w:p>
            <w:pPr>
              <w:rPr>
                <w:sz w:val="22"/>
                <w:szCs w:val="22"/>
              </w:rPr>
            </w:pPr>
          </w:p>
          <w:p>
            <w:pPr>
              <w:rPr>
                <w:sz w:val="22"/>
                <w:szCs w:val="22"/>
              </w:rPr>
            </w:pPr>
            <w:r>
              <w:rPr>
                <w:sz w:val="22"/>
                <w:szCs w:val="22"/>
              </w:rPr>
              <w:t>Alle</w:t>
            </w:r>
          </w:p>
        </w:tc>
      </w:tr>
      <w:tr>
        <w:trPr>
          <w:trHeight w:val="518"/>
        </w:trPr>
        <w:tc>
          <w:tcPr>
            <w:tcW w:w="684" w:type="dxa"/>
          </w:tcPr>
          <w:p>
            <w:pPr>
              <w:rPr>
                <w:b/>
                <w:sz w:val="22"/>
                <w:szCs w:val="22"/>
              </w:rPr>
            </w:pPr>
            <w:r>
              <w:rPr>
                <w:b/>
                <w:sz w:val="22"/>
                <w:szCs w:val="22"/>
              </w:rPr>
              <w:t>5</w:t>
            </w:r>
          </w:p>
        </w:tc>
        <w:tc>
          <w:tcPr>
            <w:tcW w:w="6682" w:type="dxa"/>
          </w:tcPr>
          <w:p>
            <w:pPr>
              <w:rPr>
                <w:b/>
                <w:sz w:val="22"/>
                <w:szCs w:val="22"/>
              </w:rPr>
            </w:pPr>
            <w:r>
              <w:rPr>
                <w:b/>
                <w:sz w:val="22"/>
                <w:szCs w:val="22"/>
              </w:rPr>
              <w:t>Kommunikation</w:t>
            </w:r>
          </w:p>
          <w:p>
            <w:pPr>
              <w:rPr>
                <w:sz w:val="22"/>
                <w:szCs w:val="22"/>
              </w:rPr>
            </w:pPr>
          </w:p>
          <w:p>
            <w:pPr>
              <w:rPr>
                <w:sz w:val="22"/>
                <w:szCs w:val="22"/>
              </w:rPr>
            </w:pPr>
            <w:r>
              <w:rPr>
                <w:sz w:val="22"/>
                <w:szCs w:val="22"/>
              </w:rPr>
              <w:t>Darstellung der 7-Tagesinzidenz im Lagebericht</w:t>
            </w:r>
          </w:p>
          <w:p>
            <w:pPr>
              <w:rPr>
                <w:sz w:val="22"/>
                <w:szCs w:val="22"/>
              </w:rPr>
            </w:pPr>
            <w:r>
              <w:rPr>
                <w:sz w:val="22"/>
                <w:szCs w:val="22"/>
              </w:rPr>
              <w:t>Diskussion:</w:t>
            </w:r>
          </w:p>
          <w:p>
            <w:pPr>
              <w:rPr>
                <w:sz w:val="22"/>
                <w:szCs w:val="22"/>
              </w:rPr>
            </w:pPr>
            <w:r>
              <w:rPr>
                <w:sz w:val="22"/>
                <w:szCs w:val="22"/>
              </w:rPr>
              <w:t xml:space="preserve">Es wurden zwei Standpunkte vertreten: </w:t>
            </w:r>
          </w:p>
          <w:p>
            <w:pPr>
              <w:rPr>
                <w:sz w:val="22"/>
                <w:szCs w:val="22"/>
              </w:rPr>
            </w:pPr>
            <w:r>
              <w:rPr>
                <w:sz w:val="22"/>
                <w:szCs w:val="22"/>
              </w:rPr>
              <w:t>Standpunkt 1: Es ist sehr wichtig zu kommunizieren, dass die aktuelle 7d-Inzidenz ein konservativer Wert ist, der tatsächliche Wert liegt immer höher! Daher sollte man (kontinuierlich) den Wert + x% durch Nachmeldungen kommunizieren. Beispielsweise war die ursprüngliche 7d- Inzidenz für den 1.4.21 134/100.000 EW, später erhöhte er sich durch Nachmeldungen auf 150/100.000 EW.</w:t>
            </w:r>
          </w:p>
          <w:p>
            <w:pPr>
              <w:rPr>
                <w:sz w:val="22"/>
                <w:szCs w:val="22"/>
              </w:rPr>
            </w:pPr>
          </w:p>
          <w:p>
            <w:pPr>
              <w:rPr>
                <w:sz w:val="22"/>
                <w:szCs w:val="22"/>
              </w:rPr>
            </w:pPr>
            <w:r>
              <w:rPr>
                <w:sz w:val="22"/>
                <w:szCs w:val="22"/>
              </w:rPr>
              <w:t xml:space="preserve">Standpunkt 2: Fokus sollte nicht auf Inzidenz liegen, sondern auf der Vermeidung von schweren Verläufen (ITS Daten)! Die Inzidenz- Grenzwerte sind willkürliche politische Werte und der Fokus darauf, dass die tatsächlichen Werte höher liegen, </w:t>
            </w:r>
            <w:proofErr w:type="gramStart"/>
            <w:r>
              <w:rPr>
                <w:sz w:val="22"/>
                <w:szCs w:val="22"/>
              </w:rPr>
              <w:t>würde</w:t>
            </w:r>
            <w:proofErr w:type="gramEnd"/>
            <w:r>
              <w:rPr>
                <w:sz w:val="22"/>
                <w:szCs w:val="22"/>
              </w:rPr>
              <w:t xml:space="preserve"> keine vorgezogenen Maßnahmen bewirken und eher als eine Unsicherheit gewertet werden. </w:t>
            </w:r>
          </w:p>
          <w:p>
            <w:pPr>
              <w:rPr>
                <w:sz w:val="22"/>
                <w:szCs w:val="22"/>
              </w:rPr>
            </w:pPr>
          </w:p>
          <w:p>
            <w:pPr>
              <w:rPr>
                <w:sz w:val="22"/>
                <w:szCs w:val="22"/>
              </w:rPr>
            </w:pPr>
            <w:proofErr w:type="spellStart"/>
            <w:r>
              <w:rPr>
                <w:i/>
                <w:sz w:val="22"/>
                <w:szCs w:val="22"/>
              </w:rPr>
              <w:t>To</w:t>
            </w:r>
            <w:proofErr w:type="spellEnd"/>
            <w:r>
              <w:rPr>
                <w:i/>
                <w:sz w:val="22"/>
                <w:szCs w:val="22"/>
              </w:rPr>
              <w:t xml:space="preserve"> do</w:t>
            </w:r>
            <w:r>
              <w:rPr>
                <w:sz w:val="22"/>
                <w:szCs w:val="22"/>
              </w:rPr>
              <w:t xml:space="preserve">: </w:t>
            </w:r>
            <w:r>
              <w:rPr>
                <w:i/>
                <w:sz w:val="22"/>
                <w:szCs w:val="22"/>
              </w:rPr>
              <w:t>Es sollen Beispiele für 7d- Inzidenzen und R-Wert (aktuell + letzte drei Tage inklusive prozentualer Anstieg im Vgl. zur jeweils ursprünglich ermittelten Zahl) berechnet und im Tabellenformat in der Sitzung am kommenden Montag präsentiert werden</w:t>
            </w:r>
            <w:r>
              <w:rPr>
                <w:sz w:val="22"/>
                <w:szCs w:val="22"/>
              </w:rPr>
              <w:t xml:space="preserve">. </w:t>
            </w:r>
            <w:r>
              <w:rPr>
                <w:i/>
                <w:sz w:val="22"/>
                <w:szCs w:val="22"/>
              </w:rPr>
              <w:t>Diese Tabelle soll als Entscheidungsgrundlage dienen, in welcher Form die</w:t>
            </w:r>
            <w:r>
              <w:rPr>
                <w:sz w:val="22"/>
                <w:szCs w:val="22"/>
              </w:rPr>
              <w:t xml:space="preserve"> </w:t>
            </w:r>
            <w:r>
              <w:rPr>
                <w:i/>
                <w:sz w:val="22"/>
                <w:szCs w:val="22"/>
              </w:rPr>
              <w:lastRenderedPageBreak/>
              <w:t>Kommunikation erfolgen sollte. Aktuell angedacht ist die Integration dieser Zahlen im Lagebericht, (unterhalb der Kurven zur 7d- Inzidenz und nicht direkt auf Seite 1).</w:t>
            </w:r>
          </w:p>
          <w:p>
            <w:pPr>
              <w:rPr>
                <w:sz w:val="22"/>
                <w:szCs w:val="22"/>
              </w:rPr>
            </w:pPr>
          </w:p>
          <w:p>
            <w:pPr>
              <w:pStyle w:val="Listenabsatz"/>
              <w:numPr>
                <w:ilvl w:val="0"/>
                <w:numId w:val="28"/>
              </w:numPr>
              <w:rPr>
                <w:sz w:val="22"/>
                <w:szCs w:val="22"/>
              </w:rPr>
            </w:pPr>
            <w:r>
              <w:rPr>
                <w:sz w:val="22"/>
                <w:szCs w:val="22"/>
              </w:rPr>
              <w:t>Keine Neuigkeiten</w:t>
            </w:r>
          </w:p>
          <w:p>
            <w:pPr>
              <w:rPr>
                <w:sz w:val="22"/>
                <w:szCs w:val="22"/>
              </w:rPr>
            </w:pPr>
          </w:p>
          <w:p>
            <w:pPr>
              <w:pStyle w:val="Listenabsatz"/>
              <w:numPr>
                <w:ilvl w:val="0"/>
                <w:numId w:val="28"/>
              </w:numPr>
              <w:rPr>
                <w:sz w:val="22"/>
                <w:szCs w:val="22"/>
              </w:rPr>
            </w:pPr>
            <w:r>
              <w:rPr>
                <w:sz w:val="22"/>
                <w:szCs w:val="22"/>
              </w:rPr>
              <w:t xml:space="preserve">Information zu Long-COVID in der nächsten BPK. Kontaktaufnahme zu Herrn Herzog ist diesbezüglich erfolgt. </w:t>
            </w:r>
          </w:p>
          <w:p>
            <w:pPr>
              <w:rPr>
                <w:sz w:val="22"/>
                <w:szCs w:val="22"/>
              </w:rPr>
            </w:pPr>
          </w:p>
          <w:p>
            <w:pPr>
              <w:rPr>
                <w:sz w:val="22"/>
                <w:szCs w:val="22"/>
              </w:rPr>
            </w:pPr>
            <w:r>
              <w:rPr>
                <w:sz w:val="22"/>
                <w:szCs w:val="22"/>
              </w:rPr>
              <w:t>Frage: Wäre es möglich, die aktuelle Lage, insbesondere Anteil der ITS-Patienten, über den Twitter Kanal 1 Mal wöchentlich zu verbreiten?</w:t>
            </w:r>
          </w:p>
          <w:p>
            <w:pPr>
              <w:rPr>
                <w:sz w:val="22"/>
                <w:szCs w:val="22"/>
              </w:rPr>
            </w:pPr>
            <w:r>
              <w:rPr>
                <w:sz w:val="22"/>
                <w:szCs w:val="22"/>
              </w:rPr>
              <w:t xml:space="preserve">Antwort: In Rücksprache mit der </w:t>
            </w:r>
            <w:proofErr w:type="spellStart"/>
            <w:r>
              <w:rPr>
                <w:sz w:val="22"/>
                <w:szCs w:val="22"/>
              </w:rPr>
              <w:t>Social</w:t>
            </w:r>
            <w:proofErr w:type="spellEnd"/>
            <w:r>
              <w:rPr>
                <w:sz w:val="22"/>
                <w:szCs w:val="22"/>
              </w:rPr>
              <w:t xml:space="preserve"> Media Beauftragten könne das erfolgen.</w:t>
            </w:r>
          </w:p>
          <w:p>
            <w:pPr>
              <w:rPr>
                <w:sz w:val="22"/>
                <w:szCs w:val="22"/>
              </w:rPr>
            </w:pPr>
          </w:p>
          <w:p>
            <w:pPr>
              <w:rPr>
                <w:sz w:val="22"/>
                <w:szCs w:val="22"/>
              </w:rPr>
            </w:pPr>
            <w:r>
              <w:rPr>
                <w:sz w:val="22"/>
                <w:szCs w:val="22"/>
              </w:rPr>
              <w:t>Anliegen: Herr Eckmanns berichtete über vermehrte Anfragen zum Umgang mit Kontaktsituationen im Außenbereich hinsichtlich erhöhter Ansteckungsgefahr durch VOC. Er plädierte für Maskenpflicht im Außenbereich, dem sich einige in der Diskussion anschlossen, da sich dadurch beispielsweise auch Treffen in größeren Gruppen in Parks reduzieren würden.</w:t>
            </w:r>
          </w:p>
          <w:p>
            <w:pPr>
              <w:rPr>
                <w:sz w:val="22"/>
                <w:szCs w:val="22"/>
              </w:rPr>
            </w:pPr>
          </w:p>
          <w:p>
            <w:pPr>
              <w:rPr>
                <w:sz w:val="22"/>
                <w:szCs w:val="22"/>
              </w:rPr>
            </w:pPr>
            <w:r>
              <w:rPr>
                <w:sz w:val="22"/>
                <w:szCs w:val="22"/>
              </w:rPr>
              <w:t xml:space="preserve">Hinweis von Herrn Haas, dass dieser Punkt bereits im Dokument zur Risikobewertung aufgeführt ist, nämlich dass auch im Außenbereich MNS zu tragen wäre, wenn Abstände nicht eingehalten werden können. </w:t>
            </w:r>
          </w:p>
          <w:p>
            <w:pPr>
              <w:rPr>
                <w:sz w:val="22"/>
                <w:szCs w:val="22"/>
              </w:rPr>
            </w:pPr>
            <w:r>
              <w:rPr>
                <w:sz w:val="22"/>
                <w:szCs w:val="22"/>
              </w:rPr>
              <w:t>Diskussion, ob dieser Punkt gesondert kommuniziert werden soll. Als Argumente dagegen wurde genannt, dass Ansteckungen im Außenbereich nur einen kleinen Anteil der Fälle ausmachen und dass MNS zu einem falschen Sicherheitsgefühl führen könnten (Anmerkung von Frau Jenny dazu: Eine Studie im BMJ widerlege diese Hypothese). Der Fokus der Kommunikation solle eher auf den Innenbereich gelegt werden und darauf, dass Schnelltests nicht dazu führen dürfen, dass die AHA+L Regeln untergraben werden oder symptomatische Kinder in die Schule dürfen.</w:t>
            </w:r>
          </w:p>
          <w:p>
            <w:pPr>
              <w:rPr>
                <w:sz w:val="22"/>
                <w:szCs w:val="22"/>
              </w:rPr>
            </w:pPr>
          </w:p>
          <w:p>
            <w:pPr>
              <w:rPr>
                <w:i/>
                <w:sz w:val="22"/>
                <w:szCs w:val="22"/>
              </w:rPr>
            </w:pPr>
            <w:proofErr w:type="spellStart"/>
            <w:r>
              <w:rPr>
                <w:i/>
                <w:sz w:val="22"/>
                <w:szCs w:val="22"/>
              </w:rPr>
              <w:t>To</w:t>
            </w:r>
            <w:proofErr w:type="spellEnd"/>
            <w:r>
              <w:rPr>
                <w:i/>
                <w:sz w:val="22"/>
                <w:szCs w:val="22"/>
              </w:rPr>
              <w:t xml:space="preserve"> do:</w:t>
            </w:r>
          </w:p>
          <w:p>
            <w:pPr>
              <w:rPr>
                <w:i/>
                <w:sz w:val="22"/>
                <w:szCs w:val="22"/>
              </w:rPr>
            </w:pPr>
            <w:r>
              <w:rPr>
                <w:i/>
                <w:sz w:val="22"/>
                <w:szCs w:val="22"/>
              </w:rPr>
              <w:t>1.</w:t>
            </w:r>
            <w:r>
              <w:rPr>
                <w:i/>
                <w:sz w:val="22"/>
                <w:szCs w:val="22"/>
              </w:rPr>
              <w:tab/>
              <w:t>Stichpunktartige Zusammenfassung der zugetragenen Problematik durch Herrn Eckmanns und Ermittlung, ob diese Punkte bereits kommuniziert werden und falls ja (was laut Herrn Haas der Fall ist), Behebung der Schwachpunkte in der Kommunikation, um diese Aspekte besser zu transportieren.</w:t>
            </w:r>
          </w:p>
          <w:p>
            <w:pPr>
              <w:rPr>
                <w:i/>
                <w:sz w:val="22"/>
                <w:szCs w:val="22"/>
              </w:rPr>
            </w:pPr>
            <w:r>
              <w:rPr>
                <w:i/>
                <w:sz w:val="22"/>
                <w:szCs w:val="22"/>
              </w:rPr>
              <w:t>2.</w:t>
            </w:r>
            <w:r>
              <w:rPr>
                <w:i/>
                <w:sz w:val="22"/>
                <w:szCs w:val="22"/>
              </w:rPr>
              <w:tab/>
              <w:t xml:space="preserve"> </w:t>
            </w:r>
            <w:proofErr w:type="spellStart"/>
            <w:r>
              <w:rPr>
                <w:i/>
                <w:sz w:val="22"/>
                <w:szCs w:val="22"/>
              </w:rPr>
              <w:t>BzgA</w:t>
            </w:r>
            <w:proofErr w:type="spellEnd"/>
            <w:r>
              <w:rPr>
                <w:i/>
                <w:sz w:val="22"/>
                <w:szCs w:val="22"/>
              </w:rPr>
              <w:t xml:space="preserve"> soll die Kommunikation dieser Aspekte auf Basis des Risikobewertungsdokuments übernehmen</w:t>
            </w:r>
          </w:p>
          <w:p>
            <w:pPr>
              <w:rPr>
                <w:sz w:val="22"/>
                <w:szCs w:val="22"/>
              </w:rPr>
            </w:pPr>
          </w:p>
          <w:p>
            <w:pPr>
              <w:rPr>
                <w:sz w:val="22"/>
                <w:szCs w:val="22"/>
              </w:rPr>
            </w:pPr>
            <w:r>
              <w:rPr>
                <w:sz w:val="22"/>
                <w:szCs w:val="22"/>
              </w:rPr>
              <w:t xml:space="preserve">Frage: Was wurde aus dem Dokument zur </w:t>
            </w:r>
            <w:proofErr w:type="spellStart"/>
            <w:r>
              <w:rPr>
                <w:sz w:val="22"/>
                <w:szCs w:val="22"/>
              </w:rPr>
              <w:t>Pandemietiquette</w:t>
            </w:r>
            <w:proofErr w:type="spellEnd"/>
            <w:r>
              <w:rPr>
                <w:sz w:val="22"/>
                <w:szCs w:val="22"/>
              </w:rPr>
              <w:t>?</w:t>
            </w:r>
          </w:p>
          <w:p>
            <w:pPr>
              <w:rPr>
                <w:sz w:val="22"/>
                <w:szCs w:val="22"/>
              </w:rPr>
            </w:pPr>
            <w:r>
              <w:rPr>
                <w:sz w:val="22"/>
                <w:szCs w:val="22"/>
              </w:rPr>
              <w:t xml:space="preserve">Antwort: Dokument wurde an </w:t>
            </w:r>
            <w:proofErr w:type="spellStart"/>
            <w:r>
              <w:rPr>
                <w:sz w:val="22"/>
                <w:szCs w:val="22"/>
              </w:rPr>
              <w:t>BzgA</w:t>
            </w:r>
            <w:proofErr w:type="spellEnd"/>
            <w:r>
              <w:rPr>
                <w:sz w:val="22"/>
                <w:szCs w:val="22"/>
              </w:rPr>
              <w:t xml:space="preserve"> geschickt und ist veröffentlicht und erhielt positives Feedback!</w:t>
            </w:r>
          </w:p>
          <w:p>
            <w:pPr>
              <w:rPr>
                <w:sz w:val="22"/>
                <w:szCs w:val="22"/>
              </w:rPr>
            </w:pPr>
          </w:p>
          <w:p>
            <w:pPr>
              <w:rPr>
                <w:sz w:val="22"/>
                <w:szCs w:val="22"/>
              </w:rPr>
            </w:pPr>
            <w:r>
              <w:rPr>
                <w:sz w:val="22"/>
                <w:szCs w:val="22"/>
              </w:rPr>
              <w:lastRenderedPageBreak/>
              <w:t xml:space="preserve">Vorschlag: Dokument könnte hinsichtlich der vorausgegangenen Diskussion zum Tragen von MNS im Innen- und Außenbereich aktualisiert werden. </w:t>
            </w:r>
          </w:p>
        </w:tc>
        <w:tc>
          <w:tcPr>
            <w:tcW w:w="1605" w:type="dxa"/>
          </w:tcPr>
          <w:p>
            <w:pPr>
              <w:rPr>
                <w:sz w:val="22"/>
                <w:szCs w:val="22"/>
              </w:rPr>
            </w:pPr>
          </w:p>
          <w:p>
            <w:pPr>
              <w:rPr>
                <w:sz w:val="22"/>
                <w:szCs w:val="22"/>
              </w:rPr>
            </w:pPr>
          </w:p>
          <w:p>
            <w:pPr>
              <w:rPr>
                <w:sz w:val="22"/>
                <w:szCs w:val="22"/>
              </w:rPr>
            </w:pPr>
            <w:r>
              <w:rPr>
                <w:sz w:val="22"/>
                <w:szCs w:val="22"/>
              </w:rPr>
              <w:t>FG32/38/</w:t>
            </w:r>
            <w:r>
              <w:rPr>
                <w:sz w:val="22"/>
                <w:szCs w:val="22"/>
              </w:rPr>
              <w:br/>
              <w:t>FG34 Matthias</w:t>
            </w:r>
          </w:p>
          <w:p>
            <w:pPr>
              <w:rPr>
                <w:sz w:val="22"/>
                <w:szCs w:val="22"/>
              </w:rPr>
            </w:pPr>
            <w:proofErr w:type="gramStart"/>
            <w:r>
              <w:rPr>
                <w:sz w:val="22"/>
                <w:szCs w:val="22"/>
              </w:rPr>
              <w:t>an der Heiden</w:t>
            </w:r>
            <w:proofErr w:type="gramEnd"/>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BzgA</w:t>
            </w:r>
            <w:proofErr w:type="spellEnd"/>
          </w:p>
          <w:p>
            <w:pPr>
              <w:rPr>
                <w:sz w:val="22"/>
                <w:szCs w:val="22"/>
              </w:rPr>
            </w:pPr>
          </w:p>
          <w:p>
            <w:pPr>
              <w:rPr>
                <w:sz w:val="22"/>
                <w:szCs w:val="22"/>
              </w:rPr>
            </w:pPr>
            <w:r>
              <w:rPr>
                <w:sz w:val="22"/>
                <w:szCs w:val="22"/>
              </w:rPr>
              <w:t>P1</w:t>
            </w:r>
          </w:p>
          <w:p>
            <w:pPr>
              <w:rPr>
                <w:sz w:val="22"/>
                <w:szCs w:val="22"/>
              </w:rPr>
            </w:pPr>
          </w:p>
          <w:p>
            <w:pPr>
              <w:rPr>
                <w:sz w:val="22"/>
                <w:szCs w:val="22"/>
              </w:rPr>
            </w:pPr>
          </w:p>
          <w:p>
            <w:pPr>
              <w:rPr>
                <w:sz w:val="22"/>
                <w:szCs w:val="22"/>
              </w:rPr>
            </w:pPr>
            <w:r>
              <w:rPr>
                <w:sz w:val="22"/>
                <w:szCs w:val="22"/>
              </w:rPr>
              <w:t>Diskussion Alle</w:t>
            </w:r>
          </w:p>
        </w:tc>
      </w:tr>
      <w:tr>
        <w:tc>
          <w:tcPr>
            <w:tcW w:w="684" w:type="dxa"/>
          </w:tcPr>
          <w:p>
            <w:pPr>
              <w:rPr>
                <w:b/>
                <w:sz w:val="22"/>
                <w:szCs w:val="22"/>
              </w:rPr>
            </w:pPr>
            <w:r>
              <w:rPr>
                <w:b/>
                <w:sz w:val="22"/>
                <w:szCs w:val="22"/>
              </w:rPr>
              <w:lastRenderedPageBreak/>
              <w:t>6</w:t>
            </w:r>
          </w:p>
        </w:tc>
        <w:tc>
          <w:tcPr>
            <w:tcW w:w="6682" w:type="dxa"/>
          </w:tcPr>
          <w:p>
            <w:pPr>
              <w:rPr>
                <w:sz w:val="22"/>
                <w:szCs w:val="22"/>
              </w:rPr>
            </w:pPr>
            <w:r>
              <w:rPr>
                <w:b/>
                <w:sz w:val="22"/>
                <w:szCs w:val="22"/>
              </w:rPr>
              <w:t xml:space="preserve">Neues aus dem BMG </w:t>
            </w:r>
            <w:r>
              <w:rPr>
                <w:sz w:val="22"/>
                <w:szCs w:val="22"/>
              </w:rPr>
              <w:t>nicht besprochen</w:t>
            </w:r>
          </w:p>
          <w:p>
            <w:pPr>
              <w:pStyle w:val="Listenabsatz"/>
              <w:numPr>
                <w:ilvl w:val="0"/>
                <w:numId w:val="29"/>
              </w:numPr>
              <w:rPr>
                <w:b/>
                <w:sz w:val="22"/>
                <w:szCs w:val="22"/>
              </w:rPr>
            </w:pPr>
          </w:p>
        </w:tc>
        <w:tc>
          <w:tcPr>
            <w:tcW w:w="1605" w:type="dxa"/>
          </w:tcPr>
          <w:p>
            <w:pPr>
              <w:rPr>
                <w:sz w:val="22"/>
                <w:szCs w:val="22"/>
              </w:rPr>
            </w:pPr>
            <w:r>
              <w:rPr>
                <w:sz w:val="22"/>
                <w:szCs w:val="22"/>
              </w:rPr>
              <w:t>BMG</w:t>
            </w:r>
          </w:p>
        </w:tc>
      </w:tr>
      <w:tr>
        <w:tc>
          <w:tcPr>
            <w:tcW w:w="684" w:type="dxa"/>
          </w:tcPr>
          <w:p>
            <w:pPr>
              <w:rPr>
                <w:b/>
                <w:sz w:val="22"/>
                <w:szCs w:val="22"/>
              </w:rPr>
            </w:pPr>
            <w:r>
              <w:rPr>
                <w:b/>
                <w:sz w:val="22"/>
                <w:szCs w:val="22"/>
              </w:rPr>
              <w:t>7</w:t>
            </w:r>
          </w:p>
        </w:tc>
        <w:tc>
          <w:tcPr>
            <w:tcW w:w="6682" w:type="dxa"/>
          </w:tcPr>
          <w:p>
            <w:pPr>
              <w:rPr>
                <w:b/>
                <w:sz w:val="22"/>
                <w:szCs w:val="22"/>
              </w:rPr>
            </w:pPr>
            <w:r>
              <w:rPr>
                <w:b/>
                <w:sz w:val="22"/>
                <w:szCs w:val="22"/>
              </w:rPr>
              <w:t>Strategie Fragen</w:t>
            </w:r>
          </w:p>
          <w:p>
            <w:pPr>
              <w:pStyle w:val="Listenabsatz"/>
              <w:numPr>
                <w:ilvl w:val="0"/>
                <w:numId w:val="24"/>
              </w:numPr>
              <w:rPr>
                <w:sz w:val="22"/>
                <w:szCs w:val="22"/>
              </w:rPr>
            </w:pPr>
            <w:r>
              <w:rPr>
                <w:sz w:val="22"/>
                <w:szCs w:val="22"/>
              </w:rPr>
              <w:t>Frage aus BMG-Erlass: Ist eine Studie mit Bundeslandvergleich zur Bewertung einzelner Pandemiemaßnahmen sinnvoll?</w:t>
            </w:r>
          </w:p>
          <w:p>
            <w:pPr>
              <w:ind w:left="360"/>
              <w:rPr>
                <w:b/>
                <w:i/>
                <w:sz w:val="22"/>
                <w:szCs w:val="22"/>
              </w:rPr>
            </w:pPr>
            <w:proofErr w:type="spellStart"/>
            <w:r>
              <w:rPr>
                <w:b/>
                <w:i/>
                <w:sz w:val="22"/>
                <w:szCs w:val="22"/>
              </w:rPr>
              <w:t>To</w:t>
            </w:r>
            <w:proofErr w:type="spellEnd"/>
            <w:r>
              <w:rPr>
                <w:b/>
                <w:i/>
                <w:sz w:val="22"/>
                <w:szCs w:val="22"/>
              </w:rPr>
              <w:t xml:space="preserve"> do: </w:t>
            </w:r>
            <w:r>
              <w:rPr>
                <w:i/>
                <w:sz w:val="22"/>
                <w:szCs w:val="22"/>
              </w:rPr>
              <w:t>Das Lagezentrum soll die Beantwortung der Frage übernehmen. Es gibt eine Studie („Stopp-COVID“) zu dieser Fragestellung, die von Frau Bremer (FG34) geleitet wird. Bitte in Rücksprache mit FG34 auf diese Studie verweisen.</w:t>
            </w:r>
            <w:r>
              <w:rPr>
                <w:b/>
                <w:i/>
                <w:sz w:val="22"/>
                <w:szCs w:val="22"/>
              </w:rPr>
              <w:t xml:space="preserve"> </w:t>
            </w:r>
            <w:r>
              <w:rPr>
                <w:i/>
                <w:sz w:val="22"/>
                <w:szCs w:val="22"/>
              </w:rPr>
              <w:t>[ID 3315, erledigt]</w:t>
            </w:r>
          </w:p>
        </w:tc>
        <w:tc>
          <w:tcPr>
            <w:tcW w:w="1605" w:type="dxa"/>
          </w:tcPr>
          <w:p>
            <w:pPr>
              <w:rPr>
                <w:sz w:val="22"/>
                <w:szCs w:val="22"/>
              </w:rPr>
            </w:pPr>
            <w:r>
              <w:rPr>
                <w:sz w:val="22"/>
                <w:szCs w:val="22"/>
              </w:rPr>
              <w:t>Alle</w:t>
            </w:r>
          </w:p>
        </w:tc>
      </w:tr>
      <w:tr>
        <w:tc>
          <w:tcPr>
            <w:tcW w:w="684" w:type="dxa"/>
          </w:tcPr>
          <w:p>
            <w:pPr>
              <w:rPr>
                <w:b/>
                <w:sz w:val="22"/>
                <w:szCs w:val="22"/>
              </w:rPr>
            </w:pPr>
            <w:r>
              <w:rPr>
                <w:b/>
                <w:sz w:val="22"/>
                <w:szCs w:val="22"/>
              </w:rPr>
              <w:t>8</w:t>
            </w:r>
          </w:p>
        </w:tc>
        <w:tc>
          <w:tcPr>
            <w:tcW w:w="6682" w:type="dxa"/>
          </w:tcPr>
          <w:p>
            <w:pPr>
              <w:rPr>
                <w:b/>
                <w:sz w:val="22"/>
                <w:szCs w:val="22"/>
              </w:rPr>
            </w:pPr>
            <w:r>
              <w:rPr>
                <w:b/>
                <w:sz w:val="22"/>
                <w:szCs w:val="22"/>
              </w:rPr>
              <w:t>Dokumente</w:t>
            </w:r>
          </w:p>
          <w:p>
            <w:pPr>
              <w:pStyle w:val="Listenabsatz"/>
              <w:rPr>
                <w:sz w:val="22"/>
                <w:szCs w:val="22"/>
              </w:rPr>
            </w:pPr>
            <w:r>
              <w:rPr>
                <w:sz w:val="22"/>
                <w:szCs w:val="22"/>
              </w:rPr>
              <w:t>Dokumente</w:t>
            </w:r>
          </w:p>
          <w:p>
            <w:pPr>
              <w:pStyle w:val="Listenabsatz"/>
              <w:rPr>
                <w:sz w:val="22"/>
                <w:szCs w:val="22"/>
              </w:rPr>
            </w:pPr>
            <w:r>
              <w:rPr>
                <w:sz w:val="22"/>
                <w:szCs w:val="22"/>
              </w:rPr>
              <w:t>•</w:t>
            </w:r>
            <w:r>
              <w:rPr>
                <w:sz w:val="22"/>
                <w:szCs w:val="22"/>
              </w:rPr>
              <w:tab/>
              <w:t xml:space="preserve">RKI-Lagebericht: Formulierung Ausbrüche im privaten Haushalt </w:t>
            </w:r>
          </w:p>
          <w:p>
            <w:pPr>
              <w:pStyle w:val="Listenabsatz"/>
              <w:rPr>
                <w:sz w:val="22"/>
                <w:szCs w:val="22"/>
              </w:rPr>
            </w:pPr>
            <w:r>
              <w:rPr>
                <w:sz w:val="22"/>
                <w:szCs w:val="22"/>
              </w:rPr>
              <w:t>Diskussionsbedarf zur Frage, wie viele Fälle man Haushaltsausbrüchen zuordnen kann bzw. wie diese berechnet werden sollen, denn Ansteckung Quellfall erfolgt wahrscheinlich außerhalb des Haushalts. Diskussion wurde auf Montag vertagt, da Herr van der Heiden, der diesen Punkt eingebracht hat, nicht anwesend ist.</w:t>
            </w:r>
          </w:p>
          <w:p>
            <w:pPr>
              <w:pStyle w:val="Listenabsatz"/>
              <w:rPr>
                <w:sz w:val="22"/>
                <w:szCs w:val="22"/>
              </w:rPr>
            </w:pPr>
            <w:r>
              <w:rPr>
                <w:sz w:val="22"/>
                <w:szCs w:val="22"/>
              </w:rPr>
              <w:t>•</w:t>
            </w:r>
            <w:r>
              <w:rPr>
                <w:sz w:val="22"/>
                <w:szCs w:val="22"/>
              </w:rPr>
              <w:tab/>
              <w:t xml:space="preserve">Testkriterien für die SARS-CoV-2 Diagnostik bei symptomatischen Patienten mit Verdacht auf COVID-19 (Dokument </w:t>
            </w:r>
            <w:hyperlink r:id="rId16" w:history="1">
              <w:r>
                <w:rPr>
                  <w:rStyle w:val="Hyperlink"/>
                  <w:sz w:val="22"/>
                  <w:szCs w:val="22"/>
                </w:rPr>
                <w:t>hier</w:t>
              </w:r>
            </w:hyperlink>
            <w:r>
              <w:rPr>
                <w:sz w:val="22"/>
                <w:szCs w:val="22"/>
              </w:rPr>
              <w:t xml:space="preserve">) </w:t>
            </w:r>
          </w:p>
          <w:p>
            <w:pPr>
              <w:pStyle w:val="Listenabsatz"/>
              <w:rPr>
                <w:sz w:val="22"/>
                <w:szCs w:val="22"/>
              </w:rPr>
            </w:pPr>
            <w:r>
              <w:rPr>
                <w:sz w:val="22"/>
                <w:szCs w:val="22"/>
              </w:rPr>
              <w:t>Wording anpassen an KPN Dokument und weitere Änderungen (insbesondere Testempfehlung auch bei asymptomatischen Personen und Ausweitung der Testung auf verschiedene Testformate berücksichtigt).</w:t>
            </w:r>
          </w:p>
          <w:p>
            <w:pPr>
              <w:pStyle w:val="Listenabsatz"/>
              <w:rPr>
                <w:sz w:val="22"/>
                <w:szCs w:val="22"/>
              </w:rPr>
            </w:pPr>
          </w:p>
          <w:p>
            <w:pPr>
              <w:pStyle w:val="Listenabsatz"/>
              <w:rPr>
                <w:sz w:val="22"/>
                <w:szCs w:val="22"/>
              </w:rPr>
            </w:pPr>
            <w:r>
              <w:rPr>
                <w:sz w:val="22"/>
                <w:szCs w:val="22"/>
              </w:rPr>
              <w:t xml:space="preserve">Anmerkung: Da zukünftig die CWA auch bei positiven Schnelltests eine Warnung ausgeben wird, sollte sich hier dazu konform die Definition des Quellfalls nicht auf PCR-bestätigte Fälle beschränken. </w:t>
            </w:r>
          </w:p>
          <w:p>
            <w:pPr>
              <w:pStyle w:val="Listenabsatz"/>
              <w:rPr>
                <w:sz w:val="22"/>
                <w:szCs w:val="22"/>
              </w:rPr>
            </w:pPr>
          </w:p>
          <w:p>
            <w:pPr>
              <w:pStyle w:val="Listenabsatz"/>
              <w:numPr>
                <w:ilvl w:val="0"/>
                <w:numId w:val="24"/>
              </w:numPr>
              <w:rPr>
                <w:sz w:val="22"/>
                <w:szCs w:val="22"/>
              </w:rPr>
            </w:pPr>
            <w:r>
              <w:rPr>
                <w:sz w:val="22"/>
                <w:szCs w:val="22"/>
              </w:rPr>
              <w:t xml:space="preserve">Entscheidung: Definition des Quellfalls wurde erweitert auf alle bestätigten Fälle.  </w:t>
            </w:r>
          </w:p>
          <w:p>
            <w:pPr>
              <w:pStyle w:val="Listenabsatz"/>
              <w:rPr>
                <w:sz w:val="22"/>
                <w:szCs w:val="22"/>
              </w:rPr>
            </w:pPr>
          </w:p>
          <w:p>
            <w:pPr>
              <w:pStyle w:val="Listenabsatz"/>
              <w:numPr>
                <w:ilvl w:val="0"/>
                <w:numId w:val="24"/>
              </w:numPr>
              <w:rPr>
                <w:sz w:val="22"/>
                <w:szCs w:val="22"/>
              </w:rPr>
            </w:pPr>
            <w:r>
              <w:rPr>
                <w:sz w:val="22"/>
                <w:szCs w:val="22"/>
              </w:rPr>
              <w:t xml:space="preserve">Wording geändert für Maßnahmen bei Symptomen: 5d-Isolierung bei </w:t>
            </w:r>
            <w:r>
              <w:rPr>
                <w:sz w:val="22"/>
                <w:szCs w:val="22"/>
                <w:u w:val="single"/>
              </w:rPr>
              <w:t>jeglicher neu aufgetretener respiratorischer Symptomatik</w:t>
            </w:r>
            <w:r>
              <w:rPr>
                <w:sz w:val="22"/>
                <w:szCs w:val="22"/>
              </w:rPr>
              <w:t xml:space="preserve">, die auf einer </w:t>
            </w:r>
            <w:r>
              <w:rPr>
                <w:sz w:val="22"/>
                <w:szCs w:val="22"/>
                <w:u w:val="single"/>
              </w:rPr>
              <w:t>Atemwegsinfektion</w:t>
            </w:r>
            <w:r>
              <w:rPr>
                <w:sz w:val="22"/>
                <w:szCs w:val="22"/>
              </w:rPr>
              <w:t xml:space="preserve"> basiert, unabhängig vom Ergebnis einer Schnelltestung.</w:t>
            </w:r>
          </w:p>
          <w:p>
            <w:pPr>
              <w:pStyle w:val="Listenabsatz"/>
              <w:rPr>
                <w:sz w:val="22"/>
                <w:szCs w:val="22"/>
              </w:rPr>
            </w:pPr>
          </w:p>
          <w:p>
            <w:pPr>
              <w:pStyle w:val="Listenabsatz"/>
              <w:rPr>
                <w:sz w:val="22"/>
                <w:szCs w:val="22"/>
              </w:rPr>
            </w:pPr>
            <w:r>
              <w:rPr>
                <w:sz w:val="22"/>
                <w:szCs w:val="22"/>
              </w:rPr>
              <w:t xml:space="preserve">Mit den unterstrichenen Zusätzen sollen die chronischen Fälle ausgeklammert werden. </w:t>
            </w:r>
          </w:p>
          <w:p>
            <w:pPr>
              <w:pStyle w:val="Listenabsatz"/>
              <w:rPr>
                <w:sz w:val="22"/>
                <w:szCs w:val="22"/>
              </w:rPr>
            </w:pPr>
          </w:p>
          <w:p>
            <w:pPr>
              <w:pStyle w:val="Listenabsatz"/>
              <w:rPr>
                <w:sz w:val="22"/>
                <w:szCs w:val="22"/>
              </w:rPr>
            </w:pPr>
            <w:r>
              <w:rPr>
                <w:sz w:val="22"/>
                <w:szCs w:val="22"/>
              </w:rPr>
              <w:t>•</w:t>
            </w:r>
            <w:r>
              <w:rPr>
                <w:sz w:val="22"/>
                <w:szCs w:val="22"/>
              </w:rPr>
              <w:tab/>
              <w:t>Kontaktpersonenmanagement (Fragen bez. Schutzdauer von asymptomatisch Infizierten und Definition "immungesund")</w:t>
            </w:r>
          </w:p>
          <w:p>
            <w:pPr>
              <w:pStyle w:val="Listenabsatz"/>
              <w:numPr>
                <w:ilvl w:val="0"/>
                <w:numId w:val="39"/>
              </w:numPr>
              <w:rPr>
                <w:sz w:val="22"/>
                <w:szCs w:val="22"/>
              </w:rPr>
            </w:pPr>
            <w:r>
              <w:rPr>
                <w:sz w:val="22"/>
                <w:szCs w:val="22"/>
              </w:rPr>
              <w:lastRenderedPageBreak/>
              <w:t xml:space="preserve">Schutzdauer von asymptomatisch Infizierten: Dänemark Paper zum Schutz vor Reinfektion untersucht alle PCR-bestätigten Fälle, unabhängig von der Symptomatik. Auch STIKO unterscheidet nicht nach Symptomatik, sondern allein nach Infektion (PCR-Bestätigung), daher an STIKO Definition/Empfehlung anpassen. </w:t>
            </w:r>
          </w:p>
          <w:p>
            <w:pPr>
              <w:pStyle w:val="Listenabsatz"/>
              <w:numPr>
                <w:ilvl w:val="0"/>
                <w:numId w:val="39"/>
              </w:numPr>
              <w:rPr>
                <w:sz w:val="22"/>
                <w:szCs w:val="22"/>
              </w:rPr>
            </w:pPr>
            <w:r>
              <w:rPr>
                <w:sz w:val="22"/>
                <w:szCs w:val="22"/>
              </w:rPr>
              <w:t xml:space="preserve">Definition "immungesund": STIKO gibt keine Definition. Kategorisierung erfolgt aufgrund ärztlicher Beurteilung. </w:t>
            </w:r>
          </w:p>
          <w:p>
            <w:pPr>
              <w:rPr>
                <w:sz w:val="22"/>
                <w:szCs w:val="22"/>
              </w:rPr>
            </w:pPr>
          </w:p>
          <w:p>
            <w:pPr>
              <w:pStyle w:val="Listenabsatz"/>
              <w:rPr>
                <w:sz w:val="22"/>
                <w:szCs w:val="22"/>
              </w:rPr>
            </w:pPr>
            <w:r>
              <w:rPr>
                <w:sz w:val="22"/>
                <w:szCs w:val="22"/>
              </w:rPr>
              <w:t>•</w:t>
            </w:r>
            <w:r>
              <w:rPr>
                <w:sz w:val="22"/>
                <w:szCs w:val="22"/>
              </w:rPr>
              <w:tab/>
              <w:t>Vorschlag eines Disclaimers für das Dokument Präventionsmaßnahmen in Schulen (12/10/20):</w:t>
            </w:r>
          </w:p>
          <w:p>
            <w:pPr>
              <w:pStyle w:val="Listenabsatz"/>
              <w:rPr>
                <w:sz w:val="22"/>
                <w:szCs w:val="22"/>
              </w:rPr>
            </w:pPr>
          </w:p>
          <w:p>
            <w:pPr>
              <w:pStyle w:val="Listenabsatz"/>
              <w:rPr>
                <w:i/>
                <w:sz w:val="22"/>
                <w:szCs w:val="22"/>
              </w:rPr>
            </w:pPr>
            <w:proofErr w:type="spellStart"/>
            <w:r>
              <w:rPr>
                <w:i/>
                <w:sz w:val="22"/>
                <w:szCs w:val="22"/>
              </w:rPr>
              <w:t>To</w:t>
            </w:r>
            <w:proofErr w:type="spellEnd"/>
            <w:r>
              <w:rPr>
                <w:i/>
                <w:sz w:val="22"/>
                <w:szCs w:val="22"/>
              </w:rPr>
              <w:t xml:space="preserve"> do: Der Disclaimer soll darauf hinweisen, dass aufgrund der veränderten Situation nun die S3-Leitlinie des BMBF gilt. Die Grundgedanken des Dokuments bleiben dennoch bestehen. Auch sollte verdeutlicht werden, dass Schnelltests vom RKI als Zusatzmaßnahmen angesehen werden, die andere Maßnahmen nicht ersetzten können.</w:t>
            </w:r>
          </w:p>
          <w:p>
            <w:pPr>
              <w:ind w:left="360"/>
              <w:rPr>
                <w:i/>
                <w:sz w:val="22"/>
                <w:szCs w:val="22"/>
              </w:rPr>
            </w:pPr>
          </w:p>
        </w:tc>
        <w:tc>
          <w:tcPr>
            <w:tcW w:w="1605" w:type="dxa"/>
          </w:tcPr>
          <w:p>
            <w:pPr>
              <w:rPr>
                <w:sz w:val="22"/>
                <w:szCs w:val="22"/>
              </w:rPr>
            </w:pPr>
          </w:p>
          <w:p>
            <w:pPr>
              <w:rPr>
                <w:sz w:val="22"/>
                <w:szCs w:val="22"/>
              </w:rPr>
            </w:pPr>
          </w:p>
          <w:p>
            <w:pPr>
              <w:rPr>
                <w:sz w:val="22"/>
                <w:szCs w:val="22"/>
              </w:rPr>
            </w:pPr>
            <w:r>
              <w:rPr>
                <w:sz w:val="22"/>
                <w:szCs w:val="22"/>
              </w:rPr>
              <w:t>FG34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tc>
      </w:tr>
      <w:tr>
        <w:tc>
          <w:tcPr>
            <w:tcW w:w="684" w:type="dxa"/>
          </w:tcPr>
          <w:p>
            <w:pPr>
              <w:rPr>
                <w:sz w:val="22"/>
                <w:szCs w:val="22"/>
              </w:rPr>
            </w:pPr>
            <w:r>
              <w:rPr>
                <w:sz w:val="22"/>
                <w:szCs w:val="22"/>
              </w:rPr>
              <w:t>9</w:t>
            </w:r>
          </w:p>
        </w:tc>
        <w:tc>
          <w:tcPr>
            <w:tcW w:w="6682" w:type="dxa"/>
          </w:tcPr>
          <w:p>
            <w:pPr>
              <w:rPr>
                <w:b/>
                <w:sz w:val="22"/>
                <w:szCs w:val="22"/>
              </w:rPr>
            </w:pPr>
            <w:r>
              <w:rPr>
                <w:b/>
                <w:sz w:val="22"/>
                <w:szCs w:val="22"/>
              </w:rPr>
              <w:t>Update Impfen (nur freitags)</w:t>
            </w:r>
          </w:p>
          <w:p>
            <w:pPr>
              <w:pStyle w:val="Listenabsatz"/>
              <w:numPr>
                <w:ilvl w:val="0"/>
                <w:numId w:val="24"/>
              </w:numPr>
              <w:rPr>
                <w:sz w:val="22"/>
                <w:szCs w:val="22"/>
              </w:rPr>
            </w:pPr>
            <w:r>
              <w:rPr>
                <w:sz w:val="22"/>
                <w:szCs w:val="22"/>
              </w:rPr>
              <w:t xml:space="preserve">Es gibt eine aktualisierte STIKO Empfehlung: </w:t>
            </w:r>
          </w:p>
          <w:p>
            <w:pPr>
              <w:pStyle w:val="Listenabsatz"/>
              <w:rPr>
                <w:sz w:val="22"/>
                <w:szCs w:val="22"/>
              </w:rPr>
            </w:pPr>
            <w:r>
              <w:rPr>
                <w:sz w:val="22"/>
                <w:szCs w:val="22"/>
              </w:rPr>
              <w:t xml:space="preserve">-zu </w:t>
            </w:r>
            <w:proofErr w:type="spellStart"/>
            <w:r>
              <w:rPr>
                <w:sz w:val="22"/>
                <w:szCs w:val="22"/>
              </w:rPr>
              <w:t>Johnson&amp;Johnson</w:t>
            </w:r>
            <w:proofErr w:type="spellEnd"/>
            <w:r>
              <w:rPr>
                <w:sz w:val="22"/>
                <w:szCs w:val="22"/>
              </w:rPr>
              <w:t xml:space="preserve"> Impfstoff</w:t>
            </w:r>
          </w:p>
          <w:p>
            <w:pPr>
              <w:pStyle w:val="Listenabsatz"/>
              <w:rPr>
                <w:sz w:val="22"/>
                <w:szCs w:val="22"/>
              </w:rPr>
            </w:pPr>
            <w:r>
              <w:rPr>
                <w:sz w:val="22"/>
                <w:szCs w:val="22"/>
              </w:rPr>
              <w:t xml:space="preserve">-AstraZeneca Impfstoff nur noch für &gt;60-Jährige empfohlen </w:t>
            </w:r>
          </w:p>
          <w:p>
            <w:pPr>
              <w:pStyle w:val="Listenabsatz"/>
              <w:rPr>
                <w:sz w:val="22"/>
                <w:szCs w:val="22"/>
              </w:rPr>
            </w:pPr>
            <w:r>
              <w:rPr>
                <w:sz w:val="22"/>
                <w:szCs w:val="22"/>
              </w:rPr>
              <w:t xml:space="preserve">-diejenigen, die bereits die erste AstraZeneca Impfung erhalten haben und unter 60 Jahre alt sind, sollen als 2. Impfung einen </w:t>
            </w:r>
            <w:proofErr w:type="spellStart"/>
            <w:r>
              <w:rPr>
                <w:sz w:val="22"/>
                <w:szCs w:val="22"/>
              </w:rPr>
              <w:t>mRNA</w:t>
            </w:r>
            <w:proofErr w:type="spellEnd"/>
            <w:r>
              <w:rPr>
                <w:sz w:val="22"/>
                <w:szCs w:val="22"/>
              </w:rPr>
              <w:t xml:space="preserve"> Impfstoff erhalten – andere Länder, z.B. Frankreich folgen dieser Empfehlung.</w:t>
            </w:r>
          </w:p>
          <w:p>
            <w:pPr>
              <w:pStyle w:val="Listenabsatz"/>
              <w:numPr>
                <w:ilvl w:val="0"/>
                <w:numId w:val="24"/>
              </w:numPr>
              <w:rPr>
                <w:sz w:val="22"/>
                <w:szCs w:val="22"/>
              </w:rPr>
            </w:pPr>
            <w:r>
              <w:rPr>
                <w:sz w:val="22"/>
                <w:szCs w:val="22"/>
              </w:rPr>
              <w:t>Studien zum heterologen Impfschema:</w:t>
            </w:r>
          </w:p>
          <w:p>
            <w:pPr>
              <w:pStyle w:val="Listenabsatz"/>
              <w:numPr>
                <w:ilvl w:val="0"/>
                <w:numId w:val="40"/>
              </w:numPr>
              <w:rPr>
                <w:sz w:val="22"/>
                <w:szCs w:val="22"/>
              </w:rPr>
            </w:pPr>
            <w:r>
              <w:rPr>
                <w:sz w:val="22"/>
                <w:szCs w:val="22"/>
              </w:rPr>
              <w:t>England: Erste Ergebnisse werden Ende Mai erwartet</w:t>
            </w:r>
          </w:p>
          <w:p>
            <w:pPr>
              <w:pStyle w:val="Listenabsatz"/>
              <w:numPr>
                <w:ilvl w:val="0"/>
                <w:numId w:val="40"/>
              </w:numPr>
              <w:rPr>
                <w:sz w:val="22"/>
                <w:szCs w:val="22"/>
              </w:rPr>
            </w:pPr>
            <w:r>
              <w:rPr>
                <w:sz w:val="22"/>
                <w:szCs w:val="22"/>
              </w:rPr>
              <w:t xml:space="preserve">Charité (homologe und heterologe Kombinationen von </w:t>
            </w:r>
            <w:proofErr w:type="spellStart"/>
            <w:r>
              <w:rPr>
                <w:sz w:val="22"/>
                <w:szCs w:val="22"/>
              </w:rPr>
              <w:t>Astrazeneca</w:t>
            </w:r>
            <w:proofErr w:type="spellEnd"/>
            <w:r>
              <w:rPr>
                <w:sz w:val="22"/>
                <w:szCs w:val="22"/>
              </w:rPr>
              <w:t xml:space="preserve"> und </w:t>
            </w:r>
            <w:proofErr w:type="spellStart"/>
            <w:r>
              <w:rPr>
                <w:sz w:val="22"/>
                <w:szCs w:val="22"/>
              </w:rPr>
              <w:t>Biontech</w:t>
            </w:r>
            <w:proofErr w:type="spellEnd"/>
            <w:r>
              <w:rPr>
                <w:sz w:val="22"/>
                <w:szCs w:val="22"/>
              </w:rPr>
              <w:t xml:space="preserve">/Pfizer Impfstoffen): erste Ergebnisse zur </w:t>
            </w:r>
            <w:proofErr w:type="spellStart"/>
            <w:r>
              <w:rPr>
                <w:sz w:val="22"/>
                <w:szCs w:val="22"/>
              </w:rPr>
              <w:t>Reaktogenität</w:t>
            </w:r>
            <w:proofErr w:type="spellEnd"/>
            <w:r>
              <w:rPr>
                <w:sz w:val="22"/>
                <w:szCs w:val="22"/>
              </w:rPr>
              <w:t xml:space="preserve"> (Nebenwirkungen) werden Ende April erwartet und erste Ergebnisse zur Immunogenität (Antikörpertiter, T-Zell Response) werden Ende Mai erwartet.  </w:t>
            </w:r>
          </w:p>
          <w:p>
            <w:pPr>
              <w:rPr>
                <w:sz w:val="22"/>
                <w:szCs w:val="22"/>
              </w:rPr>
            </w:pPr>
          </w:p>
          <w:p>
            <w:pPr>
              <w:pStyle w:val="Listenabsatz"/>
              <w:numPr>
                <w:ilvl w:val="0"/>
                <w:numId w:val="24"/>
              </w:numPr>
              <w:rPr>
                <w:sz w:val="22"/>
                <w:szCs w:val="22"/>
              </w:rPr>
            </w:pPr>
            <w:r>
              <w:rPr>
                <w:sz w:val="22"/>
                <w:szCs w:val="22"/>
              </w:rPr>
              <w:t>Aufklärungsmaterialen, FAQs und Faktenblätter wurden gemäß STIKO Empfehlung aktualisiert.</w:t>
            </w:r>
          </w:p>
          <w:p>
            <w:pPr>
              <w:pStyle w:val="Listenabsatz"/>
              <w:numPr>
                <w:ilvl w:val="0"/>
                <w:numId w:val="24"/>
              </w:numPr>
              <w:rPr>
                <w:sz w:val="22"/>
                <w:szCs w:val="22"/>
              </w:rPr>
            </w:pPr>
            <w:r>
              <w:rPr>
                <w:sz w:val="22"/>
                <w:szCs w:val="22"/>
              </w:rPr>
              <w:t>Sinusthrombosen als Nebenwirkung des AstraZeneca Impfstoffs: in D und Skandinavien sind die Fallzahlen 10 Mal so hoch wie in England. Inzwischen sind auch vermehrt Männer davon betroffen (aktuell 7 Fälle bei Männern in Deutschland) und damit gibt es auch bei Männern eine zwanzigfach erhöhte Inzidenz im Vergleich zur Hintergrundinzidenz</w:t>
            </w:r>
          </w:p>
          <w:p>
            <w:pPr>
              <w:pStyle w:val="Listenabsatz"/>
              <w:numPr>
                <w:ilvl w:val="0"/>
                <w:numId w:val="24"/>
              </w:numPr>
              <w:rPr>
                <w:sz w:val="22"/>
                <w:szCs w:val="22"/>
              </w:rPr>
            </w:pPr>
            <w:r>
              <w:rPr>
                <w:sz w:val="22"/>
                <w:szCs w:val="22"/>
              </w:rPr>
              <w:t xml:space="preserve">Durch Aufnahme der Impfungen ins Regelsystem (Impfen in Arztpraxen) gibt es einen starken Anstieg der Impf-Rate: 650.000 vorgestern und 700.000 gestern, davon ca. die Hälfte in Arztpraxen verimpft. Nachteil für die aktuelle Berichterstattung: sehr wenige Daten zeitnah verfügbar (älter/jünger als 60, welcher Impfstoff, Ort der Impfung). </w:t>
            </w:r>
          </w:p>
          <w:p>
            <w:pPr>
              <w:rPr>
                <w:sz w:val="22"/>
                <w:szCs w:val="22"/>
              </w:rPr>
            </w:pPr>
            <w:r>
              <w:rPr>
                <w:sz w:val="22"/>
                <w:szCs w:val="22"/>
              </w:rPr>
              <w:lastRenderedPageBreak/>
              <w:t>Frage: Warum so wenig Daten verfügbar?</w:t>
            </w:r>
          </w:p>
          <w:p>
            <w:pPr>
              <w:rPr>
                <w:sz w:val="22"/>
                <w:szCs w:val="22"/>
              </w:rPr>
            </w:pPr>
            <w:r>
              <w:rPr>
                <w:sz w:val="22"/>
                <w:szCs w:val="22"/>
              </w:rPr>
              <w:t>Antwort: Vereinbarung zwischen KBV-Vorstand und Staatssekretär. Es geht der KBV in erster Linie um die Abrechenbarkeit der Impfleistung. Information ist aber später (nach ca. 3 Monaten) verfügbar.</w:t>
            </w:r>
          </w:p>
          <w:p>
            <w:pPr>
              <w:rPr>
                <w:i/>
                <w:sz w:val="22"/>
                <w:szCs w:val="22"/>
              </w:rPr>
            </w:pPr>
            <w:proofErr w:type="spellStart"/>
            <w:r>
              <w:rPr>
                <w:i/>
                <w:sz w:val="22"/>
                <w:szCs w:val="22"/>
              </w:rPr>
              <w:t>To</w:t>
            </w:r>
            <w:proofErr w:type="spellEnd"/>
            <w:r>
              <w:rPr>
                <w:i/>
                <w:sz w:val="22"/>
                <w:szCs w:val="22"/>
              </w:rPr>
              <w:t xml:space="preserve"> do: BMG um Sprachregelung bitten, um diese Verzögerung in der Datenübermittlung zu begründen.</w:t>
            </w:r>
          </w:p>
        </w:tc>
        <w:tc>
          <w:tcPr>
            <w:tcW w:w="1605" w:type="dxa"/>
          </w:tcPr>
          <w:p>
            <w:pPr>
              <w:rPr>
                <w:sz w:val="22"/>
                <w:szCs w:val="22"/>
              </w:rPr>
            </w:pPr>
            <w:r>
              <w:rPr>
                <w:sz w:val="22"/>
                <w:szCs w:val="22"/>
              </w:rPr>
              <w:lastRenderedPageBreak/>
              <w:t xml:space="preserve">FG33 </w:t>
            </w:r>
          </w:p>
        </w:tc>
      </w:tr>
      <w:tr>
        <w:tc>
          <w:tcPr>
            <w:tcW w:w="684" w:type="dxa"/>
          </w:tcPr>
          <w:p>
            <w:pPr>
              <w:rPr>
                <w:b/>
                <w:sz w:val="22"/>
                <w:szCs w:val="22"/>
              </w:rPr>
            </w:pPr>
            <w:r>
              <w:rPr>
                <w:b/>
                <w:sz w:val="22"/>
                <w:szCs w:val="22"/>
              </w:rPr>
              <w:t>10</w:t>
            </w:r>
          </w:p>
        </w:tc>
        <w:tc>
          <w:tcPr>
            <w:tcW w:w="6682" w:type="dxa"/>
          </w:tcPr>
          <w:p>
            <w:pPr>
              <w:rPr>
                <w:b/>
                <w:sz w:val="22"/>
                <w:szCs w:val="22"/>
              </w:rPr>
            </w:pPr>
            <w:r>
              <w:rPr>
                <w:b/>
                <w:sz w:val="22"/>
                <w:szCs w:val="22"/>
              </w:rPr>
              <w:t>Labordiagnostik</w:t>
            </w:r>
          </w:p>
          <w:p>
            <w:pPr>
              <w:pStyle w:val="Listenabsatz"/>
              <w:rPr>
                <w:sz w:val="22"/>
                <w:szCs w:val="22"/>
              </w:rPr>
            </w:pPr>
          </w:p>
          <w:p>
            <w:pPr>
              <w:pStyle w:val="Listenabsatz"/>
              <w:numPr>
                <w:ilvl w:val="0"/>
                <w:numId w:val="42"/>
              </w:numPr>
              <w:rPr>
                <w:sz w:val="22"/>
                <w:szCs w:val="22"/>
              </w:rPr>
            </w:pPr>
            <w:r>
              <w:rPr>
                <w:sz w:val="22"/>
                <w:szCs w:val="22"/>
              </w:rPr>
              <w:t>Virologisches Sentinel:</w:t>
            </w:r>
          </w:p>
          <w:p>
            <w:pPr>
              <w:pStyle w:val="Listenabsatz"/>
              <w:numPr>
                <w:ilvl w:val="0"/>
                <w:numId w:val="36"/>
              </w:numPr>
              <w:rPr>
                <w:sz w:val="22"/>
                <w:szCs w:val="22"/>
              </w:rPr>
            </w:pPr>
            <w:r>
              <w:rPr>
                <w:sz w:val="22"/>
                <w:szCs w:val="22"/>
              </w:rPr>
              <w:t xml:space="preserve">823 Proben: </w:t>
            </w:r>
          </w:p>
          <w:p>
            <w:pPr>
              <w:pStyle w:val="Listenabsatz"/>
              <w:numPr>
                <w:ilvl w:val="0"/>
                <w:numId w:val="36"/>
              </w:numPr>
              <w:rPr>
                <w:sz w:val="22"/>
                <w:szCs w:val="22"/>
              </w:rPr>
            </w:pPr>
            <w:r>
              <w:rPr>
                <w:sz w:val="22"/>
                <w:szCs w:val="22"/>
              </w:rPr>
              <w:t>15 COVID-19 Fälle (80% davon B1.1.7)</w:t>
            </w:r>
          </w:p>
          <w:p>
            <w:pPr>
              <w:pStyle w:val="Listenabsatz"/>
              <w:numPr>
                <w:ilvl w:val="0"/>
                <w:numId w:val="36"/>
              </w:numPr>
              <w:rPr>
                <w:sz w:val="22"/>
                <w:szCs w:val="22"/>
              </w:rPr>
            </w:pPr>
            <w:r>
              <w:rPr>
                <w:sz w:val="22"/>
                <w:szCs w:val="22"/>
              </w:rPr>
              <w:t xml:space="preserve">261 </w:t>
            </w:r>
            <w:proofErr w:type="spellStart"/>
            <w:r>
              <w:rPr>
                <w:sz w:val="22"/>
                <w:szCs w:val="22"/>
              </w:rPr>
              <w:t>Rinovirus</w:t>
            </w:r>
            <w:proofErr w:type="spellEnd"/>
            <w:r>
              <w:rPr>
                <w:sz w:val="22"/>
                <w:szCs w:val="22"/>
              </w:rPr>
              <w:t xml:space="preserve"> positiv</w:t>
            </w:r>
          </w:p>
          <w:p>
            <w:pPr>
              <w:pStyle w:val="Listenabsatz"/>
              <w:numPr>
                <w:ilvl w:val="0"/>
                <w:numId w:val="36"/>
              </w:numPr>
              <w:rPr>
                <w:sz w:val="22"/>
                <w:szCs w:val="22"/>
                <w:lang w:val="en-US"/>
              </w:rPr>
            </w:pPr>
            <w:r>
              <w:rPr>
                <w:sz w:val="22"/>
                <w:szCs w:val="22"/>
                <w:lang w:val="en-US"/>
              </w:rPr>
              <w:t xml:space="preserve">112 </w:t>
            </w:r>
            <w:proofErr w:type="spellStart"/>
            <w:r>
              <w:rPr>
                <w:sz w:val="22"/>
                <w:szCs w:val="22"/>
                <w:lang w:val="en-US"/>
              </w:rPr>
              <w:t>positiv</w:t>
            </w:r>
            <w:proofErr w:type="spellEnd"/>
            <w:r>
              <w:rPr>
                <w:sz w:val="22"/>
                <w:szCs w:val="22"/>
                <w:lang w:val="en-US"/>
              </w:rPr>
              <w:t xml:space="preserve"> </w:t>
            </w:r>
            <w:proofErr w:type="spellStart"/>
            <w:r>
              <w:rPr>
                <w:sz w:val="22"/>
                <w:szCs w:val="22"/>
                <w:lang w:val="en-US"/>
              </w:rPr>
              <w:t>für</w:t>
            </w:r>
            <w:proofErr w:type="spellEnd"/>
            <w:r>
              <w:rPr>
                <w:sz w:val="22"/>
                <w:szCs w:val="22"/>
                <w:lang w:val="en-US"/>
              </w:rPr>
              <w:t xml:space="preserve"> </w:t>
            </w:r>
            <w:proofErr w:type="spellStart"/>
            <w:r>
              <w:rPr>
                <w:sz w:val="22"/>
                <w:szCs w:val="22"/>
                <w:lang w:val="en-US"/>
              </w:rPr>
              <w:t>saisonale</w:t>
            </w:r>
            <w:proofErr w:type="spellEnd"/>
            <w:r>
              <w:rPr>
                <w:sz w:val="22"/>
                <w:szCs w:val="22"/>
                <w:lang w:val="en-US"/>
              </w:rPr>
              <w:t xml:space="preserve"> </w:t>
            </w:r>
            <w:proofErr w:type="spellStart"/>
            <w:r>
              <w:rPr>
                <w:sz w:val="22"/>
                <w:szCs w:val="22"/>
                <w:lang w:val="en-US"/>
              </w:rPr>
              <w:t>Coronaviren</w:t>
            </w:r>
            <w:proofErr w:type="spellEnd"/>
            <w:r>
              <w:rPr>
                <w:sz w:val="22"/>
                <w:szCs w:val="22"/>
                <w:lang w:val="en-US"/>
              </w:rPr>
              <w:t xml:space="preserve"> </w:t>
            </w:r>
          </w:p>
          <w:p>
            <w:pPr>
              <w:pStyle w:val="Listenabsatz"/>
              <w:numPr>
                <w:ilvl w:val="0"/>
                <w:numId w:val="36"/>
              </w:numPr>
              <w:rPr>
                <w:sz w:val="22"/>
                <w:szCs w:val="22"/>
              </w:rPr>
            </w:pPr>
            <w:r>
              <w:rPr>
                <w:sz w:val="22"/>
                <w:szCs w:val="22"/>
              </w:rPr>
              <w:t>8 positiv für Parainfluenzaviren</w:t>
            </w:r>
          </w:p>
          <w:p>
            <w:pPr>
              <w:pStyle w:val="Listenabsatz"/>
              <w:numPr>
                <w:ilvl w:val="0"/>
                <w:numId w:val="36"/>
              </w:numPr>
              <w:rPr>
                <w:sz w:val="22"/>
                <w:szCs w:val="22"/>
              </w:rPr>
            </w:pPr>
            <w:r>
              <w:rPr>
                <w:sz w:val="22"/>
                <w:szCs w:val="22"/>
              </w:rPr>
              <w:t xml:space="preserve">2 positiv für humane </w:t>
            </w:r>
            <w:proofErr w:type="spellStart"/>
            <w:r>
              <w:rPr>
                <w:sz w:val="22"/>
                <w:szCs w:val="22"/>
              </w:rPr>
              <w:t>Metapneumusviren</w:t>
            </w:r>
            <w:proofErr w:type="spellEnd"/>
          </w:p>
          <w:p>
            <w:pPr>
              <w:rPr>
                <w:b/>
                <w:sz w:val="22"/>
                <w:szCs w:val="22"/>
              </w:rPr>
            </w:pPr>
          </w:p>
          <w:p>
            <w:pPr>
              <w:pStyle w:val="Listenabsatz"/>
              <w:numPr>
                <w:ilvl w:val="0"/>
                <w:numId w:val="41"/>
              </w:numPr>
              <w:rPr>
                <w:sz w:val="22"/>
                <w:szCs w:val="22"/>
              </w:rPr>
            </w:pPr>
            <w:r>
              <w:rPr>
                <w:sz w:val="22"/>
                <w:szCs w:val="22"/>
              </w:rPr>
              <w:t>855 Proben</w:t>
            </w:r>
          </w:p>
          <w:p>
            <w:pPr>
              <w:pStyle w:val="Listenabsatz"/>
              <w:numPr>
                <w:ilvl w:val="0"/>
                <w:numId w:val="36"/>
              </w:numPr>
              <w:rPr>
                <w:sz w:val="22"/>
                <w:szCs w:val="22"/>
              </w:rPr>
            </w:pPr>
            <w:r>
              <w:rPr>
                <w:sz w:val="22"/>
                <w:szCs w:val="22"/>
              </w:rPr>
              <w:t>393 (46%) positiv für SARS-CoV2, davon 90% B1.1.7</w:t>
            </w:r>
          </w:p>
          <w:p>
            <w:pPr>
              <w:rPr>
                <w:sz w:val="22"/>
                <w:szCs w:val="22"/>
              </w:rPr>
            </w:pPr>
          </w:p>
          <w:p>
            <w:pPr>
              <w:rPr>
                <w:sz w:val="22"/>
                <w:szCs w:val="22"/>
              </w:rPr>
            </w:pPr>
            <w:r>
              <w:rPr>
                <w:sz w:val="22"/>
                <w:szCs w:val="22"/>
              </w:rPr>
              <w:t>Frage: Wie hoch ist die Wahrscheinlichkeit einer Doppelinfektion mit Wildtyp und Variante? Gibt es dazu Daten?</w:t>
            </w:r>
          </w:p>
          <w:p>
            <w:pPr>
              <w:rPr>
                <w:sz w:val="22"/>
                <w:szCs w:val="22"/>
              </w:rPr>
            </w:pPr>
            <w:r>
              <w:rPr>
                <w:sz w:val="22"/>
                <w:szCs w:val="22"/>
              </w:rPr>
              <w:t>Antwort: Es gibt dazu einen Preprint, der dem Verteiler zugeschickt wird.</w:t>
            </w:r>
          </w:p>
        </w:tc>
        <w:tc>
          <w:tcPr>
            <w:tcW w:w="1605" w:type="dxa"/>
          </w:tcPr>
          <w:p>
            <w:pPr>
              <w:rPr>
                <w:sz w:val="22"/>
                <w:szCs w:val="22"/>
              </w:rPr>
            </w:pPr>
          </w:p>
          <w:p>
            <w:pPr>
              <w:rPr>
                <w:sz w:val="22"/>
                <w:szCs w:val="22"/>
              </w:rPr>
            </w:pPr>
            <w:r>
              <w:rPr>
                <w:sz w:val="22"/>
                <w:szCs w:val="22"/>
              </w:rPr>
              <w:t xml:space="preserve">FG17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sz w:val="22"/>
                <w:szCs w:val="22"/>
              </w:rPr>
            </w:pPr>
            <w:r>
              <w:rPr>
                <w:b/>
                <w:sz w:val="22"/>
                <w:szCs w:val="22"/>
              </w:rPr>
              <w:t>11</w:t>
            </w:r>
          </w:p>
        </w:tc>
        <w:tc>
          <w:tcPr>
            <w:tcW w:w="6682" w:type="dxa"/>
          </w:tcPr>
          <w:p>
            <w:pPr>
              <w:rPr>
                <w:b/>
                <w:sz w:val="22"/>
                <w:szCs w:val="22"/>
              </w:rPr>
            </w:pPr>
            <w:r>
              <w:rPr>
                <w:b/>
                <w:sz w:val="22"/>
                <w:szCs w:val="22"/>
              </w:rPr>
              <w:t>Klinisches Management/Entlassungsmanagement</w:t>
            </w:r>
          </w:p>
          <w:p>
            <w:pPr>
              <w:pStyle w:val="Listenabsatz"/>
              <w:numPr>
                <w:ilvl w:val="0"/>
                <w:numId w:val="41"/>
              </w:numPr>
              <w:rPr>
                <w:sz w:val="22"/>
                <w:szCs w:val="22"/>
              </w:rPr>
            </w:pPr>
            <w:r>
              <w:rPr>
                <w:sz w:val="22"/>
                <w:szCs w:val="22"/>
              </w:rPr>
              <w:t xml:space="preserve">Es gibt eine Studie aus Köln (https://edoc.rki.de/bitstream/handle/176904/8031/20210401_COVRIIN_Praxisbericht%20NIV_Final.pdf?sequence=1&amp;isAllowed=y), die zeigt, dass unter bestimmten Umständen eine verlängerte nicht-invasive Beatmung eine 75% höhere Sterblichkeit bedingt im Gegensatz zu einer rechtzeitigen invasiven Beatmung. Diese Studie verdeutlicht, dass die Verzögerung der invasiven Beatmung nicht immer die lebensrettende Maßnahme darstellt und sorgfältig </w:t>
            </w:r>
            <w:proofErr w:type="spellStart"/>
            <w:r>
              <w:rPr>
                <w:sz w:val="22"/>
                <w:szCs w:val="22"/>
              </w:rPr>
              <w:t>abgewägt</w:t>
            </w:r>
            <w:proofErr w:type="spellEnd"/>
            <w:r>
              <w:rPr>
                <w:sz w:val="22"/>
                <w:szCs w:val="22"/>
              </w:rPr>
              <w:t xml:space="preserve"> werden muss. </w:t>
            </w:r>
          </w:p>
          <w:p>
            <w:pPr>
              <w:pStyle w:val="Listenabsatz"/>
              <w:numPr>
                <w:ilvl w:val="0"/>
                <w:numId w:val="41"/>
              </w:numPr>
              <w:rPr>
                <w:sz w:val="22"/>
                <w:szCs w:val="22"/>
              </w:rPr>
            </w:pPr>
            <w:r>
              <w:rPr>
                <w:sz w:val="22"/>
                <w:szCs w:val="22"/>
              </w:rPr>
              <w:t>Verlegung von Patienten aus Frankreich nach Deutschland ist noch nicht erfolgt.</w:t>
            </w:r>
          </w:p>
          <w:p>
            <w:pPr>
              <w:pStyle w:val="Listenabsatz"/>
              <w:numPr>
                <w:ilvl w:val="0"/>
                <w:numId w:val="41"/>
              </w:numPr>
              <w:rPr>
                <w:sz w:val="22"/>
                <w:szCs w:val="22"/>
              </w:rPr>
            </w:pPr>
            <w:r>
              <w:rPr>
                <w:sz w:val="22"/>
                <w:szCs w:val="22"/>
              </w:rPr>
              <w:t xml:space="preserve">Anfrage zu einer Stellungnahme über den Nutzen von Desinfektionsrobotern (UV-Atemluftdesinfektion), die über die EU als Spende an Krankenhäuser von bedürftigen EU-Ländern verteilt werden. Deutschland trägt 27 solcher Roboter bei. Kauf ist bereits erfolgt. </w:t>
            </w:r>
          </w:p>
          <w:p>
            <w:pPr>
              <w:pStyle w:val="Listenabsatz"/>
              <w:rPr>
                <w:sz w:val="22"/>
                <w:szCs w:val="22"/>
              </w:rPr>
            </w:pPr>
            <w:r>
              <w:rPr>
                <w:sz w:val="22"/>
                <w:szCs w:val="22"/>
              </w:rPr>
              <w:t>Die Stellungnahme ist noch in Arbeit, aber das Ergebnis steht fest: Diese Maßnahme wird nach Beratung mit KRINKO nicht empfohlen und nicht als sinnvoll erachtet!</w:t>
            </w:r>
          </w:p>
          <w:p>
            <w:pPr>
              <w:pStyle w:val="Listenabsatz"/>
              <w:rPr>
                <w:sz w:val="22"/>
                <w:szCs w:val="22"/>
              </w:rPr>
            </w:pPr>
          </w:p>
        </w:tc>
        <w:tc>
          <w:tcPr>
            <w:tcW w:w="1605" w:type="dxa"/>
          </w:tcPr>
          <w:p>
            <w:pPr>
              <w:rPr>
                <w:sz w:val="22"/>
                <w:szCs w:val="22"/>
              </w:rPr>
            </w:pPr>
            <w:r>
              <w:rPr>
                <w:sz w:val="22"/>
                <w:szCs w:val="22"/>
              </w:rPr>
              <w:t>IBBS</w:t>
            </w:r>
          </w:p>
        </w:tc>
      </w:tr>
      <w:tr>
        <w:tc>
          <w:tcPr>
            <w:tcW w:w="684" w:type="dxa"/>
          </w:tcPr>
          <w:p>
            <w:pPr>
              <w:rPr>
                <w:b/>
                <w:sz w:val="22"/>
                <w:szCs w:val="22"/>
              </w:rPr>
            </w:pPr>
            <w:r>
              <w:rPr>
                <w:b/>
                <w:sz w:val="22"/>
                <w:szCs w:val="22"/>
              </w:rPr>
              <w:t>12</w:t>
            </w:r>
          </w:p>
        </w:tc>
        <w:tc>
          <w:tcPr>
            <w:tcW w:w="6682" w:type="dxa"/>
          </w:tcPr>
          <w:p>
            <w:pPr>
              <w:rPr>
                <w:b/>
                <w:sz w:val="22"/>
                <w:szCs w:val="22"/>
              </w:rPr>
            </w:pPr>
            <w:r>
              <w:rPr>
                <w:b/>
                <w:sz w:val="22"/>
                <w:szCs w:val="22"/>
              </w:rPr>
              <w:t>Maßnahmen zum Infektionsschutz</w:t>
            </w:r>
          </w:p>
          <w:p>
            <w:pPr>
              <w:ind w:left="360"/>
              <w:rPr>
                <w:sz w:val="22"/>
                <w:szCs w:val="22"/>
              </w:rPr>
            </w:pPr>
          </w:p>
        </w:tc>
        <w:tc>
          <w:tcPr>
            <w:tcW w:w="1605" w:type="dxa"/>
          </w:tcPr>
          <w:p>
            <w:pPr>
              <w:rPr>
                <w:sz w:val="22"/>
                <w:szCs w:val="22"/>
              </w:rPr>
            </w:pPr>
            <w:r>
              <w:rPr>
                <w:sz w:val="22"/>
                <w:szCs w:val="22"/>
              </w:rPr>
              <w:t>Alle</w:t>
            </w:r>
          </w:p>
        </w:tc>
      </w:tr>
      <w:tr>
        <w:tc>
          <w:tcPr>
            <w:tcW w:w="684" w:type="dxa"/>
          </w:tcPr>
          <w:p>
            <w:pPr>
              <w:rPr>
                <w:b/>
                <w:sz w:val="22"/>
                <w:szCs w:val="22"/>
              </w:rPr>
            </w:pPr>
            <w:r>
              <w:rPr>
                <w:b/>
                <w:sz w:val="22"/>
                <w:szCs w:val="22"/>
              </w:rPr>
              <w:t>13</w:t>
            </w:r>
          </w:p>
        </w:tc>
        <w:tc>
          <w:tcPr>
            <w:tcW w:w="6682" w:type="dxa"/>
          </w:tcPr>
          <w:p>
            <w:pPr>
              <w:rPr>
                <w:b/>
                <w:sz w:val="22"/>
                <w:szCs w:val="22"/>
              </w:rPr>
            </w:pPr>
            <w:r>
              <w:rPr>
                <w:b/>
                <w:sz w:val="22"/>
                <w:szCs w:val="22"/>
              </w:rPr>
              <w:t>Surveillance: nicht besprochen</w:t>
            </w:r>
          </w:p>
          <w:p>
            <w:pPr>
              <w:pStyle w:val="Listenabsatz"/>
              <w:numPr>
                <w:ilvl w:val="0"/>
                <w:numId w:val="24"/>
              </w:numPr>
              <w:rPr>
                <w:sz w:val="22"/>
                <w:szCs w:val="22"/>
              </w:rPr>
            </w:pPr>
            <w:r>
              <w:rPr>
                <w:sz w:val="22"/>
                <w:szCs w:val="22"/>
              </w:rPr>
              <w:t xml:space="preserve">Corona-KiTa-Studie </w:t>
            </w:r>
            <w:r>
              <w:rPr>
                <w:b/>
                <w:color w:val="FF0000"/>
                <w:sz w:val="22"/>
                <w:szCs w:val="22"/>
              </w:rPr>
              <w:t xml:space="preserve">(nur montags) </w:t>
            </w:r>
          </w:p>
        </w:tc>
        <w:tc>
          <w:tcPr>
            <w:tcW w:w="1605" w:type="dxa"/>
          </w:tcPr>
          <w:p>
            <w:pPr>
              <w:rPr>
                <w:sz w:val="22"/>
                <w:szCs w:val="22"/>
              </w:rPr>
            </w:pPr>
            <w:r>
              <w:rPr>
                <w:sz w:val="22"/>
                <w:szCs w:val="22"/>
              </w:rPr>
              <w:t>FG32</w:t>
            </w:r>
            <w:r>
              <w:rPr>
                <w:sz w:val="22"/>
                <w:szCs w:val="22"/>
              </w:rPr>
              <w:br/>
              <w:t>FG36</w:t>
            </w:r>
          </w:p>
        </w:tc>
      </w:tr>
      <w:tr>
        <w:tc>
          <w:tcPr>
            <w:tcW w:w="684" w:type="dxa"/>
          </w:tcPr>
          <w:p>
            <w:pPr>
              <w:rPr>
                <w:b/>
                <w:sz w:val="22"/>
                <w:szCs w:val="22"/>
              </w:rPr>
            </w:pPr>
            <w:r>
              <w:rPr>
                <w:b/>
                <w:sz w:val="22"/>
                <w:szCs w:val="22"/>
              </w:rPr>
              <w:lastRenderedPageBreak/>
              <w:t>14</w:t>
            </w:r>
          </w:p>
        </w:tc>
        <w:tc>
          <w:tcPr>
            <w:tcW w:w="6682" w:type="dxa"/>
          </w:tcPr>
          <w:p>
            <w:pPr>
              <w:rPr>
                <w:b/>
                <w:color w:val="FF0000"/>
                <w:sz w:val="22"/>
                <w:szCs w:val="22"/>
              </w:rPr>
            </w:pPr>
            <w:r>
              <w:rPr>
                <w:b/>
                <w:sz w:val="22"/>
                <w:szCs w:val="22"/>
              </w:rPr>
              <w:t xml:space="preserve">Transport und Grenzübergangsstellen </w:t>
            </w:r>
            <w:r>
              <w:rPr>
                <w:b/>
                <w:color w:val="FF0000"/>
                <w:sz w:val="22"/>
                <w:szCs w:val="22"/>
              </w:rPr>
              <w:t>(nur freitags)</w:t>
            </w:r>
          </w:p>
          <w:p>
            <w:pPr>
              <w:pStyle w:val="Listenabsatz"/>
              <w:numPr>
                <w:ilvl w:val="0"/>
                <w:numId w:val="24"/>
              </w:numPr>
              <w:rPr>
                <w:b/>
                <w:sz w:val="22"/>
                <w:szCs w:val="22"/>
              </w:rPr>
            </w:pPr>
            <w:r>
              <w:rPr>
                <w:b/>
                <w:sz w:val="22"/>
                <w:szCs w:val="22"/>
              </w:rPr>
              <w:t>Geimpfte werden aus der Testverordnung herausgenommen</w:t>
            </w:r>
          </w:p>
          <w:p>
            <w:pPr>
              <w:pStyle w:val="Listenabsatz"/>
              <w:rPr>
                <w:sz w:val="22"/>
                <w:szCs w:val="22"/>
              </w:rPr>
            </w:pPr>
          </w:p>
        </w:tc>
        <w:tc>
          <w:tcPr>
            <w:tcW w:w="1605" w:type="dxa"/>
          </w:tcPr>
          <w:p>
            <w:pPr>
              <w:rPr>
                <w:sz w:val="22"/>
                <w:szCs w:val="22"/>
              </w:rPr>
            </w:pPr>
            <w:r>
              <w:rPr>
                <w:sz w:val="22"/>
                <w:szCs w:val="22"/>
              </w:rPr>
              <w:t>FG38</w:t>
            </w:r>
          </w:p>
        </w:tc>
      </w:tr>
      <w:tr>
        <w:tc>
          <w:tcPr>
            <w:tcW w:w="684" w:type="dxa"/>
          </w:tcPr>
          <w:p>
            <w:pPr>
              <w:rPr>
                <w:b/>
                <w:sz w:val="22"/>
                <w:szCs w:val="22"/>
              </w:rPr>
            </w:pPr>
            <w:r>
              <w:rPr>
                <w:b/>
                <w:sz w:val="22"/>
                <w:szCs w:val="22"/>
              </w:rPr>
              <w:t>15</w:t>
            </w:r>
          </w:p>
        </w:tc>
        <w:tc>
          <w:tcPr>
            <w:tcW w:w="6682" w:type="dxa"/>
          </w:tcPr>
          <w:p>
            <w:pPr>
              <w:rPr>
                <w:b/>
                <w:color w:val="FF0000"/>
                <w:sz w:val="22"/>
                <w:szCs w:val="22"/>
              </w:rPr>
            </w:pPr>
            <w:r>
              <w:rPr>
                <w:b/>
                <w:sz w:val="22"/>
                <w:szCs w:val="22"/>
              </w:rPr>
              <w:t xml:space="preserve">Information aus dem Lagezentrum </w:t>
            </w:r>
            <w:r>
              <w:rPr>
                <w:b/>
                <w:color w:val="FF0000"/>
                <w:sz w:val="22"/>
                <w:szCs w:val="22"/>
              </w:rPr>
              <w:t>(nur freitags)</w:t>
            </w:r>
          </w:p>
          <w:p>
            <w:pPr>
              <w:pStyle w:val="Listenabsatz"/>
              <w:numPr>
                <w:ilvl w:val="0"/>
                <w:numId w:val="24"/>
              </w:numPr>
              <w:rPr>
                <w:sz w:val="22"/>
                <w:szCs w:val="22"/>
              </w:rPr>
            </w:pPr>
            <w:r>
              <w:rPr>
                <w:sz w:val="22"/>
                <w:szCs w:val="22"/>
              </w:rPr>
              <w:t xml:space="preserve">Osnabrück hat ein Amtshilfeersuchen gestellt und bittet um Unterstützung bei einem Ausbruch unter Geimpften. </w:t>
            </w:r>
          </w:p>
          <w:p>
            <w:pPr>
              <w:pStyle w:val="Listenabsatz"/>
              <w:rPr>
                <w:sz w:val="22"/>
                <w:szCs w:val="22"/>
              </w:rPr>
            </w:pPr>
          </w:p>
        </w:tc>
        <w:tc>
          <w:tcPr>
            <w:tcW w:w="1605" w:type="dxa"/>
          </w:tcPr>
          <w:p>
            <w:pPr>
              <w:rPr>
                <w:sz w:val="22"/>
                <w:szCs w:val="22"/>
              </w:rPr>
            </w:pPr>
            <w:r>
              <w:rPr>
                <w:sz w:val="22"/>
                <w:szCs w:val="22"/>
              </w:rPr>
              <w:t>FG38</w:t>
            </w:r>
          </w:p>
        </w:tc>
      </w:tr>
      <w:tr>
        <w:tc>
          <w:tcPr>
            <w:tcW w:w="684" w:type="dxa"/>
          </w:tcPr>
          <w:p>
            <w:pPr>
              <w:rPr>
                <w:b/>
                <w:sz w:val="22"/>
                <w:szCs w:val="22"/>
              </w:rPr>
            </w:pPr>
            <w:r>
              <w:rPr>
                <w:b/>
                <w:sz w:val="22"/>
                <w:szCs w:val="22"/>
              </w:rPr>
              <w:t>16</w:t>
            </w:r>
          </w:p>
        </w:tc>
        <w:tc>
          <w:tcPr>
            <w:tcW w:w="6682" w:type="dxa"/>
          </w:tcPr>
          <w:p>
            <w:pPr>
              <w:rPr>
                <w:b/>
                <w:sz w:val="22"/>
                <w:szCs w:val="22"/>
              </w:rPr>
            </w:pPr>
            <w:r>
              <w:rPr>
                <w:b/>
                <w:sz w:val="22"/>
                <w:szCs w:val="22"/>
              </w:rPr>
              <w:t>Wichtige Termine</w:t>
            </w:r>
          </w:p>
          <w:p>
            <w:pPr>
              <w:rPr>
                <w:b/>
                <w:sz w:val="22"/>
                <w:szCs w:val="22"/>
              </w:rPr>
            </w:pPr>
            <w:r>
              <w:rPr>
                <w:b/>
                <w:sz w:val="22"/>
                <w:szCs w:val="22"/>
              </w:rPr>
              <w:t>/</w:t>
            </w:r>
          </w:p>
        </w:tc>
        <w:tc>
          <w:tcPr>
            <w:tcW w:w="1605" w:type="dxa"/>
          </w:tcPr>
          <w:p>
            <w:pPr>
              <w:rPr>
                <w:sz w:val="22"/>
                <w:szCs w:val="22"/>
              </w:rPr>
            </w:pPr>
            <w:r>
              <w:rPr>
                <w:sz w:val="22"/>
                <w:szCs w:val="22"/>
              </w:rPr>
              <w:t>Alle</w:t>
            </w:r>
          </w:p>
        </w:tc>
      </w:tr>
    </w:tbl>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02210"/>
    <w:multiLevelType w:val="hybridMultilevel"/>
    <w:tmpl w:val="CEE82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39029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71E621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313E96"/>
    <w:multiLevelType w:val="hybridMultilevel"/>
    <w:tmpl w:val="9E942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26F49"/>
    <w:multiLevelType w:val="hybridMultilevel"/>
    <w:tmpl w:val="119CE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D6706FE"/>
    <w:multiLevelType w:val="hybridMultilevel"/>
    <w:tmpl w:val="01C8D8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2FD5"/>
    <w:multiLevelType w:val="hybridMultilevel"/>
    <w:tmpl w:val="1D165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7966FF"/>
    <w:multiLevelType w:val="hybridMultilevel"/>
    <w:tmpl w:val="9B9666B6"/>
    <w:lvl w:ilvl="0" w:tplc="F2D09E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45F21567"/>
    <w:multiLevelType w:val="hybridMultilevel"/>
    <w:tmpl w:val="838CF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5036DB"/>
    <w:multiLevelType w:val="hybridMultilevel"/>
    <w:tmpl w:val="8A7893F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CAC0447"/>
    <w:multiLevelType w:val="hybridMultilevel"/>
    <w:tmpl w:val="2D044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6B1DB0"/>
    <w:multiLevelType w:val="hybridMultilevel"/>
    <w:tmpl w:val="5FA82DA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6" w15:restartNumberingAfterBreak="0">
    <w:nsid w:val="617C2A7E"/>
    <w:multiLevelType w:val="hybridMultilevel"/>
    <w:tmpl w:val="DB9EF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5074DC"/>
    <w:multiLevelType w:val="hybridMultilevel"/>
    <w:tmpl w:val="B802D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6215C46"/>
    <w:multiLevelType w:val="hybridMultilevel"/>
    <w:tmpl w:val="994C751E"/>
    <w:lvl w:ilvl="0" w:tplc="FA0A162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0"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2D07176"/>
    <w:multiLevelType w:val="hybridMultilevel"/>
    <w:tmpl w:val="1550F9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9"/>
  </w:num>
  <w:num w:numId="4">
    <w:abstractNumId w:val="3"/>
  </w:num>
  <w:num w:numId="5">
    <w:abstractNumId w:val="28"/>
  </w:num>
  <w:num w:numId="6">
    <w:abstractNumId w:val="10"/>
  </w:num>
  <w:num w:numId="7">
    <w:abstractNumId w:val="30"/>
  </w:num>
  <w:num w:numId="8">
    <w:abstractNumId w:val="26"/>
  </w:num>
  <w:num w:numId="9">
    <w:abstractNumId w:val="40"/>
  </w:num>
  <w:num w:numId="10">
    <w:abstractNumId w:val="13"/>
  </w:num>
  <w:num w:numId="11">
    <w:abstractNumId w:val="2"/>
  </w:num>
  <w:num w:numId="12">
    <w:abstractNumId w:val="6"/>
  </w:num>
  <w:num w:numId="13">
    <w:abstractNumId w:val="33"/>
  </w:num>
  <w:num w:numId="14">
    <w:abstractNumId w:val="21"/>
  </w:num>
  <w:num w:numId="15">
    <w:abstractNumId w:val="5"/>
  </w:num>
  <w:num w:numId="16">
    <w:abstractNumId w:val="11"/>
  </w:num>
  <w:num w:numId="17">
    <w:abstractNumId w:val="0"/>
  </w:num>
  <w:num w:numId="18">
    <w:abstractNumId w:val="17"/>
  </w:num>
  <w:num w:numId="19">
    <w:abstractNumId w:val="12"/>
  </w:num>
  <w:num w:numId="20">
    <w:abstractNumId w:val="38"/>
  </w:num>
  <w:num w:numId="21">
    <w:abstractNumId w:val="18"/>
  </w:num>
  <w:num w:numId="22">
    <w:abstractNumId w:val="8"/>
  </w:num>
  <w:num w:numId="23">
    <w:abstractNumId w:val="15"/>
  </w:num>
  <w:num w:numId="24">
    <w:abstractNumId w:val="23"/>
  </w:num>
  <w:num w:numId="25">
    <w:abstractNumId w:val="25"/>
  </w:num>
  <w:num w:numId="26">
    <w:abstractNumId w:val="27"/>
  </w:num>
  <w:num w:numId="27">
    <w:abstractNumId w:val="41"/>
  </w:num>
  <w:num w:numId="28">
    <w:abstractNumId w:val="34"/>
  </w:num>
  <w:num w:numId="29">
    <w:abstractNumId w:val="24"/>
  </w:num>
  <w:num w:numId="30">
    <w:abstractNumId w:val="32"/>
  </w:num>
  <w:num w:numId="31">
    <w:abstractNumId w:val="14"/>
  </w:num>
  <w:num w:numId="32">
    <w:abstractNumId w:val="37"/>
  </w:num>
  <w:num w:numId="33">
    <w:abstractNumId w:val="1"/>
  </w:num>
  <w:num w:numId="34">
    <w:abstractNumId w:val="35"/>
  </w:num>
  <w:num w:numId="35">
    <w:abstractNumId w:val="36"/>
  </w:num>
  <w:num w:numId="36">
    <w:abstractNumId w:val="31"/>
  </w:num>
  <w:num w:numId="37">
    <w:abstractNumId w:val="16"/>
  </w:num>
  <w:num w:numId="38">
    <w:abstractNumId w:val="19"/>
  </w:num>
  <w:num w:numId="39">
    <w:abstractNumId w:val="39"/>
  </w:num>
  <w:num w:numId="40">
    <w:abstractNumId w:val="22"/>
  </w:num>
  <w:num w:numId="41">
    <w:abstractNumId w:val="9"/>
  </w:num>
  <w:num w:numId="4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8276">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BanerjiS\AppData\Local\Microsoft\Windows\INetCache\Content.Outlook\F0W0TL6M\Testkriterien%20f&#252;r%20die%20SARS_2021-03-26_v0.1_wh-krisenstab.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4-09_Lage_AG\2021-04-09_Intensivregister_SPoCK.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1-04-09_Lage_AG\Lage-National_2021-04-09.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48E33-D5B0-4D27-B7D1-A5E25BC1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1910</Words>
  <Characters>12035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6</cp:revision>
  <dcterms:created xsi:type="dcterms:W3CDTF">2021-04-09T17:44:00Z</dcterms:created>
  <dcterms:modified xsi:type="dcterms:W3CDTF">2021-05-10T15:29:00Z</dcterms:modified>
</cp:coreProperties>
</file>