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bookmarkStart w:id="0" w:name="_GoBack"/>
      <w:bookmarkEnd w:id="0"/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14.04.2021, 11:00 Uhr (Ende: 12:48 Uhr)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Webexkonferenz</w:t>
          </w:r>
          <w:proofErr w:type="spellEnd"/>
        </w:sdtContent>
      </w:sdt>
    </w:p>
    <w:p>
      <w:pPr>
        <w:rPr>
          <w:b/>
          <w:sz w:val="22"/>
        </w:rPr>
      </w:pPr>
      <w:bookmarkStart w:id="1" w:name="_Hlk68616808"/>
      <w:r>
        <w:rPr>
          <w:b/>
          <w:sz w:val="22"/>
        </w:rPr>
        <w:t>Moderation: Ute Rexroth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Lothar Wieler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Martin Mielke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Annette Mankertz</w:t>
      </w:r>
    </w:p>
    <w:p>
      <w:pPr>
        <w:pStyle w:val="Listenabsatz"/>
        <w:numPr>
          <w:ilvl w:val="0"/>
          <w:numId w:val="29"/>
        </w:numPr>
        <w:spacing w:after="0" w:line="233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Abt. 2</w:t>
      </w:r>
    </w:p>
    <w:p>
      <w:pPr>
        <w:pStyle w:val="Listenabsatz"/>
        <w:numPr>
          <w:ilvl w:val="1"/>
          <w:numId w:val="29"/>
        </w:numPr>
        <w:spacing w:after="0" w:line="233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Thomas Ziese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Janna Seifried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 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 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Ralf Dürrwald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FG 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Wolfgang </w:t>
      </w:r>
      <w:r>
        <w:rPr>
          <w:rStyle w:val="highlight"/>
          <w:color w:val="000000" w:themeColor="text1"/>
          <w:sz w:val="22"/>
          <w:szCs w:val="22"/>
        </w:rPr>
        <w:t>Scheida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Michaela Diercke</w:t>
      </w:r>
    </w:p>
    <w:p>
      <w:pPr>
        <w:pStyle w:val="Listenabsatz"/>
        <w:numPr>
          <w:ilvl w:val="0"/>
          <w:numId w:val="4"/>
        </w:numPr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 34</w:t>
      </w:r>
    </w:p>
    <w:p>
      <w:pPr>
        <w:numPr>
          <w:ilvl w:val="1"/>
          <w:numId w:val="2"/>
        </w:numPr>
        <w:spacing w:after="0"/>
        <w:rPr>
          <w:rFonts w:ascii="Cambria" w:eastAsia="Cambria" w:hAnsi="Cambria" w:cs="Times New Roman"/>
          <w:color w:val="000000" w:themeColor="text1"/>
          <w:sz w:val="22"/>
          <w:szCs w:val="22"/>
        </w:rPr>
      </w:pPr>
      <w:r>
        <w:rPr>
          <w:rFonts w:ascii="Cambria" w:eastAsia="Cambria" w:hAnsi="Cambria" w:cs="Times New Roman"/>
          <w:color w:val="000000" w:themeColor="text1"/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  <w:highlight w:val="yellow"/>
        </w:rPr>
      </w:pPr>
      <w:r>
        <w:rPr>
          <w:color w:val="000000" w:themeColor="text1"/>
          <w:sz w:val="22"/>
          <w:szCs w:val="22"/>
          <w:highlight w:val="yellow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  <w:highlight w:val="yellow"/>
        </w:rPr>
      </w:pP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 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Kristin Tolksdorf</w:t>
      </w:r>
    </w:p>
    <w:p>
      <w:pPr>
        <w:spacing w:after="0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br w:type="column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 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Tim Eckmanns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Maren Imhoff (Protokoll)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Christian Herzog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Bettina Ruehe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Mirjam Jenny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rStyle w:val="highlight"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Susanne </w:t>
      </w:r>
      <w:r>
        <w:rPr>
          <w:rStyle w:val="highlight"/>
          <w:color w:val="000000" w:themeColor="text1"/>
          <w:sz w:val="22"/>
          <w:szCs w:val="22"/>
        </w:rPr>
        <w:t>Gottwald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color w:val="000000" w:themeColor="text1"/>
          <w:sz w:val="22"/>
          <w:szCs w:val="22"/>
        </w:rPr>
      </w:pPr>
      <w:r>
        <w:rPr>
          <w:rStyle w:val="highlight"/>
          <w:color w:val="000000" w:themeColor="text1"/>
          <w:sz w:val="22"/>
          <w:szCs w:val="22"/>
        </w:rPr>
        <w:t>Johanna Hanefeld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color w:val="000000" w:themeColor="text1"/>
          <w:sz w:val="22"/>
          <w:szCs w:val="22"/>
        </w:rPr>
      </w:pPr>
      <w:r>
        <w:rPr>
          <w:rStyle w:val="highlight"/>
          <w:color w:val="000000" w:themeColor="text1"/>
          <w:sz w:val="22"/>
          <w:szCs w:val="22"/>
        </w:rPr>
        <w:t xml:space="preserve">Eugenia </w:t>
      </w:r>
      <w:proofErr w:type="spellStart"/>
      <w:r>
        <w:rPr>
          <w:rStyle w:val="highlight"/>
          <w:color w:val="000000" w:themeColor="text1"/>
          <w:sz w:val="22"/>
          <w:szCs w:val="22"/>
        </w:rPr>
        <w:t>Romo</w:t>
      </w:r>
      <w:proofErr w:type="spellEnd"/>
      <w:r>
        <w:rPr>
          <w:rStyle w:val="highlight"/>
          <w:color w:val="000000" w:themeColor="text1"/>
          <w:sz w:val="22"/>
          <w:szCs w:val="22"/>
        </w:rPr>
        <w:t xml:space="preserve"> Ventura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Heide Ebrahimzadeh-Wetter</w:t>
      </w:r>
    </w:p>
    <w:p>
      <w:pPr>
        <w:pStyle w:val="Listenabsatz"/>
        <w:numPr>
          <w:ilvl w:val="0"/>
          <w:numId w:val="32"/>
        </w:numPr>
        <w:spacing w:after="0"/>
        <w:rPr>
          <w:color w:val="000000" w:themeColor="text1"/>
          <w:sz w:val="22"/>
          <w:szCs w:val="22"/>
          <w:highlight w:val="yellow"/>
        </w:rPr>
      </w:pPr>
      <w:r>
        <w:rPr>
          <w:color w:val="000000" w:themeColor="text1"/>
          <w:sz w:val="22"/>
          <w:szCs w:val="22"/>
          <w:highlight w:val="yellow"/>
        </w:rPr>
        <w:t>unbekannt</w:t>
      </w:r>
    </w:p>
    <w:p>
      <w:pPr>
        <w:pStyle w:val="Listenabsatz"/>
        <w:numPr>
          <w:ilvl w:val="1"/>
          <w:numId w:val="32"/>
        </w:numPr>
        <w:spacing w:after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+4915146****80</w:t>
      </w:r>
    </w:p>
    <w:p>
      <w:pPr>
        <w:pStyle w:val="Listenabsatz"/>
        <w:spacing w:after="0"/>
        <w:ind w:left="1440"/>
        <w:rPr>
          <w:color w:val="A6A6A6" w:themeColor="background1" w:themeShade="A6"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1"/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8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682"/>
        <w:gridCol w:w="1605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682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605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color w:val="FF0000"/>
                <w:sz w:val="20"/>
                <w:szCs w:val="20"/>
              </w:rPr>
              <w:t>(nur freitags)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</w:t>
            </w:r>
            <w:r>
              <w:rPr>
                <w:color w:val="000000" w:themeColor="text1"/>
                <w:sz w:val="22"/>
                <w:szCs w:val="22"/>
              </w:rPr>
              <w:t xml:space="preserve">3.044.016 (+21.693), </w:t>
            </w:r>
            <w:r>
              <w:rPr>
                <w:sz w:val="22"/>
                <w:szCs w:val="22"/>
              </w:rPr>
              <w:t xml:space="preserve">davon </w:t>
            </w:r>
            <w:r>
              <w:rPr>
                <w:color w:val="000000" w:themeColor="text1"/>
                <w:sz w:val="22"/>
                <w:szCs w:val="22"/>
              </w:rPr>
              <w:t xml:space="preserve">79.088 (+342) </w:t>
            </w:r>
            <w:r>
              <w:rPr>
                <w:sz w:val="22"/>
                <w:szCs w:val="22"/>
              </w:rPr>
              <w:t xml:space="preserve">Todesfälle, 7-Tage-Inzidenz 153/100.000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einer Impfung 14.058.329 (16,9 %), mit 2 Impfungen 5.186.135 (6,2 %)</w:t>
            </w:r>
          </w:p>
          <w:p>
            <w:pPr>
              <w:pStyle w:val="Listenabsatz"/>
              <w:numPr>
                <w:ilvl w:val="0"/>
                <w:numId w:val="35"/>
              </w:numPr>
              <w:ind w:hanging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deutliche Zunahme</w:t>
            </w:r>
          </w:p>
          <w:p>
            <w:pPr>
              <w:pStyle w:val="Listenabsatz"/>
              <w:numPr>
                <w:ilvl w:val="1"/>
                <w:numId w:val="8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DIVI-Intensivregister: 4.688 Fälle in Behandlung (+26)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der Bundesländer nach Berichtsdatum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Anstieg in allen BL sichtbar, bes. ausgeprägt in BY, SN, TH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Karte verdunkelt sich, kein LK &lt; 25/100.000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Spitzenreiter: SK Hof (574/100.000), Greiz (489/100.000), LK Hof (459/100.000)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nach Altersgruppen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Rückgang nur in Altersgruppen 0-9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Zunahme in Altersgruppen 10-79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stärksten betroffen: Altersgruppen 15-49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Anzahl COVID-19-Fälle nach Altersgruppe und Meldewoche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konstant in Altersgruppe 80+ seit ca. MW08/09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 Zunahme in Altersgruppe 60-79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rückläufig bei Kindern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Hospitalisierte COVID-19-Fälle nach Altersgruppe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Zahlen deutlich unter denen der 2. Welle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Unsicherheit: Rückgang nach MW12 wahrscheinlich Artefakt, Nachübermittlungen zu erwarten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COVID-19-Todesfälle nach Sterbewoche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Plateau um 1.000 Sterbefälle wöchentlich seit Sterbewoche 10/11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Anzahl übermittelter COVID-19-Fälle mit Antigennachweis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Anteil an allen übermittelten Fällen weiterhin gering, um 6</w:t>
            </w:r>
            <w:r>
              <w:rPr>
                <w:color w:val="000000" w:themeColor="text1"/>
                <w:sz w:val="22"/>
                <w:szCs w:val="22"/>
              </w:rPr>
              <w:noBreakHyphen/>
              <w:t>7 %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Unsicherheit: Informationen wahrscheinlich nicht vollständig</w:t>
            </w:r>
          </w:p>
          <w:p>
            <w:pPr>
              <w:pStyle w:val="Listenabsatz"/>
              <w:ind w:left="1491"/>
              <w:rPr>
                <w:color w:val="000000" w:themeColor="text1"/>
                <w:sz w:val="22"/>
                <w:szCs w:val="22"/>
              </w:rPr>
            </w:pPr>
          </w:p>
          <w:p>
            <w:pPr>
              <w:pStyle w:val="Listenabsatz"/>
              <w:ind w:left="622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i/>
                <w:color w:val="000000" w:themeColor="text1"/>
                <w:sz w:val="22"/>
                <w:szCs w:val="22"/>
              </w:rPr>
              <w:t>-- Diskussion --</w:t>
            </w:r>
          </w:p>
          <w:p>
            <w:pPr>
              <w:pStyle w:val="Listenabsatz"/>
              <w:spacing w:before="240"/>
              <w:ind w:left="624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neu eingefügte Formulierung im Lagebericht vom 13.04.21 </w:t>
            </w:r>
            <w:r>
              <w:rPr>
                <w:i/>
                <w:color w:val="000000" w:themeColor="text1"/>
                <w:sz w:val="22"/>
                <w:szCs w:val="22"/>
              </w:rPr>
              <w:t>„Momentan ist eine leichte Abnahme der Anzahl hospitalisierter Fälle zu beobachten.“</w:t>
            </w:r>
            <w:r>
              <w:rPr>
                <w:color w:val="000000" w:themeColor="text1"/>
                <w:sz w:val="22"/>
                <w:szCs w:val="22"/>
              </w:rPr>
              <w:t xml:space="preserve"> irreführend, bezieht sich nur auf Zeitraum der letzten 14 Tage;</w:t>
            </w:r>
          </w:p>
          <w:p>
            <w:pPr>
              <w:pStyle w:val="Listenabsatz"/>
              <w:spacing w:before="120"/>
              <w:ind w:left="624"/>
              <w:contextualSpacing w:val="0"/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BMG wünscht sich deutlichere Darstellung der Inzidenzgrenzen – Kartendarstellung wird nicht an politisch gesetzte Schwellenwerte angepasst; Tabelle wird um zeitlichen Verlauf der 7TI in den Kreisen erweitert;</w:t>
            </w:r>
          </w:p>
          <w:p>
            <w:pPr>
              <w:pStyle w:val="Listenabsatz"/>
              <w:spacing w:before="120"/>
              <w:ind w:left="624"/>
              <w:contextualSpacing w:val="0"/>
              <w:rPr>
                <w:color w:val="000000" w:themeColor="text1"/>
                <w:sz w:val="22"/>
                <w:szCs w:val="22"/>
              </w:rPr>
            </w:pPr>
          </w:p>
          <w:p>
            <w:pPr>
              <w:pStyle w:val="Listenabsatz"/>
              <w:spacing w:before="120"/>
              <w:ind w:left="624"/>
              <w:contextualSpacing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Disclaimer im Dashboard mit Hinweis auf nicht aussagekräftige Zahlen/Feiertagseffekte ausblenden? – Disclaimer für Meldezahlen nicht mehr notwendig, Testzahlen dagegen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vsl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 erst ab nächster Woche wieder aussagekräftig; Leitung: Disclaimer noch heute ausblenden, Pressestelle bestätigt;</w:t>
            </w:r>
          </w:p>
          <w:p>
            <w:pPr>
              <w:pStyle w:val="Listenabsatz"/>
              <w:spacing w:before="120"/>
              <w:ind w:left="624"/>
              <w:contextualSpacing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Hinweis auf Button im Dashboard mit Verlinkung zu aktuellem Lagebericht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Testkapazität und Testungen </w:t>
            </w:r>
            <w:r>
              <w:rPr>
                <w:b/>
                <w:color w:val="FF0000"/>
                <w:sz w:val="20"/>
                <w:szCs w:val="20"/>
              </w:rPr>
              <w:t>(nur mittwochs)</w:t>
            </w:r>
            <w:r>
              <w:rPr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Testzahlenerfassung am RKI</w:t>
            </w:r>
            <w:r>
              <w:rPr>
                <w:sz w:val="22"/>
                <w:szCs w:val="22"/>
              </w:rPr>
              <w:t xml:space="preserve"> (Folien</w:t>
            </w:r>
            <w:hyperlink r:id="rId12" w:history="1">
              <w:r>
                <w:rPr>
                  <w:rStyle w:val="Hyperlink"/>
                  <w:sz w:val="22"/>
                  <w:szCs w:val="22"/>
                  <w:u w:val="none"/>
                </w:rPr>
                <w:t xml:space="preserve"> </w:t>
              </w:r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Testzahlen und Positivquote (Folie 1)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Testungen in KW14 (1,15 </w:t>
            </w:r>
            <w:proofErr w:type="spellStart"/>
            <w:r>
              <w:rPr>
                <w:sz w:val="22"/>
                <w:szCs w:val="22"/>
              </w:rPr>
              <w:t>Mio</w:t>
            </w:r>
            <w:proofErr w:type="spellEnd"/>
            <w:r>
              <w:rPr>
                <w:sz w:val="22"/>
                <w:szCs w:val="22"/>
              </w:rPr>
              <w:t xml:space="preserve">) noch geringer als in KW13 (1,17 </w:t>
            </w:r>
            <w:proofErr w:type="spellStart"/>
            <w:r>
              <w:rPr>
                <w:sz w:val="22"/>
                <w:szCs w:val="22"/>
              </w:rPr>
              <w:t>Mio</w:t>
            </w:r>
            <w:proofErr w:type="spellEnd"/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weiter zunehmend (12 %) 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weniger Labore haben übermittelt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Auslastung der Kapazitäten (Folie 2)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Kapazität konstant um 2,2 </w:t>
            </w:r>
            <w:proofErr w:type="spellStart"/>
            <w:r>
              <w:rPr>
                <w:sz w:val="22"/>
                <w:szCs w:val="22"/>
              </w:rPr>
              <w:t>Mio</w:t>
            </w:r>
            <w:proofErr w:type="spellEnd"/>
            <w:r>
              <w:rPr>
                <w:sz w:val="22"/>
                <w:szCs w:val="22"/>
              </w:rPr>
              <w:t>/Woche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Probenrückstau (Folie 3)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nennenswerter Probenrückstau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Testzahlerfassung-VOC (Folie 4)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Übermittlungen: &gt; 50 % positiver PCRs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B.1.1.7 scheint sich um 85 % einzupendeln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POCT in Einrichtungen (Folie 5)</w:t>
            </w:r>
          </w:p>
          <w:p>
            <w:pPr>
              <w:pStyle w:val="Listenabsatz"/>
              <w:numPr>
                <w:ilvl w:val="2"/>
                <w:numId w:val="5"/>
              </w:numPr>
              <w:ind w:left="1491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insgesamt aus 354 Einrichtungen 585.360 POCT erfasst, davon 1027 positiv (0,2%), davon 865 (84%) in PCR gegangen, davon 482 (56 %) als positiv bestätigt übermittelt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ind w:left="45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SARS-CoV-2 in ARS </w:t>
            </w:r>
            <w:r>
              <w:rPr>
                <w:b/>
                <w:color w:val="FF0000"/>
                <w:sz w:val="22"/>
                <w:szCs w:val="22"/>
              </w:rPr>
              <w:t xml:space="preserve">(nur mittwochs) </w:t>
            </w:r>
            <w:r>
              <w:rPr>
                <w:sz w:val="22"/>
                <w:szCs w:val="22"/>
              </w:rPr>
              <w:t xml:space="preserve">(Folien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KW14: Rückgang der Testungen, </w:t>
            </w: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geringfügig gestiegen; durch Feiertag entstandene Lücke wird nicht nachgeholt, deutlicher Schnitt</w:t>
            </w:r>
          </w:p>
          <w:p>
            <w:pPr>
              <w:pStyle w:val="Listenabsatz"/>
              <w:numPr>
                <w:ilvl w:val="1"/>
                <w:numId w:val="5"/>
              </w:numPr>
              <w:ind w:left="90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Anzahl der Tests pro 100.000 EW in Altersgruppen 0</w:t>
            </w:r>
            <w:r>
              <w:rPr>
                <w:sz w:val="22"/>
                <w:szCs w:val="22"/>
              </w:rPr>
              <w:noBreakHyphen/>
              <w:t>14 durch „fehlenden“ Ostermontag deutlich zurückgegangen, in übrigen Altersgruppen stabil</w:t>
            </w:r>
          </w:p>
          <w:p>
            <w:pPr>
              <w:pStyle w:val="Listenabsatz"/>
              <w:numPr>
                <w:ilvl w:val="1"/>
                <w:numId w:val="5"/>
              </w:numPr>
              <w:ind w:left="90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deutliche Zunahme des </w:t>
            </w:r>
            <w:proofErr w:type="spellStart"/>
            <w:r>
              <w:rPr>
                <w:sz w:val="22"/>
                <w:szCs w:val="22"/>
              </w:rPr>
              <w:t>Positivenanteils</w:t>
            </w:r>
            <w:proofErr w:type="spellEnd"/>
            <w:r>
              <w:rPr>
                <w:sz w:val="22"/>
                <w:szCs w:val="22"/>
              </w:rPr>
              <w:t xml:space="preserve"> in allen Altersgruppen, bes. ausgeprägt in Altersgruppe 5</w:t>
            </w:r>
            <w:r>
              <w:rPr>
                <w:sz w:val="22"/>
                <w:szCs w:val="22"/>
              </w:rPr>
              <w:noBreakHyphen/>
              <w:t>14</w:t>
            </w:r>
          </w:p>
          <w:p>
            <w:pPr>
              <w:pStyle w:val="Listenabsatz"/>
              <w:numPr>
                <w:ilvl w:val="1"/>
                <w:numId w:val="5"/>
              </w:numPr>
              <w:ind w:left="905" w:hanging="28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Positivenanteil</w:t>
            </w:r>
            <w:proofErr w:type="spellEnd"/>
            <w:r>
              <w:rPr>
                <w:sz w:val="22"/>
                <w:szCs w:val="22"/>
              </w:rPr>
              <w:t xml:space="preserve"> pro 100.000 EW: kaum Veränderung gegenüber Vorwoche</w:t>
            </w:r>
          </w:p>
          <w:p>
            <w:pPr>
              <w:pStyle w:val="Listenabsatz"/>
              <w:numPr>
                <w:ilvl w:val="1"/>
                <w:numId w:val="5"/>
              </w:numPr>
              <w:ind w:left="905" w:hanging="283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Testort</w:t>
            </w:r>
            <w:proofErr w:type="spellEnd"/>
            <w:r>
              <w:rPr>
                <w:sz w:val="22"/>
                <w:szCs w:val="22"/>
              </w:rPr>
              <w:t>: Anteil pos. Testungen in Praxen zunehmend (&gt; 15 %), in KH kaum verändert (um 5 %)</w:t>
            </w:r>
          </w:p>
          <w:p>
            <w:pPr>
              <w:pStyle w:val="Listenabsatz"/>
              <w:numPr>
                <w:ilvl w:val="1"/>
                <w:numId w:val="5"/>
              </w:numPr>
              <w:ind w:left="905" w:hanging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B.1.1.7 (Daten aus 16 Laboren): Anteil del69/70 an allen Positiven knapp 100 % (Vorselektion); Anzahl Nachweise B.1.1.7+E484K zunehmend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Anzahl Ausbrüche in Altenheimen und Krankenhäusern </w:t>
            </w:r>
          </w:p>
          <w:p>
            <w:pPr>
              <w:pStyle w:val="Listenabsatz"/>
              <w:numPr>
                <w:ilvl w:val="2"/>
                <w:numId w:val="5"/>
              </w:numPr>
              <w:ind w:left="1189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Altenheime: stabil auf niedrigem Niveau (um 50/Woche)</w:t>
            </w:r>
          </w:p>
          <w:p>
            <w:pPr>
              <w:pStyle w:val="Listenabsatz"/>
              <w:numPr>
                <w:ilvl w:val="2"/>
                <w:numId w:val="5"/>
              </w:numPr>
              <w:ind w:left="1189" w:hanging="28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KH: auf niedrigem Niveau (&lt;100/Woche)</w:t>
            </w:r>
          </w:p>
          <w:p>
            <w:pPr>
              <w:pStyle w:val="Listenabsatz"/>
              <w:ind w:left="11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lastRenderedPageBreak/>
              <w:t>Syndromische</w:t>
            </w:r>
            <w:proofErr w:type="spellEnd"/>
            <w:r>
              <w:rPr>
                <w:b/>
                <w:sz w:val="22"/>
                <w:szCs w:val="22"/>
              </w:rPr>
              <w:t xml:space="preserve"> Surveillance </w:t>
            </w:r>
            <w:r>
              <w:rPr>
                <w:b/>
                <w:color w:val="FF0000"/>
                <w:sz w:val="22"/>
                <w:szCs w:val="22"/>
              </w:rPr>
              <w:t xml:space="preserve">(nur mittwochs) </w:t>
            </w:r>
            <w:r>
              <w:rPr>
                <w:sz w:val="22"/>
                <w:szCs w:val="22"/>
              </w:rPr>
              <w:t xml:space="preserve">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GrippeWeb</w:t>
            </w:r>
            <w:proofErr w:type="spellEnd"/>
            <w:r>
              <w:rPr>
                <w:sz w:val="22"/>
                <w:szCs w:val="22"/>
              </w:rPr>
              <w:t xml:space="preserve"> (Folie 2): ARE-Rate von KW13 zu KW14 insgesamt stabil, bei Kindern weiter rückläufig, in Altersgruppen 35+ geringfügig zunehmend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Konsultationsinzidenz (Folie 3): bei Kindern rückläufig, insgesamt wenig verändert, Verschiebung der Altersverteilung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ICOSARI-KH-Surveillance (ab </w:t>
            </w:r>
            <w:proofErr w:type="spellStart"/>
            <w:r>
              <w:rPr>
                <w:sz w:val="22"/>
                <w:szCs w:val="22"/>
                <w:lang w:val="en-US"/>
              </w:rPr>
              <w:t>Folie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4)</w:t>
            </w:r>
          </w:p>
          <w:p>
            <w:pPr>
              <w:pStyle w:val="Listenabsatz"/>
              <w:numPr>
                <w:ilvl w:val="2"/>
                <w:numId w:val="5"/>
              </w:numPr>
              <w:ind w:left="1047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SARI-Fallzahlen insgesamt stabil geblieben, </w:t>
            </w:r>
            <w:proofErr w:type="spellStart"/>
            <w:r>
              <w:rPr>
                <w:sz w:val="22"/>
                <w:szCs w:val="22"/>
              </w:rPr>
              <w:t>deutl</w:t>
            </w:r>
            <w:proofErr w:type="spellEnd"/>
            <w:r>
              <w:rPr>
                <w:sz w:val="22"/>
                <w:szCs w:val="22"/>
              </w:rPr>
              <w:t>. Anstieg in Altersgruppe 0-4, Rückgang in Altersgruppen 60-80+, in Altersgruppe 35-59 stabil auf hohem Niveau</w:t>
            </w:r>
          </w:p>
          <w:p>
            <w:pPr>
              <w:pStyle w:val="Listenabsatz"/>
              <w:numPr>
                <w:ilvl w:val="2"/>
                <w:numId w:val="5"/>
              </w:numPr>
              <w:ind w:left="1047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COVID-SARI: COVID</w:t>
            </w:r>
            <w:r>
              <w:rPr>
                <w:sz w:val="22"/>
                <w:szCs w:val="22"/>
              </w:rPr>
              <w:noBreakHyphen/>
              <w:t>19-Anteil an SARI-Fällen 60 %</w:t>
            </w:r>
          </w:p>
          <w:p>
            <w:pPr>
              <w:pStyle w:val="Listenabsatz"/>
              <w:numPr>
                <w:ilvl w:val="2"/>
                <w:numId w:val="5"/>
              </w:numPr>
              <w:ind w:left="1047" w:hanging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COVID-SARI-ITS: Zunahme in Altersgruppen 35-59, 60</w:t>
            </w:r>
            <w:r>
              <w:rPr>
                <w:sz w:val="22"/>
                <w:szCs w:val="22"/>
              </w:rPr>
              <w:noBreakHyphen/>
              <w:t>79; entspricht Niveau der 2. Welle; medianes Alter stabil (68); COVID</w:t>
            </w:r>
            <w:r>
              <w:rPr>
                <w:sz w:val="22"/>
                <w:szCs w:val="22"/>
              </w:rPr>
              <w:noBreakHyphen/>
              <w:t>19-Anteil an SARI-ITS-Fällen 85 %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DIVI-Intensivregister </w:t>
            </w:r>
            <w:r>
              <w:rPr>
                <w:b/>
                <w:color w:val="FF0000"/>
                <w:sz w:val="22"/>
                <w:szCs w:val="22"/>
              </w:rPr>
              <w:t>(nur mittwochs)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(Folien </w:t>
            </w:r>
            <w:hyperlink r:id="rId1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starke Zunahme der COVID-ITS-Fälle in nahezu allen BL (+250 in letzter Woche), SH einziges BL mit Rückgang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insgesamt leichte Abflachung im Anstiegsverhalten, noch nicht bewertbar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Kinder in Intensivbehandlung: starke Zunahme (+27)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Sterbefälle zunehmend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8 BL &gt; 20 % COVID</w:t>
            </w:r>
            <w:r>
              <w:rPr>
                <w:sz w:val="22"/>
                <w:szCs w:val="22"/>
              </w:rPr>
              <w:noBreakHyphen/>
              <w:t>19-Anteil an ITS-Betten; Zahl freier, betreibbarer Betten nimmt ab; 60 % der Intensivbereiche melden Einschränkungen im Betrieb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freie ECMO-Kapazitäten abnehmend; 80 % der ECMO-Behandlungen entfallen auf COVID</w:t>
            </w:r>
            <w:r>
              <w:rPr>
                <w:sz w:val="22"/>
                <w:szCs w:val="22"/>
              </w:rPr>
              <w:noBreakHyphen/>
              <w:t>19-Patienten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SPoCK</w:t>
            </w:r>
            <w:proofErr w:type="spellEnd"/>
            <w:r>
              <w:rPr>
                <w:sz w:val="22"/>
                <w:szCs w:val="22"/>
              </w:rPr>
              <w:t>-Prognosen nach Regionen: Anstieg der COVID</w:t>
            </w:r>
            <w:r>
              <w:rPr>
                <w:sz w:val="22"/>
                <w:szCs w:val="22"/>
              </w:rPr>
              <w:noBreakHyphen/>
              <w:t xml:space="preserve">ITS-Patientenzahlen prognostiziert für Ost, Süd, Süd-West, West; nur für Nord Abnahme prognostiziert </w:t>
            </w:r>
          </w:p>
          <w:p>
            <w:pPr>
              <w:pStyle w:val="Listenabsatz"/>
              <w:ind w:left="1491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Virologische Surveillance – NRZ Influenzaviren </w:t>
            </w:r>
            <w:r>
              <w:rPr>
                <w:b/>
                <w:color w:val="FF0000"/>
                <w:sz w:val="22"/>
                <w:szCs w:val="22"/>
              </w:rPr>
              <w:t>(nur mittwochs)</w:t>
            </w:r>
            <w:r>
              <w:rPr>
                <w:sz w:val="22"/>
                <w:szCs w:val="22"/>
              </w:rPr>
              <w:t xml:space="preserve"> (Folien </w:t>
            </w:r>
            <w:hyperlink r:id="rId16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spiegeln bereits Berichtetes wider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Einsendungen in den letzten zwei Wochen reduziert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KW14 139 Einsendungen, SARS-CoV</w:t>
            </w:r>
            <w:r>
              <w:rPr>
                <w:sz w:val="22"/>
                <w:szCs w:val="22"/>
              </w:rPr>
              <w:noBreakHyphen/>
              <w:t>2-Anteil 11,5 %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Verschiebung bei den Einsendungen von jüngeren (0</w:t>
            </w:r>
            <w:r>
              <w:rPr>
                <w:sz w:val="22"/>
                <w:szCs w:val="22"/>
              </w:rPr>
              <w:noBreakHyphen/>
              <w:t>4, 5</w:t>
            </w:r>
            <w:r>
              <w:rPr>
                <w:sz w:val="22"/>
                <w:szCs w:val="22"/>
              </w:rPr>
              <w:noBreakHyphen/>
              <w:t xml:space="preserve">15) zu älteren (35-60, 60+) Altersgruppen 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Rhinoviren</w:t>
            </w:r>
            <w:proofErr w:type="spellEnd"/>
            <w:r>
              <w:rPr>
                <w:sz w:val="22"/>
                <w:szCs w:val="22"/>
              </w:rPr>
              <w:t>: insgesamt starker Rückgang, bei 60+ leichte Zunahme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humane Metapneumoviren: leichte Aktivität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Influenza: keine Nachweise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endemische Coronaviren: NL63 rückläufig, Knick durch Ostertage, leichte Aktivität bei 229E und OC43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SARS-CoV</w:t>
            </w:r>
            <w:r>
              <w:rPr>
                <w:sz w:val="22"/>
                <w:szCs w:val="22"/>
              </w:rPr>
              <w:noBreakHyphen/>
              <w:t>2: starke Zunahme der Nachweise in Altersgruppen 35+, Kinder wenig auffällig</w:t>
            </w:r>
          </w:p>
          <w:p>
            <w:pPr>
              <w:pStyle w:val="Listenabsatz"/>
              <w:numPr>
                <w:ilvl w:val="1"/>
                <w:numId w:val="5"/>
              </w:numPr>
              <w:ind w:left="924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Doppelinfektion NL63/SARS-CoV</w:t>
            </w:r>
            <w:r>
              <w:rPr>
                <w:sz w:val="22"/>
                <w:szCs w:val="22"/>
              </w:rPr>
              <w:noBreakHyphen/>
              <w:t>2 in einer Probe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ind w:left="454"/>
              <w:rPr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b/>
                <w:i/>
                <w:color w:val="000000" w:themeColor="text1"/>
                <w:sz w:val="22"/>
                <w:szCs w:val="22"/>
              </w:rPr>
              <w:t>-- Diskussion --</w:t>
            </w:r>
          </w:p>
          <w:p>
            <w:pPr>
              <w:pStyle w:val="Listenabsatz"/>
              <w:ind w:left="454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Positivenanteil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in KH (ARS-Daten): Ist die vorgeschädigte KH-Population tatsächlich weniger betroffen? – möglicher Effekt der Impfungen von Personal und Patienten; in einigen </w:t>
            </w:r>
            <w:r>
              <w:rPr>
                <w:color w:val="000000" w:themeColor="text1"/>
                <w:sz w:val="22"/>
                <w:szCs w:val="22"/>
              </w:rPr>
              <w:lastRenderedPageBreak/>
              <w:t>deutschen Unikliniken Impfung aller stationär aufgenommenen Patienten;</w:t>
            </w:r>
          </w:p>
          <w:p>
            <w:pPr>
              <w:pStyle w:val="Listenabsatz"/>
              <w:spacing w:before="120"/>
              <w:ind w:left="454"/>
              <w:contextualSpacing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Varianten: in Sequenzierungsdaten macht B.1.1.7 in KW13 knapp 90 % aus, vermutlich Annäherung an 100 %; Modellierung aus den NL geht von Verdrängung der Variante B.1.1.7 durch P1 aus; weiter keine aussagekräftigen Daten zur Krankheitsschwere bei B.1.1.7;</w:t>
            </w:r>
          </w:p>
          <w:p>
            <w:pPr>
              <w:pStyle w:val="Listenabsatz"/>
              <w:spacing w:before="120" w:after="120"/>
              <w:ind w:left="454"/>
              <w:contextualSpacing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Risikowahrnehmung: die jetzt vermehrt betroffenen jüngeren Altersgruppen nehmen sich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möglw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. nicht als Risikogruppe wahr bzw. werden von Ärzteschaft nicht als solche wahrgenommen;</w:t>
            </w:r>
          </w:p>
          <w:p>
            <w:pPr>
              <w:pStyle w:val="Listenabsatz"/>
              <w:spacing w:before="120" w:after="120"/>
              <w:ind w:left="454"/>
              <w:contextualSpacing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Intensivbehandlung: betrifft zunehmend jüngere Patienten, Intensität der Behandlung bei jüngeren Patienten höher als bei älteren; Kommunikation relevanter Zeitspannen an Praxen? – Zeitspanne Erkrankungsbeginn – Hospitalisierung – ITS geht aus Meldedaten hervor (falls erfasst)</w:t>
            </w:r>
          </w:p>
          <w:p>
            <w:pPr>
              <w:pStyle w:val="Listenabsatz"/>
              <w:spacing w:before="120" w:after="120"/>
              <w:ind w:left="454"/>
              <w:contextualSpacing w:val="0"/>
              <w:rPr>
                <w:i/>
                <w:color w:val="000000" w:themeColor="text1"/>
                <w:sz w:val="22"/>
                <w:szCs w:val="22"/>
              </w:rPr>
            </w:pPr>
            <w:r>
              <w:rPr>
                <w:i/>
                <w:color w:val="000000" w:themeColor="text1"/>
                <w:sz w:val="22"/>
                <w:szCs w:val="22"/>
              </w:rPr>
              <w:t>TODO: Diskussion der o. g. Zeitspannen in Meldedatengruppe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FG32 (M. </w:t>
            </w:r>
            <w:r>
              <w:rPr>
                <w:sz w:val="22"/>
              </w:rPr>
              <w:t>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 (Janna Seifried)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 37 (Tim Eckmanns)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 xml:space="preserve">FG36 (Silke Buda) 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MF (Martina Fischer)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17 (Ralf Dürrwald)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  <w:sz w:val="22"/>
                <w:szCs w:val="22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contextualSpacing w:val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  <w:sz w:val="22"/>
                <w:szCs w:val="22"/>
              </w:rPr>
              <w:t>(nur montags)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Infoblatt zur Impfung für Kita-Beschäftigte geht in Kürze online auf infektionsschutz.de</w:t>
            </w:r>
          </w:p>
          <w:p>
            <w:pPr>
              <w:spacing w:before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Pressestelle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viele Nachfragen zu Feiertagseffekten, wann sind Zahlen wieder aussagekräftig?</w:t>
            </w:r>
          </w:p>
          <w:p>
            <w:pPr>
              <w:spacing w:before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P1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Flyer des BMFSFJ zu Schnelltests spricht von „Sicherheit im Alltag“ – bitte diese Formulierung nicht nutzen, besser von Risikoreduktion o. ä. sprechen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zur Gesundheit ehemaliger Intensivpatienten wären für Kommunikation (v. a. an Bevölkerung, weniger an Politik) hilfreich, langfristige Perspektive nicht aus den Augen verlieren</w:t>
            </w:r>
          </w:p>
          <w:p>
            <w:pPr>
              <w:pStyle w:val="Listenabsatz"/>
              <w:spacing w:before="120"/>
              <w:ind w:left="454"/>
              <w:contextualSpacing w:val="0"/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TODO: Zusammentragen von Daten zu Gesundheit ehem. ITS-Patienten (P1, Zuarbeit IBBS)</w:t>
            </w:r>
          </w:p>
          <w:p>
            <w:pPr>
              <w:spacing w:before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vorgezogene BPK morgen, 15.04.2021 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Fokus auf klinische Aspekte: </w:t>
            </w:r>
            <w:proofErr w:type="spellStart"/>
            <w:r>
              <w:rPr>
                <w:sz w:val="22"/>
                <w:szCs w:val="22"/>
              </w:rPr>
              <w:t>syndromische</w:t>
            </w:r>
            <w:proofErr w:type="spellEnd"/>
            <w:r>
              <w:rPr>
                <w:sz w:val="22"/>
                <w:szCs w:val="22"/>
              </w:rPr>
              <w:t xml:space="preserve"> Surveillance, stationäre und Intensivbehandlung, insbes. Zahlen zu ECMO-Kapazitäten, Kinder in Intensivbehandlung (s. a. Klinisches Management)</w:t>
            </w:r>
          </w:p>
          <w:p>
            <w:pPr>
              <w:pStyle w:val="Listenabsatz"/>
              <w:spacing w:before="120"/>
              <w:ind w:left="454"/>
              <w:contextualSpacing w:val="0"/>
              <w:rPr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TODO: Daten in Sprechzettel aufnehmen (P1)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(Heide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Ebrahimzadeh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>-Wetter)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(Ronja Wenchel)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P1 (Mirjam Jenny)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Präs</w:t>
            </w:r>
            <w:proofErr w:type="spellEnd"/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spacing w:line="276" w:lineRule="auto"/>
              <w:ind w:left="340"/>
              <w:rPr>
                <w:sz w:val="22"/>
              </w:rPr>
            </w:pPr>
            <w:r>
              <w:rPr>
                <w:sz w:val="22"/>
              </w:rPr>
              <w:t xml:space="preserve">Hinweis auf Erlassbericht zu </w:t>
            </w:r>
            <w:proofErr w:type="spellStart"/>
            <w:r>
              <w:rPr>
                <w:sz w:val="22"/>
              </w:rPr>
              <w:t>Genesenenzertifikat</w:t>
            </w:r>
            <w:proofErr w:type="spellEnd"/>
            <w:r>
              <w:rPr>
                <w:sz w:val="22"/>
              </w:rPr>
              <w:t xml:space="preserve"> vom 13.04.21 (ID3336)</w:t>
            </w: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 (Ute 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Kontaktpersonen-Nachverfolgung bei SARS-CoV-2-Infektionen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AGI-Kritik an Empfehlung für frühere Fälle „die berufliche Tätigkeit … mit Risikogruppen für 14 Tage nach dem letzten Kontakt zu dem Fall“ zu </w:t>
            </w:r>
            <w:r>
              <w:rPr>
                <w:i/>
                <w:sz w:val="22"/>
                <w:szCs w:val="22"/>
              </w:rPr>
              <w:t>„pausieren“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Ansteckungsverdacht, damit keine Grundlage für Tätigkeitsverbot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Diskussion: beruflichen Bereich von jetziger Formulierung ausnehmen, für privaten Bereich Empfehlung zur „</w:t>
            </w:r>
            <w:proofErr w:type="spellStart"/>
            <w:r>
              <w:rPr>
                <w:sz w:val="22"/>
                <w:szCs w:val="22"/>
              </w:rPr>
              <w:t>Pausierung</w:t>
            </w:r>
            <w:proofErr w:type="spellEnd"/>
            <w:r>
              <w:rPr>
                <w:sz w:val="22"/>
                <w:szCs w:val="22"/>
              </w:rPr>
              <w:t>“ aufrechterhalten</w:t>
            </w:r>
          </w:p>
          <w:p>
            <w:pPr>
              <w:spacing w:before="120"/>
              <w:ind w:firstLine="48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TODO (mittelfristig): Anpassung des Dokuments (FG36/37)</w:t>
            </w:r>
          </w:p>
          <w:p>
            <w:pPr>
              <w:spacing w:before="120"/>
              <w:ind w:firstLine="482"/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Optionen zur vorzeitigen Tätigkeitsaufnahme für KP1 unter medizinischem Personal bei Personalmangel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Empfehlungen wurden im Glauben entfernt, dass KH-Personal durchgeimpft ist, was aber tatsächlich nicht der Fall ist (Situation in Berlin nicht repräsentativ) </w:t>
            </w:r>
          </w:p>
          <w:p>
            <w:pPr>
              <w:spacing w:before="120"/>
              <w:ind w:firstLine="482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TODO: Wiedereinführung der Empfehlungen diskutieren (FG37)</w:t>
            </w:r>
          </w:p>
          <w:p>
            <w:pPr>
              <w:pStyle w:val="Listenabsatz"/>
              <w:ind w:left="907"/>
              <w:rPr>
                <w:i/>
                <w:sz w:val="22"/>
                <w:szCs w:val="22"/>
              </w:rPr>
            </w:pP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FG38 (Ute Rexroth) 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FG37 (Tim Eckmanns)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color w:val="FF0000"/>
                <w:sz w:val="20"/>
                <w:szCs w:val="20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contextualSpacing w:val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rPr>
                <w:sz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Vorschlag für zwei Kernbotschaften (s. a. Kommunikation):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elektive Eingriffe aussetzen, Regelbetrieb einschränken, bestenfalls in allen (auch privaten) KH, um Kapazitäten zu erhalten</w:t>
            </w:r>
          </w:p>
          <w:p>
            <w:pPr>
              <w:pStyle w:val="Listenabsatz"/>
              <w:numPr>
                <w:ilvl w:val="1"/>
                <w:numId w:val="5"/>
              </w:numPr>
              <w:ind w:left="907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strategische Verlegung von Patienten zum Kapazitätsausgleich wird in Kürze erforderlich sein</w:t>
            </w:r>
          </w:p>
          <w:p>
            <w:pPr>
              <w:pStyle w:val="Listenabsatz"/>
              <w:spacing w:before="120"/>
              <w:ind w:left="454"/>
              <w:contextualSpacing w:val="0"/>
              <w:rPr>
                <w:b/>
                <w:i/>
                <w:color w:val="000000" w:themeColor="text1"/>
                <w:sz w:val="22"/>
                <w:szCs w:val="22"/>
              </w:rPr>
            </w:pPr>
            <w:r>
              <w:rPr>
                <w:b/>
                <w:i/>
                <w:color w:val="000000" w:themeColor="text1"/>
                <w:sz w:val="22"/>
                <w:szCs w:val="22"/>
              </w:rPr>
              <w:t>-- Diskussion --</w:t>
            </w:r>
          </w:p>
          <w:p>
            <w:pPr>
              <w:pStyle w:val="Listenabsatz"/>
              <w:spacing w:after="120"/>
              <w:ind w:left="454"/>
              <w:contextualSpacing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Warum erfolgt keine offene Kommunikation zu besonders betroffenen Regionen? – nicht unsere Primärdaten, einzelne Regionen sollen nicht herausgegriffen werden, keine Einmischung in die Krisenkommunikation anderer – Einwand: </w:t>
            </w:r>
            <w:r>
              <w:rPr>
                <w:color w:val="000000" w:themeColor="text1"/>
                <w:sz w:val="22"/>
                <w:szCs w:val="22"/>
              </w:rPr>
              <w:lastRenderedPageBreak/>
              <w:t>DIVI-Daten liegen in hoher Auflösung (regionale bzw. Standortebene) vor, könnten genutzt werden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 (Christian Herzog)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contextualSpacing w:val="0"/>
              <w:rPr>
                <w:sz w:val="22"/>
                <w:szCs w:val="22"/>
              </w:rPr>
            </w:pPr>
            <w:r>
              <w:t>Nicht besprochen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contextualSpacing w:val="0"/>
              <w:rPr>
                <w:sz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  <w:sz w:val="22"/>
                <w:szCs w:val="22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</w:rPr>
              <w:t>Nicht besprochen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  <w:sz w:val="22"/>
                <w:szCs w:val="22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spacing w:after="120"/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682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Freitag, 16.04.2021,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605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jc w:val="right"/>
      <w:rPr>
        <w:i/>
        <w:color w:val="7F7F7F" w:themeColor="text1" w:themeTint="80"/>
      </w:rPr>
    </w:pPr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700C3"/>
    <w:multiLevelType w:val="hybridMultilevel"/>
    <w:tmpl w:val="5838F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916AF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20327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D2DDE"/>
    <w:multiLevelType w:val="hybridMultilevel"/>
    <w:tmpl w:val="C9FA2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F000E"/>
    <w:multiLevelType w:val="hybridMultilevel"/>
    <w:tmpl w:val="C0587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97807"/>
    <w:multiLevelType w:val="hybridMultilevel"/>
    <w:tmpl w:val="4520571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2D24DF"/>
    <w:multiLevelType w:val="hybridMultilevel"/>
    <w:tmpl w:val="8FD43CAA"/>
    <w:lvl w:ilvl="0" w:tplc="0407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A74D46"/>
    <w:multiLevelType w:val="hybridMultilevel"/>
    <w:tmpl w:val="68389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5C62"/>
    <w:multiLevelType w:val="hybridMultilevel"/>
    <w:tmpl w:val="49AA7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256C49"/>
    <w:multiLevelType w:val="hybridMultilevel"/>
    <w:tmpl w:val="12DAA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085B02"/>
    <w:multiLevelType w:val="hybridMultilevel"/>
    <w:tmpl w:val="6206F60A"/>
    <w:lvl w:ilvl="0" w:tplc="04070005">
      <w:start w:val="1"/>
      <w:numFmt w:val="bullet"/>
      <w:lvlText w:val=""/>
      <w:lvlJc w:val="left"/>
      <w:pPr>
        <w:ind w:left="164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0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31650"/>
    <w:multiLevelType w:val="hybridMultilevel"/>
    <w:tmpl w:val="5EEA8D1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22"/>
  </w:num>
  <w:num w:numId="5">
    <w:abstractNumId w:val="10"/>
  </w:num>
  <w:num w:numId="6">
    <w:abstractNumId w:val="24"/>
  </w:num>
  <w:num w:numId="7">
    <w:abstractNumId w:val="30"/>
  </w:num>
  <w:num w:numId="8">
    <w:abstractNumId w:val="17"/>
  </w:num>
  <w:num w:numId="9">
    <w:abstractNumId w:val="6"/>
  </w:num>
  <w:num w:numId="10">
    <w:abstractNumId w:val="35"/>
  </w:num>
  <w:num w:numId="11">
    <w:abstractNumId w:val="28"/>
  </w:num>
  <w:num w:numId="12">
    <w:abstractNumId w:val="19"/>
  </w:num>
  <w:num w:numId="13">
    <w:abstractNumId w:val="16"/>
  </w:num>
  <w:num w:numId="14">
    <w:abstractNumId w:val="25"/>
  </w:num>
  <w:num w:numId="15">
    <w:abstractNumId w:val="20"/>
  </w:num>
  <w:num w:numId="16">
    <w:abstractNumId w:val="0"/>
  </w:num>
  <w:num w:numId="17">
    <w:abstractNumId w:val="15"/>
  </w:num>
  <w:num w:numId="18">
    <w:abstractNumId w:val="33"/>
  </w:num>
  <w:num w:numId="19">
    <w:abstractNumId w:val="13"/>
  </w:num>
  <w:num w:numId="20">
    <w:abstractNumId w:val="31"/>
  </w:num>
  <w:num w:numId="21">
    <w:abstractNumId w:val="9"/>
  </w:num>
  <w:num w:numId="22">
    <w:abstractNumId w:val="11"/>
  </w:num>
  <w:num w:numId="23">
    <w:abstractNumId w:val="2"/>
  </w:num>
  <w:num w:numId="24">
    <w:abstractNumId w:val="26"/>
  </w:num>
  <w:num w:numId="25">
    <w:abstractNumId w:val="18"/>
  </w:num>
  <w:num w:numId="26">
    <w:abstractNumId w:val="1"/>
  </w:num>
  <w:num w:numId="27">
    <w:abstractNumId w:val="27"/>
  </w:num>
  <w:num w:numId="28">
    <w:abstractNumId w:val="34"/>
  </w:num>
  <w:num w:numId="29">
    <w:abstractNumId w:val="21"/>
  </w:num>
  <w:num w:numId="30">
    <w:abstractNumId w:val="23"/>
  </w:num>
  <w:num w:numId="31">
    <w:abstractNumId w:val="7"/>
  </w:num>
  <w:num w:numId="32">
    <w:abstractNumId w:val="3"/>
  </w:num>
  <w:num w:numId="33">
    <w:abstractNumId w:val="8"/>
  </w:num>
  <w:num w:numId="34">
    <w:abstractNumId w:val="32"/>
  </w:num>
  <w:num w:numId="35">
    <w:abstractNumId w:val="12"/>
  </w:num>
  <w:num w:numId="36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file:///S:\Wissdaten\RKI_nCoV-Lage\1.Lagemanagement\1.3.Besprechungen_TKs\1.Lage_AG\2021-04-14_Lage_AG\210414_SARS-CoV-2%20in%20ARS_Krisenstabssitzung_tE.pptx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1-04-14_Lage_AG\Testzahlerfassung%20am%20RKI_2021-04-14.ppt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1-04-14_Lage_AG\NRZ%20Influenzaviren%20Krisenstab%2014042021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S:\Wissdaten\RKI_nCoV-Lage\1.Lagemanagement\1.3.Besprechungen_TKs\1.Lage_AG\2021-04-14_Lage_AG\Lage-National_2021-04-14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1-04-14_Lage_AG\2021-04-14_Intensivregister_SPoCK_v2.ppt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S:\Wissdaten\RKI_nCoV-Lage\1.Lagemanagement\1.3.Besprechungen_TKs\1.Lage_AG\2021-04-14_Lage_AG\syndrom-ARE-SARI-COVID_bis_KW14_2021_f&#252;r-Krisenstab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AE306-5A30-43C7-AE84-4688CC44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1712</Words>
  <Characters>10788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Grote, Ulrike</cp:lastModifiedBy>
  <cp:revision>4</cp:revision>
  <cp:lastPrinted>2020-05-06T16:43:00Z</cp:lastPrinted>
  <dcterms:created xsi:type="dcterms:W3CDTF">2021-04-14T19:52:00Z</dcterms:created>
  <dcterms:modified xsi:type="dcterms:W3CDTF">2021-04-16T08:43:00Z</dcterms:modified>
</cp:coreProperties>
</file>