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28.04.2021, 11-13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 xml:space="preserve">RKI, </w:t>
          </w:r>
          <w:proofErr w:type="spellStart"/>
          <w:r>
            <w:rPr>
              <w:rFonts w:cs="Arial"/>
              <w:sz w:val="20"/>
              <w:szCs w:val="20"/>
            </w:rPr>
            <w:t>Webex</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1"/>
          <w:numId w:val="4"/>
        </w:numPr>
        <w:spacing w:after="0"/>
        <w:contextualSpacing w:val="0"/>
        <w:rPr>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 xml:space="preserve">Abt. 3 </w:t>
      </w:r>
    </w:p>
    <w:p>
      <w:pPr>
        <w:pStyle w:val="Listenabsatz"/>
        <w:numPr>
          <w:ilvl w:val="1"/>
          <w:numId w:val="2"/>
        </w:numPr>
        <w:spacing w:after="0"/>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contextualSpacing w:val="0"/>
        <w:rPr>
          <w:sz w:val="22"/>
        </w:rPr>
      </w:pPr>
      <w:r>
        <w:rPr>
          <w:sz w:val="22"/>
        </w:rPr>
        <w:t>Janna Seifried</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Luisa Denkel</w:t>
      </w:r>
    </w:p>
    <w:p>
      <w:pPr>
        <w:pStyle w:val="Listenabsatz"/>
        <w:numPr>
          <w:ilvl w:val="1"/>
          <w:numId w:val="2"/>
        </w:numPr>
        <w:spacing w:after="0"/>
        <w:contextualSpacing w:val="0"/>
        <w:rPr>
          <w:sz w:val="22"/>
        </w:rPr>
      </w:pPr>
      <w:r>
        <w:rPr>
          <w:sz w:val="22"/>
        </w:rPr>
        <w:t xml:space="preserve">Eugenia </w:t>
      </w:r>
      <w:proofErr w:type="spellStart"/>
      <w:r>
        <w:rPr>
          <w:sz w:val="22"/>
        </w:rPr>
        <w:t>Romo</w:t>
      </w:r>
      <w:proofErr w:type="spellEnd"/>
      <w:r>
        <w:rPr>
          <w:sz w:val="22"/>
        </w:rPr>
        <w:t xml:space="preserve"> Ventura</w:t>
      </w:r>
    </w:p>
    <w:p>
      <w:pPr>
        <w:pStyle w:val="Listenabsatz"/>
        <w:numPr>
          <w:ilvl w:val="0"/>
          <w:numId w:val="2"/>
        </w:numPr>
        <w:spacing w:after="0"/>
        <w:contextualSpacing w:val="0"/>
        <w:rPr>
          <w:sz w:val="22"/>
        </w:rPr>
      </w:pPr>
      <w:r>
        <w:rPr>
          <w:sz w:val="22"/>
        </w:rPr>
        <w:t>ZIG2</w:t>
      </w:r>
    </w:p>
    <w:p>
      <w:pPr>
        <w:pStyle w:val="Listenabsatz"/>
        <w:numPr>
          <w:ilvl w:val="1"/>
          <w:numId w:val="2"/>
        </w:numPr>
        <w:spacing w:after="0"/>
        <w:contextualSpacing w:val="0"/>
        <w:rPr>
          <w:sz w:val="22"/>
        </w:rPr>
      </w:pPr>
      <w:r>
        <w:rPr>
          <w:sz w:val="22"/>
        </w:rPr>
        <w:t>Thurid Bahr</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Ralf Dürrwald</w:t>
      </w:r>
    </w:p>
    <w:p>
      <w:pPr>
        <w:pStyle w:val="Listenabsatz"/>
        <w:numPr>
          <w:ilvl w:val="0"/>
          <w:numId w:val="4"/>
        </w:numPr>
        <w:spacing w:after="0"/>
        <w:rPr>
          <w:sz w:val="22"/>
        </w:rPr>
      </w:pPr>
      <w:r>
        <w:rPr>
          <w:sz w:val="22"/>
        </w:rPr>
        <w:t>FG21</w:t>
      </w:r>
    </w:p>
    <w:p>
      <w:pPr>
        <w:pStyle w:val="Listenabsatz"/>
        <w:numPr>
          <w:ilvl w:val="0"/>
          <w:numId w:val="34"/>
        </w:numPr>
        <w:spacing w:after="0"/>
        <w:rPr>
          <w:sz w:val="22"/>
        </w:rPr>
      </w:pPr>
      <w:r>
        <w:rPr>
          <w:sz w:val="22"/>
        </w:rPr>
        <w:t>Wolfgang Scheida</w:t>
      </w:r>
    </w:p>
    <w:p>
      <w:pPr>
        <w:pStyle w:val="Listenabsatz"/>
        <w:numPr>
          <w:ilvl w:val="0"/>
          <w:numId w:val="5"/>
        </w:numPr>
        <w:spacing w:after="0"/>
        <w:contextualSpacing w:val="0"/>
        <w:rPr>
          <w:sz w:val="22"/>
        </w:rPr>
      </w:pPr>
      <w:r>
        <w:rPr>
          <w:sz w:val="22"/>
        </w:rPr>
        <w:t>FG24</w:t>
      </w:r>
    </w:p>
    <w:p>
      <w:pPr>
        <w:pStyle w:val="Listenabsatz"/>
        <w:numPr>
          <w:ilvl w:val="1"/>
          <w:numId w:val="5"/>
        </w:numPr>
        <w:spacing w:after="0"/>
        <w:contextualSpacing w:val="0"/>
        <w:rPr>
          <w:sz w:val="22"/>
        </w:rPr>
      </w:pPr>
      <w:r>
        <w:rPr>
          <w:sz w:val="22"/>
        </w:rPr>
        <w:t>Thomas Ziese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rPr>
          <w:sz w:val="22"/>
        </w:rPr>
      </w:pPr>
      <w:r>
        <w:rPr>
          <w:sz w:val="22"/>
        </w:rPr>
        <w:t>Thomas Harder</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Kristin Tolksdorf</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5"/>
        </w:numPr>
        <w:spacing w:after="0"/>
        <w:rPr>
          <w:sz w:val="22"/>
        </w:rPr>
      </w:pPr>
      <w:r>
        <w:rPr>
          <w:sz w:val="22"/>
        </w:rPr>
        <w:t>FG38</w:t>
      </w:r>
    </w:p>
    <w:p>
      <w:pPr>
        <w:pStyle w:val="Listenabsatz"/>
        <w:numPr>
          <w:ilvl w:val="1"/>
          <w:numId w:val="2"/>
        </w:numPr>
        <w:spacing w:after="0"/>
        <w:contextualSpacing w:val="0"/>
        <w:rPr>
          <w:sz w:val="22"/>
        </w:rPr>
      </w:pPr>
      <w:r>
        <w:rPr>
          <w:sz w:val="22"/>
        </w:rPr>
        <w:t>Maria an der Heiden</w:t>
      </w:r>
    </w:p>
    <w:p>
      <w:pPr>
        <w:pStyle w:val="Listenabsatz"/>
        <w:numPr>
          <w:ilvl w:val="0"/>
          <w:numId w:val="4"/>
        </w:numPr>
        <w:spacing w:after="0"/>
        <w:contextualSpacing w:val="0"/>
        <w:rPr>
          <w:sz w:val="22"/>
        </w:rPr>
      </w:pPr>
      <w:r>
        <w:rPr>
          <w:sz w:val="22"/>
        </w:rPr>
        <w:t>IBBS</w:t>
      </w:r>
    </w:p>
    <w:p>
      <w:pPr>
        <w:pStyle w:val="Listenabsatz"/>
        <w:numPr>
          <w:ilvl w:val="1"/>
          <w:numId w:val="2"/>
        </w:numPr>
        <w:spacing w:after="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Susanne Glasmacher</w:t>
      </w:r>
    </w:p>
    <w:p>
      <w:pPr>
        <w:pStyle w:val="Listenabsatz"/>
        <w:numPr>
          <w:ilvl w:val="1"/>
          <w:numId w:val="2"/>
        </w:numPr>
        <w:spacing w:after="0"/>
        <w:contextualSpacing w:val="0"/>
        <w:rPr>
          <w:sz w:val="22"/>
        </w:rPr>
      </w:pPr>
      <w:r>
        <w:rPr>
          <w:sz w:val="22"/>
        </w:rPr>
        <w:t xml:space="preserve">Ronja Wenchel </w:t>
      </w:r>
    </w:p>
    <w:p>
      <w:pPr>
        <w:pStyle w:val="Listenabsatz"/>
        <w:numPr>
          <w:ilvl w:val="1"/>
          <w:numId w:val="2"/>
        </w:numPr>
        <w:spacing w:after="0"/>
        <w:contextualSpacing w:val="0"/>
        <w:rPr>
          <w:sz w:val="22"/>
        </w:rPr>
      </w:pPr>
      <w:r>
        <w:rPr>
          <w:sz w:val="22"/>
        </w:rPr>
        <w:t>Marieke Degen</w:t>
      </w:r>
    </w:p>
    <w:p>
      <w:pPr>
        <w:pStyle w:val="Listenabsatz"/>
        <w:numPr>
          <w:ilvl w:val="0"/>
          <w:numId w:val="33"/>
        </w:numPr>
        <w:spacing w:after="0"/>
        <w:rPr>
          <w:sz w:val="22"/>
        </w:rPr>
      </w:pPr>
      <w:r>
        <w:rPr>
          <w:sz w:val="22"/>
        </w:rPr>
        <w:t>P1</w:t>
      </w:r>
    </w:p>
    <w:p>
      <w:pPr>
        <w:pStyle w:val="Listenabsatz"/>
        <w:numPr>
          <w:ilvl w:val="1"/>
          <w:numId w:val="2"/>
        </w:numPr>
        <w:spacing w:after="0"/>
        <w:rPr>
          <w:sz w:val="22"/>
          <w:szCs w:val="22"/>
        </w:rPr>
      </w:pPr>
      <w:r>
        <w:rPr>
          <w:sz w:val="22"/>
          <w:szCs w:val="22"/>
        </w:rPr>
        <w:t>Ines Lein</w:t>
      </w:r>
    </w:p>
    <w:p>
      <w:pPr>
        <w:pStyle w:val="Listenabsatz"/>
        <w:numPr>
          <w:ilvl w:val="0"/>
          <w:numId w:val="6"/>
        </w:numPr>
        <w:spacing w:after="0"/>
        <w:contextualSpacing w:val="0"/>
        <w:rPr>
          <w:sz w:val="22"/>
        </w:rPr>
      </w:pPr>
      <w:r>
        <w:rPr>
          <w:sz w:val="22"/>
        </w:rPr>
        <w:t>P4</w:t>
      </w:r>
    </w:p>
    <w:p>
      <w:pPr>
        <w:pStyle w:val="Listenabsatz"/>
        <w:numPr>
          <w:ilvl w:val="1"/>
          <w:numId w:val="2"/>
        </w:numPr>
        <w:spacing w:after="0"/>
        <w:rPr>
          <w:sz w:val="22"/>
        </w:rPr>
      </w:pPr>
      <w:r>
        <w:rPr>
          <w:sz w:val="22"/>
        </w:rPr>
        <w:t xml:space="preserve">Susanne Gottwald </w:t>
      </w:r>
    </w:p>
    <w:p>
      <w:pPr>
        <w:pStyle w:val="Listenabsatz"/>
        <w:numPr>
          <w:ilvl w:val="0"/>
          <w:numId w:val="2"/>
        </w:numPr>
        <w:spacing w:after="0"/>
        <w:contextualSpacing w:val="0"/>
        <w:rPr>
          <w:sz w:val="22"/>
        </w:rPr>
      </w:pPr>
      <w:r>
        <w:rPr>
          <w:sz w:val="22"/>
        </w:rPr>
        <w:t>BZgA</w:t>
      </w:r>
    </w:p>
    <w:p>
      <w:pPr>
        <w:pStyle w:val="Listenabsatz"/>
        <w:numPr>
          <w:ilvl w:val="1"/>
          <w:numId w:val="2"/>
        </w:numPr>
        <w:spacing w:after="0"/>
        <w:rPr>
          <w:sz w:val="22"/>
        </w:rPr>
      </w:pPr>
      <w:r>
        <w:rPr>
          <w:sz w:val="22"/>
        </w:rPr>
        <w:t xml:space="preserve">Heide </w:t>
      </w:r>
      <w:proofErr w:type="spellStart"/>
      <w:r>
        <w:rPr>
          <w:sz w:val="22"/>
        </w:rPr>
        <w:t>Ebrahimzadeh</w:t>
      </w:r>
      <w:proofErr w:type="spellEnd"/>
      <w:r>
        <w:rPr>
          <w:sz w:val="22"/>
        </w:rPr>
        <w:t>-Wetter</w:t>
      </w:r>
    </w:p>
    <w:p>
      <w:pPr>
        <w:pStyle w:val="Listenabsatz"/>
        <w:numPr>
          <w:ilvl w:val="0"/>
          <w:numId w:val="2"/>
        </w:numPr>
        <w:spacing w:after="0"/>
        <w:contextualSpacing w:val="0"/>
        <w:rPr>
          <w:sz w:val="22"/>
        </w:rPr>
      </w:pPr>
      <w:r>
        <w:rPr>
          <w:sz w:val="22"/>
        </w:rPr>
        <w:t>MF3</w:t>
      </w:r>
    </w:p>
    <w:p>
      <w:pPr>
        <w:pStyle w:val="Listenabsatz"/>
        <w:numPr>
          <w:ilvl w:val="1"/>
          <w:numId w:val="2"/>
        </w:numPr>
        <w:spacing w:after="0"/>
        <w:rPr>
          <w:sz w:val="22"/>
        </w:rPr>
      </w:pPr>
      <w:r>
        <w:rPr>
          <w:sz w:val="22"/>
        </w:rPr>
        <w:t>Nancy Erickson (Protokoll)</w:t>
      </w:r>
      <w:r>
        <w:t xml:space="preserve"> </w:t>
      </w:r>
    </w:p>
    <w:p>
      <w:pPr>
        <w:pStyle w:val="Listenabsatz"/>
        <w:numPr>
          <w:ilvl w:val="0"/>
          <w:numId w:val="2"/>
        </w:numPr>
        <w:spacing w:after="0"/>
        <w:rPr>
          <w:sz w:val="22"/>
        </w:rPr>
      </w:pPr>
      <w:r>
        <w:rPr>
          <w:sz w:val="22"/>
        </w:rPr>
        <w:t>MF4</w:t>
      </w:r>
    </w:p>
    <w:p>
      <w:pPr>
        <w:pStyle w:val="Listenabsatz"/>
        <w:numPr>
          <w:ilvl w:val="1"/>
          <w:numId w:val="2"/>
        </w:numPr>
        <w:spacing w:after="0"/>
        <w:rPr>
          <w:sz w:val="22"/>
        </w:rPr>
      </w:pPr>
      <w:r>
        <w:rPr>
          <w:sz w:val="22"/>
        </w:rPr>
        <w:t>Martina Fischer</w:t>
      </w:r>
    </w:p>
    <w:p>
      <w:pPr>
        <w:pStyle w:val="Listenabsatz"/>
        <w:spacing w:after="0"/>
        <w:ind w:left="1440"/>
        <w:rPr>
          <w:sz w:val="22"/>
        </w:rPr>
      </w:pPr>
    </w:p>
    <w:p>
      <w:pPr>
        <w:pStyle w:val="Listenabsatz"/>
        <w:numPr>
          <w:ilvl w:val="0"/>
          <w:numId w:val="2"/>
        </w:numPr>
        <w:spacing w:after="0"/>
        <w:contextualSpacing w:val="0"/>
        <w:rPr>
          <w:sz w:val="22"/>
        </w:rPr>
      </w:pPr>
      <w:r>
        <w:br w:type="page"/>
      </w:r>
    </w:p>
    <w:p>
      <w:pPr>
        <w:sectPr>
          <w:type w:val="continuous"/>
          <w:pgSz w:w="11900" w:h="16840"/>
          <w:pgMar w:top="1440" w:right="1800" w:bottom="1440" w:left="1800" w:header="708" w:footer="708" w:gutter="0"/>
          <w:cols w:num="2" w:space="708"/>
        </w:sectPr>
      </w:pPr>
    </w:p>
    <w:p/>
    <w:tbl>
      <w:tblPr>
        <w:tblStyle w:val="Tabellenraster"/>
        <w:tblW w:w="8971" w:type="dxa"/>
        <w:tblLayout w:type="fixed"/>
        <w:tblLook w:val="00A0" w:firstRow="1" w:lastRow="0" w:firstColumn="1" w:lastColumn="0" w:noHBand="0" w:noVBand="0"/>
      </w:tblPr>
      <w:tblGrid>
        <w:gridCol w:w="684"/>
        <w:gridCol w:w="6682"/>
        <w:gridCol w:w="1605"/>
      </w:tblGrid>
      <w:tr>
        <w:tc>
          <w:tcPr>
            <w:tcW w:w="684" w:type="dxa"/>
          </w:tcPr>
          <w:p>
            <w:pPr>
              <w:rPr>
                <w:b/>
              </w:rPr>
            </w:pPr>
            <w:r>
              <w:rPr>
                <w:b/>
              </w:rPr>
              <w:t>TOP</w:t>
            </w:r>
          </w:p>
        </w:tc>
        <w:tc>
          <w:tcPr>
            <w:tcW w:w="6682" w:type="dxa"/>
          </w:tcPr>
          <w:p>
            <w:pPr>
              <w:rPr>
                <w:b/>
              </w:rPr>
            </w:pPr>
            <w:r>
              <w:rPr>
                <w:b/>
              </w:rPr>
              <w:t>Beitrag/Thema</w:t>
            </w:r>
          </w:p>
        </w:tc>
        <w:tc>
          <w:tcPr>
            <w:tcW w:w="1605" w:type="dxa"/>
          </w:tcPr>
          <w:p>
            <w:pPr>
              <w:rPr>
                <w:b/>
                <w:sz w:val="22"/>
                <w:szCs w:val="22"/>
              </w:rPr>
            </w:pPr>
            <w:r>
              <w:rPr>
                <w:b/>
                <w:sz w:val="22"/>
                <w:szCs w:val="22"/>
              </w:rPr>
              <w:t>eingebracht von</w:t>
            </w:r>
          </w:p>
        </w:tc>
      </w:tr>
      <w:tr>
        <w:tc>
          <w:tcPr>
            <w:tcW w:w="684" w:type="dxa"/>
          </w:tcPr>
          <w:p>
            <w:pPr>
              <w:rPr>
                <w:b/>
              </w:rPr>
            </w:pPr>
            <w:r>
              <w:rPr>
                <w:b/>
              </w:rPr>
              <w:t>1</w:t>
            </w:r>
          </w:p>
        </w:tc>
        <w:tc>
          <w:tcPr>
            <w:tcW w:w="6682" w:type="dxa"/>
          </w:tcPr>
          <w:p>
            <w:pPr>
              <w:rPr>
                <w:b/>
                <w:sz w:val="28"/>
              </w:rPr>
            </w:pPr>
            <w:r>
              <w:rPr>
                <w:b/>
                <w:sz w:val="28"/>
              </w:rPr>
              <w:t>Aktuelle Lage</w:t>
            </w:r>
          </w:p>
          <w:p>
            <w:pPr>
              <w:rPr>
                <w:sz w:val="22"/>
                <w:szCs w:val="22"/>
              </w:rPr>
            </w:pPr>
          </w:p>
          <w:p>
            <w:pPr>
              <w:rPr>
                <w:sz w:val="22"/>
                <w:szCs w:val="22"/>
              </w:rPr>
            </w:pPr>
            <w:r>
              <w:rPr>
                <w:b/>
                <w:sz w:val="22"/>
                <w:szCs w:val="22"/>
              </w:rPr>
              <w:t>International</w:t>
            </w:r>
            <w:r>
              <w:rPr>
                <w:sz w:val="22"/>
                <w:szCs w:val="22"/>
              </w:rPr>
              <w:t xml:space="preserve"> </w:t>
            </w:r>
            <w:r>
              <w:rPr>
                <w:b/>
                <w:i/>
                <w:color w:val="8DB3E2" w:themeColor="text2" w:themeTint="66"/>
                <w:sz w:val="22"/>
                <w:szCs w:val="22"/>
              </w:rPr>
              <w:t>(nur freitags)</w:t>
            </w:r>
          </w:p>
          <w:p>
            <w:pPr>
              <w:pStyle w:val="Listenabsatz"/>
              <w:numPr>
                <w:ilvl w:val="1"/>
                <w:numId w:val="27"/>
              </w:numPr>
              <w:rPr>
                <w:sz w:val="22"/>
                <w:szCs w:val="22"/>
              </w:rPr>
            </w:pPr>
            <w:r>
              <w:rPr>
                <w:sz w:val="22"/>
                <w:szCs w:val="22"/>
              </w:rPr>
              <w:t>Fälle, Ausbreitung</w:t>
            </w:r>
          </w:p>
          <w:p>
            <w:pPr>
              <w:pStyle w:val="Listenabsatz"/>
              <w:ind w:left="1080"/>
              <w:rPr>
                <w:sz w:val="22"/>
                <w:szCs w:val="22"/>
              </w:rPr>
            </w:pPr>
          </w:p>
          <w:p>
            <w:pPr>
              <w:rPr>
                <w:sz w:val="22"/>
                <w:szCs w:val="22"/>
              </w:rPr>
            </w:pPr>
            <w:r>
              <w:rPr>
                <w:b/>
                <w:sz w:val="22"/>
                <w:szCs w:val="22"/>
              </w:rPr>
              <w:t>National - Fallzahlen/Todesfälle</w:t>
            </w:r>
            <w:r>
              <w:rPr>
                <w:sz w:val="22"/>
                <w:szCs w:val="22"/>
              </w:rPr>
              <w:t xml:space="preserve"> (Folien </w:t>
            </w:r>
            <w:hyperlink r:id="rId14" w:history="1">
              <w:r>
                <w:rPr>
                  <w:rStyle w:val="Hyperlink"/>
                  <w:sz w:val="22"/>
                  <w:szCs w:val="22"/>
                </w:rPr>
                <w:t>hier</w:t>
              </w:r>
            </w:hyperlink>
            <w:r>
              <w:rPr>
                <w:sz w:val="22"/>
                <w:szCs w:val="22"/>
              </w:rPr>
              <w:t>)</w:t>
            </w:r>
          </w:p>
          <w:p>
            <w:pPr>
              <w:pStyle w:val="Listenabsatz"/>
              <w:numPr>
                <w:ilvl w:val="0"/>
                <w:numId w:val="27"/>
              </w:numPr>
              <w:rPr>
                <w:sz w:val="22"/>
                <w:szCs w:val="22"/>
              </w:rPr>
            </w:pPr>
            <w:r>
              <w:rPr>
                <w:sz w:val="22"/>
                <w:szCs w:val="22"/>
              </w:rPr>
              <w:t>Überblick Kennzahlen</w:t>
            </w:r>
          </w:p>
          <w:p>
            <w:pPr>
              <w:pStyle w:val="Listenabsatz"/>
              <w:numPr>
                <w:ilvl w:val="1"/>
                <w:numId w:val="27"/>
              </w:numPr>
              <w:rPr>
                <w:b/>
                <w:sz w:val="22"/>
                <w:szCs w:val="22"/>
              </w:rPr>
            </w:pPr>
            <w:proofErr w:type="spellStart"/>
            <w:r>
              <w:rPr>
                <w:sz w:val="22"/>
                <w:szCs w:val="22"/>
              </w:rPr>
              <w:t>SurvNet</w:t>
            </w:r>
            <w:proofErr w:type="spellEnd"/>
            <w:r>
              <w:rPr>
                <w:sz w:val="22"/>
                <w:szCs w:val="22"/>
              </w:rPr>
              <w:t xml:space="preserve"> übermittelt: 3.332.532 Fälle insgesamt (+22.231), davon 82.280 (+312) Todesfälle, 7-Tage-Inzidenz (7TI) 161/100.000 EW; vergleichbar zur Vorwoche</w:t>
            </w:r>
          </w:p>
          <w:p>
            <w:pPr>
              <w:pStyle w:val="Listenabsatz"/>
              <w:numPr>
                <w:ilvl w:val="1"/>
                <w:numId w:val="27"/>
              </w:numPr>
              <w:rPr>
                <w:sz w:val="22"/>
                <w:szCs w:val="22"/>
              </w:rPr>
            </w:pPr>
            <w:proofErr w:type="spellStart"/>
            <w:r>
              <w:rPr>
                <w:sz w:val="22"/>
                <w:szCs w:val="22"/>
              </w:rPr>
              <w:t>Impfmonitoring</w:t>
            </w:r>
            <w:proofErr w:type="spellEnd"/>
            <w:r>
              <w:rPr>
                <w:sz w:val="22"/>
                <w:szCs w:val="22"/>
              </w:rPr>
              <w:t>: Daten werden derzeit noch aktualisiert</w:t>
            </w:r>
          </w:p>
          <w:p>
            <w:pPr>
              <w:pStyle w:val="Listenabsatz"/>
              <w:numPr>
                <w:ilvl w:val="1"/>
                <w:numId w:val="27"/>
              </w:numPr>
              <w:rPr>
                <w:sz w:val="22"/>
                <w:szCs w:val="22"/>
              </w:rPr>
            </w:pPr>
            <w:r>
              <w:rPr>
                <w:sz w:val="22"/>
                <w:szCs w:val="22"/>
              </w:rPr>
              <w:t>DIVI-Intensivregister: 5.063 Fälle in Behandlung (-59)</w:t>
            </w:r>
          </w:p>
          <w:p>
            <w:pPr>
              <w:pStyle w:val="Listenabsatz"/>
              <w:numPr>
                <w:ilvl w:val="0"/>
                <w:numId w:val="27"/>
              </w:numPr>
              <w:rPr>
                <w:sz w:val="22"/>
                <w:szCs w:val="22"/>
              </w:rPr>
            </w:pPr>
            <w:r>
              <w:rPr>
                <w:sz w:val="22"/>
                <w:szCs w:val="22"/>
              </w:rPr>
              <w:t>Verlauf 7-Tage-Inzidenz der Bundesländer</w:t>
            </w:r>
          </w:p>
          <w:p>
            <w:pPr>
              <w:pStyle w:val="Listenabsatz"/>
              <w:numPr>
                <w:ilvl w:val="1"/>
                <w:numId w:val="27"/>
              </w:numPr>
              <w:rPr>
                <w:sz w:val="22"/>
                <w:szCs w:val="22"/>
              </w:rPr>
            </w:pPr>
            <w:r>
              <w:rPr>
                <w:sz w:val="22"/>
                <w:szCs w:val="22"/>
              </w:rPr>
              <w:t>Seit ca. 14.04. auf ähnlichem Niveau, sehr konstant in Bundesländern wie SH, andere Bundesländer zeigen hingegen unterschiedliche Entwicklung (BaWü: steigender Trend, HH rückläufig), Entwicklung muss weiter beobachtet werden</w:t>
            </w:r>
          </w:p>
          <w:p>
            <w:pPr>
              <w:pStyle w:val="Listenabsatz"/>
              <w:numPr>
                <w:ilvl w:val="1"/>
                <w:numId w:val="27"/>
              </w:numPr>
              <w:rPr>
                <w:sz w:val="22"/>
                <w:szCs w:val="22"/>
              </w:rPr>
            </w:pPr>
            <w:r>
              <w:rPr>
                <w:sz w:val="22"/>
                <w:szCs w:val="22"/>
              </w:rPr>
              <w:t>Im bundesweiten Trend vorerst keine eindeutig rückläufige Entwicklung, jedoch kein Anstieg zu verzeichnen</w:t>
            </w:r>
          </w:p>
          <w:p>
            <w:pPr>
              <w:pStyle w:val="Listenabsatz"/>
              <w:numPr>
                <w:ilvl w:val="1"/>
                <w:numId w:val="27"/>
              </w:numPr>
              <w:rPr>
                <w:sz w:val="22"/>
                <w:szCs w:val="22"/>
              </w:rPr>
            </w:pPr>
            <w:r>
              <w:rPr>
                <w:sz w:val="22"/>
                <w:szCs w:val="22"/>
              </w:rPr>
              <w:t>Entwicklung Sachsen: von Vortag auf heute stärkere Abnahme sichtbar, Ursache fraglich, bislang keine Berichte von Übermittlungsproblemen, derzeit keine Hinweise auf Besonderheiten, wird nähergehend betrachtet</w:t>
            </w:r>
          </w:p>
          <w:p>
            <w:pPr>
              <w:pStyle w:val="Listenabsatz"/>
              <w:numPr>
                <w:ilvl w:val="0"/>
                <w:numId w:val="27"/>
              </w:numPr>
              <w:rPr>
                <w:sz w:val="22"/>
                <w:szCs w:val="22"/>
              </w:rPr>
            </w:pPr>
            <w:r>
              <w:rPr>
                <w:sz w:val="22"/>
                <w:szCs w:val="22"/>
              </w:rPr>
              <w:t>Geografische Verteilung 7-Tage-Inzidenz nach Landkreis</w:t>
            </w:r>
          </w:p>
          <w:p>
            <w:pPr>
              <w:pStyle w:val="Listenabsatz"/>
              <w:numPr>
                <w:ilvl w:val="1"/>
                <w:numId w:val="27"/>
              </w:numPr>
              <w:rPr>
                <w:sz w:val="22"/>
                <w:szCs w:val="22"/>
              </w:rPr>
            </w:pPr>
            <w:r>
              <w:rPr>
                <w:sz w:val="22"/>
                <w:szCs w:val="22"/>
              </w:rPr>
              <w:t xml:space="preserve">Derzeit 10 LK &lt; 50; 68 LK &lt; 100; ca. 300 LK &gt; 100 Fälle / 100.000 </w:t>
            </w:r>
            <w:proofErr w:type="spellStart"/>
            <w:r>
              <w:rPr>
                <w:sz w:val="22"/>
                <w:szCs w:val="22"/>
              </w:rPr>
              <w:t>Einw</w:t>
            </w:r>
            <w:proofErr w:type="spellEnd"/>
            <w:r>
              <w:rPr>
                <w:sz w:val="22"/>
                <w:szCs w:val="22"/>
              </w:rPr>
              <w:t>. (über mehrere Tage hinweg)</w:t>
            </w:r>
          </w:p>
          <w:p>
            <w:pPr>
              <w:pStyle w:val="Listenabsatz"/>
              <w:numPr>
                <w:ilvl w:val="0"/>
                <w:numId w:val="27"/>
              </w:numPr>
              <w:rPr>
                <w:sz w:val="22"/>
                <w:szCs w:val="22"/>
              </w:rPr>
            </w:pPr>
            <w:r>
              <w:rPr>
                <w:sz w:val="22"/>
                <w:szCs w:val="22"/>
              </w:rPr>
              <w:t xml:space="preserve">7-Tage-Inzidenz der COVID-19-Fälle nach </w:t>
            </w:r>
            <w:proofErr w:type="spellStart"/>
            <w:r>
              <w:rPr>
                <w:sz w:val="22"/>
                <w:szCs w:val="22"/>
              </w:rPr>
              <w:t>AGe</w:t>
            </w:r>
            <w:proofErr w:type="spellEnd"/>
            <w:r>
              <w:rPr>
                <w:sz w:val="22"/>
                <w:szCs w:val="22"/>
              </w:rPr>
              <w:t xml:space="preserve"> und MW (Stand 27.04.2021)</w:t>
            </w:r>
          </w:p>
          <w:p>
            <w:pPr>
              <w:pStyle w:val="Listenabsatz"/>
              <w:numPr>
                <w:ilvl w:val="1"/>
                <w:numId w:val="27"/>
              </w:numPr>
              <w:rPr>
                <w:sz w:val="22"/>
                <w:szCs w:val="22"/>
              </w:rPr>
            </w:pPr>
            <w:r>
              <w:rPr>
                <w:sz w:val="22"/>
                <w:szCs w:val="22"/>
              </w:rPr>
              <w:t>Niveau etwa ähnlich zur Vorwoche, v.a. in den mittelalten Altersgruppen (AG)</w:t>
            </w:r>
          </w:p>
          <w:p>
            <w:pPr>
              <w:pStyle w:val="Listenabsatz"/>
              <w:numPr>
                <w:ilvl w:val="1"/>
                <w:numId w:val="27"/>
              </w:numPr>
              <w:rPr>
                <w:sz w:val="22"/>
                <w:szCs w:val="22"/>
              </w:rPr>
            </w:pPr>
            <w:r>
              <w:rPr>
                <w:sz w:val="22"/>
                <w:szCs w:val="22"/>
              </w:rPr>
              <w:t>In der AG 15-19 Anstieg im Vgl. zur Vorwoche</w:t>
            </w:r>
          </w:p>
          <w:p>
            <w:pPr>
              <w:pStyle w:val="Listenabsatz"/>
              <w:numPr>
                <w:ilvl w:val="1"/>
                <w:numId w:val="27"/>
              </w:numPr>
              <w:rPr>
                <w:sz w:val="22"/>
                <w:szCs w:val="22"/>
              </w:rPr>
            </w:pPr>
            <w:proofErr w:type="spellStart"/>
            <w:r>
              <w:rPr>
                <w:sz w:val="22"/>
                <w:szCs w:val="22"/>
              </w:rPr>
              <w:t>Heatmap</w:t>
            </w:r>
            <w:proofErr w:type="spellEnd"/>
            <w:r>
              <w:rPr>
                <w:sz w:val="22"/>
                <w:szCs w:val="22"/>
              </w:rPr>
              <w:t xml:space="preserve"> gestern im Lagebericht veröffentlicht</w:t>
            </w:r>
          </w:p>
          <w:p>
            <w:pPr>
              <w:pStyle w:val="Listenabsatz"/>
              <w:numPr>
                <w:ilvl w:val="0"/>
                <w:numId w:val="27"/>
              </w:numPr>
              <w:rPr>
                <w:sz w:val="22"/>
                <w:szCs w:val="22"/>
              </w:rPr>
            </w:pPr>
            <w:r>
              <w:rPr>
                <w:bCs/>
                <w:sz w:val="22"/>
                <w:szCs w:val="22"/>
              </w:rPr>
              <w:t xml:space="preserve">Hospitalisierte COVID-19-Fälle nach AG </w:t>
            </w:r>
            <w:r>
              <w:rPr>
                <w:bCs/>
                <w:sz w:val="22"/>
                <w:szCs w:val="22"/>
              </w:rPr>
              <w:br/>
              <w:t>(Stand 21.04.2021)</w:t>
            </w:r>
          </w:p>
          <w:p>
            <w:pPr>
              <w:pStyle w:val="Listenabsatz"/>
              <w:numPr>
                <w:ilvl w:val="1"/>
                <w:numId w:val="27"/>
              </w:numPr>
              <w:rPr>
                <w:sz w:val="22"/>
                <w:szCs w:val="22"/>
              </w:rPr>
            </w:pPr>
            <w:r>
              <w:rPr>
                <w:sz w:val="22"/>
                <w:szCs w:val="22"/>
              </w:rPr>
              <w:t>Plateau auf einem niedrigeren Niveau als in der 2. Welle, AGs mit größtem Hospitalisierten-Anteil derzeit: 60-79 und 35-59 (cave: im Meldesystem vermutlich unterschätzt), in 2. Welle demgegenüber v.a. Personen der AG 80+ hospitalisiert</w:t>
            </w:r>
          </w:p>
          <w:p>
            <w:pPr>
              <w:pStyle w:val="Listenabsatz"/>
              <w:numPr>
                <w:ilvl w:val="0"/>
                <w:numId w:val="27"/>
              </w:numPr>
              <w:rPr>
                <w:sz w:val="22"/>
                <w:szCs w:val="22"/>
              </w:rPr>
            </w:pPr>
            <w:r>
              <w:rPr>
                <w:bCs/>
                <w:sz w:val="22"/>
                <w:szCs w:val="22"/>
              </w:rPr>
              <w:t>Anzahl COVID-19-Todesfälle nach Sterbewoche (Stand 27.04.2021)</w:t>
            </w:r>
          </w:p>
          <w:p>
            <w:pPr>
              <w:pStyle w:val="Listenabsatz"/>
              <w:numPr>
                <w:ilvl w:val="1"/>
                <w:numId w:val="27"/>
              </w:numPr>
              <w:rPr>
                <w:sz w:val="22"/>
                <w:szCs w:val="22"/>
              </w:rPr>
            </w:pPr>
            <w:r>
              <w:rPr>
                <w:sz w:val="22"/>
                <w:szCs w:val="22"/>
              </w:rPr>
              <w:t>Tendenz im Vergleich zur Vorwoche eher steigend</w:t>
            </w:r>
          </w:p>
          <w:p>
            <w:pPr>
              <w:pStyle w:val="Listenabsatz"/>
              <w:numPr>
                <w:ilvl w:val="0"/>
                <w:numId w:val="27"/>
              </w:numPr>
              <w:rPr>
                <w:sz w:val="22"/>
                <w:szCs w:val="22"/>
              </w:rPr>
            </w:pPr>
            <w:r>
              <w:rPr>
                <w:sz w:val="22"/>
                <w:szCs w:val="22"/>
              </w:rPr>
              <w:lastRenderedPageBreak/>
              <w:t>Anzahl laborbestätigte COVID-19-Fälle mit und ohne Antigennachweis nach Meldewoche</w:t>
            </w:r>
          </w:p>
          <w:p>
            <w:pPr>
              <w:pStyle w:val="Listenabsatz"/>
              <w:numPr>
                <w:ilvl w:val="1"/>
                <w:numId w:val="27"/>
              </w:numPr>
              <w:rPr>
                <w:sz w:val="22"/>
                <w:szCs w:val="22"/>
              </w:rPr>
            </w:pPr>
            <w:r>
              <w:rPr>
                <w:sz w:val="22"/>
                <w:szCs w:val="22"/>
              </w:rPr>
              <w:t xml:space="preserve">In Meldedaten Anteil der Fälle mit AG-Nachweis weiterhin bei ca. 7 %, keine Veränderung zu Vorwoche, auch hier im Meldesystem aufgrund der </w:t>
            </w:r>
            <w:proofErr w:type="spellStart"/>
            <w:r>
              <w:rPr>
                <w:sz w:val="22"/>
                <w:szCs w:val="22"/>
              </w:rPr>
              <w:t>Kapazitätensituation</w:t>
            </w:r>
            <w:proofErr w:type="spellEnd"/>
            <w:r>
              <w:rPr>
                <w:sz w:val="22"/>
                <w:szCs w:val="22"/>
              </w:rPr>
              <w:t xml:space="preserve"> in den Gesundheitsämtern vermutlich nicht vollständig erfasst </w:t>
            </w:r>
          </w:p>
          <w:p>
            <w:pPr>
              <w:pStyle w:val="Listenabsatz"/>
              <w:numPr>
                <w:ilvl w:val="0"/>
                <w:numId w:val="27"/>
              </w:numPr>
              <w:rPr>
                <w:sz w:val="22"/>
                <w:szCs w:val="22"/>
              </w:rPr>
            </w:pPr>
            <w:r>
              <w:rPr>
                <w:sz w:val="22"/>
                <w:szCs w:val="22"/>
              </w:rPr>
              <w:t xml:space="preserve">Diskussion: </w:t>
            </w:r>
          </w:p>
          <w:p>
            <w:pPr>
              <w:pStyle w:val="Listenabsatz"/>
              <w:numPr>
                <w:ilvl w:val="1"/>
                <w:numId w:val="27"/>
              </w:numPr>
              <w:rPr>
                <w:sz w:val="22"/>
                <w:szCs w:val="22"/>
              </w:rPr>
            </w:pPr>
            <w:proofErr w:type="spellStart"/>
            <w:r>
              <w:rPr>
                <w:sz w:val="22"/>
                <w:szCs w:val="22"/>
              </w:rPr>
              <w:t>Heatmap</w:t>
            </w:r>
            <w:proofErr w:type="spellEnd"/>
            <w:r>
              <w:rPr>
                <w:sz w:val="22"/>
                <w:szCs w:val="22"/>
              </w:rPr>
              <w:t xml:space="preserve">: AG 90+ zeigt zunehmende Inzidenz, Ursprung bzw. Ort (Alters-/Pflegeheim, mögliche Ausbrüche) werden nähergehend betrachtet </w:t>
            </w:r>
          </w:p>
          <w:p>
            <w:pPr>
              <w:pStyle w:val="Listenabsatz"/>
              <w:numPr>
                <w:ilvl w:val="1"/>
                <w:numId w:val="27"/>
              </w:numPr>
              <w:rPr>
                <w:sz w:val="22"/>
                <w:szCs w:val="22"/>
              </w:rPr>
            </w:pPr>
            <w:r>
              <w:rPr>
                <w:sz w:val="22"/>
                <w:szCs w:val="22"/>
              </w:rPr>
              <w:t xml:space="preserve">Hospitalisierung nach AG – Auffälligkeiten, die gut mit Impfung zu korrelieren scheinen: Anzahl Hospitalisierter in AG 80+ (orange) stark abnehmend, in AG 60-79 (blau) relative Abnahme im Vergleich zur 2. Welle, in allen anderen AG Kurven ähnlich der 2. Welle auf niedrigerem Niveau </w:t>
            </w:r>
          </w:p>
          <w:p>
            <w:pPr>
              <w:pStyle w:val="Listenabsatz"/>
              <w:numPr>
                <w:ilvl w:val="1"/>
                <w:numId w:val="27"/>
              </w:numPr>
              <w:rPr>
                <w:sz w:val="22"/>
                <w:szCs w:val="22"/>
              </w:rPr>
            </w:pPr>
            <w:r>
              <w:rPr>
                <w:sz w:val="22"/>
                <w:szCs w:val="22"/>
              </w:rPr>
              <w:t xml:space="preserve">Stand zur Ausweisung von Inzidenzen hinsichtlich Nachmeldungen: </w:t>
            </w:r>
          </w:p>
          <w:p>
            <w:pPr>
              <w:pStyle w:val="Listenabsatz"/>
              <w:numPr>
                <w:ilvl w:val="2"/>
                <w:numId w:val="27"/>
              </w:numPr>
              <w:rPr>
                <w:sz w:val="22"/>
                <w:szCs w:val="22"/>
              </w:rPr>
            </w:pPr>
            <w:r>
              <w:rPr>
                <w:sz w:val="22"/>
                <w:szCs w:val="22"/>
              </w:rPr>
              <w:t xml:space="preserve">Bislang keine Rückmeldung aus dem BMG zu weiterem Verfahren </w:t>
            </w:r>
          </w:p>
          <w:p>
            <w:pPr>
              <w:pStyle w:val="Listenabsatz"/>
              <w:numPr>
                <w:ilvl w:val="2"/>
                <w:numId w:val="27"/>
              </w:numPr>
              <w:rPr>
                <w:sz w:val="22"/>
                <w:szCs w:val="22"/>
              </w:rPr>
            </w:pPr>
            <w:r>
              <w:rPr>
                <w:sz w:val="22"/>
                <w:szCs w:val="22"/>
              </w:rPr>
              <w:t xml:space="preserve">Aus juristischen Gründen war seitens der Mehrzahl der Länder eine Einfrierung der Inzidenz auf den </w:t>
            </w:r>
            <w:proofErr w:type="spellStart"/>
            <w:r>
              <w:rPr>
                <w:sz w:val="22"/>
                <w:szCs w:val="22"/>
              </w:rPr>
              <w:t>Meldetag</w:t>
            </w:r>
            <w:proofErr w:type="spellEnd"/>
            <w:r>
              <w:rPr>
                <w:sz w:val="22"/>
                <w:szCs w:val="22"/>
              </w:rPr>
              <w:t xml:space="preserve"> befürwortet worden (Gerichtsfestigkeit der Daten als Grundlage für Maßnahmenplanung)</w:t>
            </w:r>
          </w:p>
          <w:p>
            <w:pPr>
              <w:pStyle w:val="Listenabsatz"/>
              <w:numPr>
                <w:ilvl w:val="2"/>
                <w:numId w:val="27"/>
              </w:numPr>
              <w:rPr>
                <w:sz w:val="22"/>
                <w:szCs w:val="22"/>
              </w:rPr>
            </w:pPr>
            <w:r>
              <w:rPr>
                <w:sz w:val="22"/>
                <w:szCs w:val="22"/>
              </w:rPr>
              <w:t>Vorschlag: Ausweisung beider Varianten (eingefrorene Inzidenz und Inzidenz durch Nachmeldungen aktualisiert) auf getrennten Seiten zwecks Unterscheidbarkeit sowie mit einem Disclaimer und dem Link zum Gesetz</w:t>
            </w:r>
          </w:p>
          <w:p>
            <w:pPr>
              <w:pStyle w:val="Listenabsatz"/>
              <w:numPr>
                <w:ilvl w:val="1"/>
                <w:numId w:val="27"/>
              </w:numPr>
              <w:rPr>
                <w:sz w:val="22"/>
                <w:szCs w:val="22"/>
              </w:rPr>
            </w:pPr>
            <w:r>
              <w:rPr>
                <w:sz w:val="22"/>
                <w:szCs w:val="22"/>
              </w:rPr>
              <w:t xml:space="preserve">Länderinzidenzen: nach Ergreifung bundesweiter Maßnahmen sollten Inzidenzen rückläufig sein, hier jedoch teils heterogene Entwicklung in einigen Bundesländern; Entwicklung in Saarland und Hamburg aufgrund eigenständiger Maßnahmen nachvollziehbar, BaWü Klärung epidemiologischer Hintergründe/ Zeitpunkt der Maßnahmenverschärfung anvisiert </w:t>
            </w:r>
          </w:p>
          <w:p>
            <w:pPr>
              <w:pStyle w:val="Listenabsatz"/>
              <w:numPr>
                <w:ilvl w:val="1"/>
                <w:numId w:val="27"/>
              </w:numPr>
              <w:rPr>
                <w:sz w:val="22"/>
                <w:szCs w:val="22"/>
              </w:rPr>
            </w:pPr>
            <w:r>
              <w:rPr>
                <w:sz w:val="22"/>
                <w:szCs w:val="22"/>
              </w:rPr>
              <w:t>Tabelle mit um Nachmeldungen aktualisierten Inzidenzen ist in Arbeit, wird Presseabteilung dann zur Verfügung gestellt</w:t>
            </w:r>
          </w:p>
          <w:p>
            <w:pPr>
              <w:rPr>
                <w:i/>
                <w:sz w:val="22"/>
                <w:szCs w:val="22"/>
              </w:rPr>
            </w:pPr>
            <w:proofErr w:type="spellStart"/>
            <w:r>
              <w:rPr>
                <w:i/>
                <w:sz w:val="22"/>
                <w:szCs w:val="22"/>
              </w:rPr>
              <w:t>To</w:t>
            </w:r>
            <w:proofErr w:type="spellEnd"/>
            <w:r>
              <w:rPr>
                <w:i/>
                <w:sz w:val="22"/>
                <w:szCs w:val="22"/>
              </w:rPr>
              <w:t xml:space="preserve"> Do1: Bitte um nähere Betrachtung der Orte/Ursprung der zunehmenden Inzidenz in der AG 90+ laut </w:t>
            </w:r>
            <w:proofErr w:type="spellStart"/>
            <w:r>
              <w:rPr>
                <w:i/>
                <w:sz w:val="22"/>
                <w:szCs w:val="22"/>
              </w:rPr>
              <w:t>Heatmap</w:t>
            </w:r>
            <w:proofErr w:type="spellEnd"/>
            <w:r>
              <w:rPr>
                <w:i/>
                <w:sz w:val="22"/>
                <w:szCs w:val="22"/>
              </w:rPr>
              <w:t xml:space="preserve"> wenn möglich. ToDo2: Bitte um weitere epidemiologische Hintergründe zu heterogener Inzidenzentwicklung hervorstechender Länder (hier v.a. BaWü).</w:t>
            </w:r>
          </w:p>
          <w:p>
            <w:pPr>
              <w:rPr>
                <w:i/>
                <w:sz w:val="22"/>
                <w:szCs w:val="22"/>
              </w:rPr>
            </w:pPr>
            <w:proofErr w:type="spellStart"/>
            <w:r>
              <w:rPr>
                <w:i/>
                <w:sz w:val="22"/>
                <w:szCs w:val="22"/>
              </w:rPr>
              <w:t>To</w:t>
            </w:r>
            <w:proofErr w:type="spellEnd"/>
            <w:r>
              <w:rPr>
                <w:i/>
                <w:sz w:val="22"/>
                <w:szCs w:val="22"/>
              </w:rPr>
              <w:t xml:space="preserve"> Do3: Um Umsetzung der Ausweisung beider Inzidenz-Darstellungen wird gebeten. </w:t>
            </w:r>
          </w:p>
          <w:p>
            <w:pPr>
              <w:rPr>
                <w:i/>
                <w:sz w:val="22"/>
                <w:szCs w:val="22"/>
              </w:rPr>
            </w:pPr>
          </w:p>
          <w:p>
            <w:pPr>
              <w:rPr>
                <w:b/>
                <w:i/>
                <w:color w:val="D99594" w:themeColor="accent2" w:themeTint="99"/>
                <w:sz w:val="20"/>
              </w:rPr>
            </w:pPr>
            <w:r>
              <w:rPr>
                <w:b/>
              </w:rPr>
              <w:t>Zahlen zum DIVI-Intensivregister</w:t>
            </w:r>
            <w:r>
              <w:t xml:space="preserve"> </w:t>
            </w:r>
            <w:r>
              <w:rPr>
                <w:b/>
                <w:i/>
                <w:color w:val="D99594" w:themeColor="accent2" w:themeTint="99"/>
                <w:sz w:val="20"/>
              </w:rPr>
              <w:t xml:space="preserve">(nur mittwochs) </w:t>
            </w:r>
            <w:r>
              <w:rPr>
                <w:sz w:val="22"/>
                <w:szCs w:val="22"/>
              </w:rPr>
              <w:t xml:space="preserve">(Folien </w:t>
            </w:r>
            <w:hyperlink r:id="rId15" w:history="1">
              <w:r>
                <w:rPr>
                  <w:rStyle w:val="Hyperlink"/>
                  <w:sz w:val="22"/>
                  <w:szCs w:val="22"/>
                </w:rPr>
                <w:t>hier</w:t>
              </w:r>
            </w:hyperlink>
            <w:r>
              <w:rPr>
                <w:sz w:val="22"/>
                <w:szCs w:val="22"/>
              </w:rPr>
              <w:t>)</w:t>
            </w:r>
          </w:p>
          <w:p>
            <w:pPr>
              <w:pStyle w:val="Listenabsatz"/>
              <w:numPr>
                <w:ilvl w:val="0"/>
                <w:numId w:val="27"/>
              </w:numPr>
              <w:rPr>
                <w:sz w:val="22"/>
                <w:szCs w:val="22"/>
              </w:rPr>
            </w:pPr>
            <w:r>
              <w:rPr>
                <w:sz w:val="22"/>
                <w:szCs w:val="22"/>
              </w:rPr>
              <w:t>DIVI-Intensivregister</w:t>
            </w:r>
          </w:p>
          <w:p>
            <w:pPr>
              <w:pStyle w:val="Listenabsatz"/>
              <w:numPr>
                <w:ilvl w:val="1"/>
                <w:numId w:val="27"/>
              </w:numPr>
              <w:rPr>
                <w:sz w:val="22"/>
                <w:szCs w:val="22"/>
              </w:rPr>
            </w:pPr>
            <w:r>
              <w:rPr>
                <w:sz w:val="22"/>
                <w:szCs w:val="22"/>
              </w:rPr>
              <w:lastRenderedPageBreak/>
              <w:t>Derzeit 5.045 COVID-19-Patienten auf Intensivstationen der ca. 1.300 Akutkrankenhäuser behandelt</w:t>
            </w:r>
          </w:p>
          <w:p>
            <w:pPr>
              <w:pStyle w:val="Listenabsatz"/>
              <w:numPr>
                <w:ilvl w:val="1"/>
                <w:numId w:val="27"/>
              </w:numPr>
              <w:rPr>
                <w:sz w:val="22"/>
                <w:szCs w:val="22"/>
              </w:rPr>
            </w:pPr>
            <w:r>
              <w:rPr>
                <w:sz w:val="22"/>
                <w:szCs w:val="22"/>
              </w:rPr>
              <w:t>Intensivstationen füllen sich in einigen Bundesländern weiter, manche Länder zeigen erstes Plateau in COVID-ITS-Belegung</w:t>
            </w:r>
          </w:p>
          <w:p>
            <w:pPr>
              <w:pStyle w:val="Listenabsatz"/>
              <w:numPr>
                <w:ilvl w:val="1"/>
                <w:numId w:val="27"/>
              </w:numPr>
              <w:rPr>
                <w:sz w:val="22"/>
                <w:szCs w:val="22"/>
              </w:rPr>
            </w:pPr>
            <w:r>
              <w:rPr>
                <w:sz w:val="22"/>
                <w:szCs w:val="22"/>
              </w:rPr>
              <w:t>Hohe Dynamik an Zu- (rot) und Abgängen/Verlegungen (grün)</w:t>
            </w:r>
          </w:p>
          <w:p>
            <w:pPr>
              <w:pStyle w:val="Listenabsatz"/>
              <w:numPr>
                <w:ilvl w:val="1"/>
                <w:numId w:val="27"/>
              </w:numPr>
              <w:rPr>
                <w:sz w:val="22"/>
                <w:szCs w:val="22"/>
              </w:rPr>
            </w:pPr>
            <w:r>
              <w:rPr>
                <w:sz w:val="22"/>
                <w:szCs w:val="22"/>
              </w:rPr>
              <w:t>Differenz (türkis) zeigt langsam Stabilisierung, derzeit geringfügig im negativen Bereich</w:t>
            </w:r>
          </w:p>
          <w:p>
            <w:pPr>
              <w:pStyle w:val="Listenabsatz"/>
              <w:numPr>
                <w:ilvl w:val="1"/>
                <w:numId w:val="27"/>
              </w:numPr>
              <w:rPr>
                <w:sz w:val="22"/>
                <w:szCs w:val="22"/>
              </w:rPr>
            </w:pPr>
            <w:r>
              <w:rPr>
                <w:sz w:val="22"/>
                <w:szCs w:val="22"/>
              </w:rPr>
              <w:t>Dennoch hohes Patientenaufkommen, Todeszahlen der COVID-19-Erkrankten auf ITS sind weiter steigend.</w:t>
            </w:r>
          </w:p>
          <w:p>
            <w:pPr>
              <w:pStyle w:val="Listenabsatz"/>
              <w:numPr>
                <w:ilvl w:val="0"/>
                <w:numId w:val="27"/>
              </w:numPr>
              <w:rPr>
                <w:sz w:val="22"/>
                <w:szCs w:val="22"/>
              </w:rPr>
            </w:pPr>
            <w:r>
              <w:rPr>
                <w:sz w:val="22"/>
                <w:szCs w:val="22"/>
              </w:rPr>
              <w:t>Anteil der COVID-19-Patient*innen an der Gesamtzahl betreibbarer ITS-Betten: v.a. in Bremen (Nord-West), Sachsen-Anhalt, Berlin (Nord-Ost), NRW (Mitte) und BaWü (Süd) ansteigend; in Bayern Abflachung; in Thüringen Abnahme</w:t>
            </w:r>
          </w:p>
          <w:p>
            <w:pPr>
              <w:pStyle w:val="Listenabsatz"/>
              <w:numPr>
                <w:ilvl w:val="0"/>
                <w:numId w:val="27"/>
              </w:numPr>
              <w:rPr>
                <w:sz w:val="22"/>
                <w:szCs w:val="22"/>
              </w:rPr>
            </w:pPr>
            <w:r>
              <w:rPr>
                <w:sz w:val="22"/>
                <w:szCs w:val="22"/>
              </w:rPr>
              <w:t xml:space="preserve">Covid-19-Belegung und Belastung: </w:t>
            </w:r>
          </w:p>
          <w:p>
            <w:pPr>
              <w:pStyle w:val="Listenabsatz"/>
              <w:numPr>
                <w:ilvl w:val="1"/>
                <w:numId w:val="27"/>
              </w:numPr>
              <w:rPr>
                <w:sz w:val="22"/>
                <w:szCs w:val="22"/>
              </w:rPr>
            </w:pPr>
            <w:r>
              <w:rPr>
                <w:sz w:val="22"/>
                <w:szCs w:val="22"/>
              </w:rPr>
              <w:t xml:space="preserve">Über 85% der COVID-19 ITS Behandelten benötigen eine Beatmung </w:t>
            </w:r>
          </w:p>
          <w:p>
            <w:pPr>
              <w:pStyle w:val="Listenabsatz"/>
              <w:numPr>
                <w:ilvl w:val="1"/>
                <w:numId w:val="27"/>
              </w:numPr>
              <w:rPr>
                <w:sz w:val="22"/>
                <w:szCs w:val="22"/>
              </w:rPr>
            </w:pPr>
            <w:r>
              <w:rPr>
                <w:sz w:val="22"/>
                <w:szCs w:val="22"/>
              </w:rPr>
              <w:t>Die Belegungszahlen in der Beatmungsbehandlung haben die Auslastung der 2. Welle überschritten</w:t>
            </w:r>
          </w:p>
          <w:p>
            <w:pPr>
              <w:pStyle w:val="Listenabsatz"/>
              <w:numPr>
                <w:ilvl w:val="1"/>
                <w:numId w:val="27"/>
              </w:numPr>
              <w:rPr>
                <w:sz w:val="22"/>
                <w:szCs w:val="22"/>
              </w:rPr>
            </w:pPr>
            <w:r>
              <w:rPr>
                <w:sz w:val="22"/>
                <w:szCs w:val="22"/>
              </w:rPr>
              <w:t>Besonders schwere Fälle mit ECMO Behandlung nehmen besorgniserregend zu (hier teils 4-fache Belegung im Vergleich zum September 2020)</w:t>
            </w:r>
          </w:p>
          <w:p>
            <w:pPr>
              <w:pStyle w:val="Listenabsatz"/>
              <w:numPr>
                <w:ilvl w:val="0"/>
                <w:numId w:val="27"/>
              </w:numPr>
              <w:rPr>
                <w:sz w:val="22"/>
                <w:szCs w:val="22"/>
              </w:rPr>
            </w:pPr>
            <w:r>
              <w:rPr>
                <w:sz w:val="22"/>
                <w:szCs w:val="22"/>
              </w:rPr>
              <w:t xml:space="preserve">Einschätzung der Versorgungs-Verfügbarkeit: </w:t>
            </w:r>
          </w:p>
          <w:p>
            <w:pPr>
              <w:pStyle w:val="Listenabsatz"/>
              <w:numPr>
                <w:ilvl w:val="1"/>
                <w:numId w:val="27"/>
              </w:numPr>
              <w:rPr>
                <w:sz w:val="22"/>
                <w:szCs w:val="22"/>
              </w:rPr>
            </w:pPr>
            <w:r>
              <w:rPr>
                <w:sz w:val="22"/>
                <w:szCs w:val="22"/>
              </w:rPr>
              <w:t xml:space="preserve">Pandemie Höchstwerte: Zwischen 60-70 % der Intensivbereiche melden begrenzte Verfügbarkeit oder </w:t>
            </w:r>
            <w:r>
              <w:rPr>
                <w:sz w:val="22"/>
                <w:szCs w:val="22"/>
              </w:rPr>
              <w:br/>
              <w:t>Auslastung in den Bereichen Low-High-Care und ECMO</w:t>
            </w:r>
          </w:p>
          <w:p>
            <w:pPr>
              <w:pStyle w:val="Listenabsatz"/>
              <w:numPr>
                <w:ilvl w:val="1"/>
                <w:numId w:val="27"/>
              </w:numPr>
              <w:rPr>
                <w:sz w:val="22"/>
                <w:szCs w:val="22"/>
              </w:rPr>
            </w:pPr>
            <w:r>
              <w:rPr>
                <w:sz w:val="22"/>
                <w:szCs w:val="22"/>
              </w:rPr>
              <w:t>Die freien betreibbaren Kapazitäten zur Beatmung und ECMO-Behandlung haben weiter abgenommen</w:t>
            </w:r>
          </w:p>
          <w:p>
            <w:pPr>
              <w:pStyle w:val="Listenabsatz"/>
              <w:numPr>
                <w:ilvl w:val="0"/>
                <w:numId w:val="27"/>
              </w:numPr>
              <w:rPr>
                <w:sz w:val="22"/>
                <w:szCs w:val="22"/>
              </w:rPr>
            </w:pPr>
            <w:proofErr w:type="spellStart"/>
            <w:r>
              <w:rPr>
                <w:sz w:val="22"/>
                <w:szCs w:val="22"/>
              </w:rPr>
              <w:t>SPoCK</w:t>
            </w:r>
            <w:proofErr w:type="spellEnd"/>
            <w:r>
              <w:rPr>
                <w:sz w:val="22"/>
                <w:szCs w:val="22"/>
              </w:rPr>
              <w:t>: Prognosen intensivpflichtiger COVID-19-Patient*innen</w:t>
            </w:r>
          </w:p>
          <w:p>
            <w:pPr>
              <w:pStyle w:val="Listenabsatz"/>
              <w:ind w:left="360"/>
              <w:rPr>
                <w:sz w:val="22"/>
                <w:szCs w:val="22"/>
              </w:rPr>
            </w:pPr>
            <w:r>
              <w:rPr>
                <w:sz w:val="22"/>
                <w:szCs w:val="22"/>
              </w:rPr>
              <w:t xml:space="preserve">für die nächsten 20 Tage: für D weiterhin ansteigend (im Norden Stabilisierung, im Osten und Süden Anstiege, im Westen noch stärkere Anstiege erwartet) </w:t>
            </w:r>
          </w:p>
          <w:p>
            <w:pPr>
              <w:rPr>
                <w:color w:val="C2D69B" w:themeColor="accent3" w:themeTint="99"/>
                <w:sz w:val="20"/>
              </w:rPr>
            </w:pPr>
          </w:p>
          <w:p>
            <w:pPr>
              <w:rPr>
                <w:b/>
                <w:i/>
                <w:color w:val="D99594" w:themeColor="accent2" w:themeTint="99"/>
                <w:sz w:val="20"/>
              </w:rPr>
            </w:pPr>
            <w:proofErr w:type="spellStart"/>
            <w:r>
              <w:rPr>
                <w:b/>
              </w:rPr>
              <w:t>Syndromische</w:t>
            </w:r>
            <w:proofErr w:type="spellEnd"/>
            <w:r>
              <w:rPr>
                <w:b/>
              </w:rPr>
              <w:t xml:space="preserve"> Surveillance</w:t>
            </w:r>
            <w:r>
              <w:t xml:space="preserve"> </w:t>
            </w:r>
            <w:r>
              <w:rPr>
                <w:b/>
                <w:i/>
                <w:color w:val="D99594" w:themeColor="accent2" w:themeTint="99"/>
                <w:sz w:val="20"/>
              </w:rPr>
              <w:t xml:space="preserve">(nur mittwochs) </w:t>
            </w:r>
            <w:r>
              <w:rPr>
                <w:sz w:val="22"/>
                <w:szCs w:val="22"/>
              </w:rPr>
              <w:t xml:space="preserve">(Folien </w:t>
            </w:r>
            <w:hyperlink r:id="rId16" w:history="1">
              <w:r>
                <w:rPr>
                  <w:rStyle w:val="Hyperlink"/>
                  <w:sz w:val="22"/>
                  <w:szCs w:val="22"/>
                </w:rPr>
                <w:t>hier</w:t>
              </w:r>
            </w:hyperlink>
            <w:r>
              <w:rPr>
                <w:sz w:val="22"/>
                <w:szCs w:val="22"/>
              </w:rPr>
              <w:t>)</w:t>
            </w:r>
          </w:p>
          <w:p>
            <w:pPr>
              <w:pStyle w:val="Listenabsatz"/>
              <w:numPr>
                <w:ilvl w:val="0"/>
                <w:numId w:val="27"/>
              </w:numPr>
              <w:rPr>
                <w:sz w:val="22"/>
                <w:szCs w:val="22"/>
              </w:rPr>
            </w:pPr>
            <w:proofErr w:type="spellStart"/>
            <w:r>
              <w:rPr>
                <w:sz w:val="22"/>
                <w:szCs w:val="22"/>
              </w:rPr>
              <w:t>GrippeWeb</w:t>
            </w:r>
            <w:proofErr w:type="spellEnd"/>
            <w:r>
              <w:rPr>
                <w:sz w:val="22"/>
                <w:szCs w:val="22"/>
              </w:rPr>
              <w:t xml:space="preserve"> bis zur 16. KW 2021: </w:t>
            </w:r>
          </w:p>
          <w:p>
            <w:pPr>
              <w:pStyle w:val="Listenabsatz"/>
              <w:numPr>
                <w:ilvl w:val="1"/>
                <w:numId w:val="27"/>
              </w:numPr>
              <w:rPr>
                <w:sz w:val="22"/>
                <w:szCs w:val="22"/>
              </w:rPr>
            </w:pPr>
            <w:r>
              <w:rPr>
                <w:sz w:val="22"/>
                <w:szCs w:val="22"/>
              </w:rPr>
              <w:t xml:space="preserve">ARE-Rate derzeit auf dem Niveau des Vorjahres – dennoch seit 36. KW so niedrig wie noch nie in diesem Zeitraum und deutlich unter der ARE-Rate der anderen Vorsaisons um die 16. KW.  </w:t>
            </w:r>
          </w:p>
          <w:p>
            <w:pPr>
              <w:pStyle w:val="Listenabsatz"/>
              <w:numPr>
                <w:ilvl w:val="1"/>
                <w:numId w:val="27"/>
              </w:numPr>
              <w:rPr>
                <w:sz w:val="22"/>
                <w:szCs w:val="22"/>
              </w:rPr>
            </w:pPr>
            <w:r>
              <w:rPr>
                <w:sz w:val="22"/>
                <w:szCs w:val="22"/>
              </w:rPr>
              <w:t>In KW 16 ist ARE-Rate bei Kindern gestiegen und in den anderen AG gesunken</w:t>
            </w:r>
          </w:p>
          <w:p>
            <w:pPr>
              <w:pStyle w:val="Listenabsatz"/>
              <w:numPr>
                <w:ilvl w:val="0"/>
                <w:numId w:val="27"/>
              </w:numPr>
              <w:rPr>
                <w:sz w:val="22"/>
                <w:szCs w:val="22"/>
              </w:rPr>
            </w:pPr>
            <w:r>
              <w:rPr>
                <w:sz w:val="22"/>
                <w:szCs w:val="22"/>
              </w:rPr>
              <w:t>ARE-Konsultationen bis zur 16. KW 2021:</w:t>
            </w:r>
          </w:p>
          <w:p>
            <w:pPr>
              <w:pStyle w:val="Listenabsatz"/>
              <w:numPr>
                <w:ilvl w:val="1"/>
                <w:numId w:val="27"/>
              </w:numPr>
              <w:rPr>
                <w:sz w:val="22"/>
                <w:szCs w:val="22"/>
              </w:rPr>
            </w:pPr>
            <w:r>
              <w:rPr>
                <w:sz w:val="22"/>
                <w:szCs w:val="22"/>
              </w:rPr>
              <w:t xml:space="preserve">Konsultationsinzidenz insgesamt leicht gesunken im Vergleich zur Vorwoche, starker Anstieg bei AG 0-4 </w:t>
            </w:r>
          </w:p>
          <w:p>
            <w:pPr>
              <w:pStyle w:val="Listenabsatz"/>
              <w:numPr>
                <w:ilvl w:val="1"/>
                <w:numId w:val="27"/>
              </w:numPr>
              <w:rPr>
                <w:sz w:val="22"/>
                <w:szCs w:val="22"/>
              </w:rPr>
            </w:pPr>
            <w:r>
              <w:rPr>
                <w:sz w:val="22"/>
                <w:szCs w:val="22"/>
              </w:rPr>
              <w:t xml:space="preserve">Auf Bundesland-Ebene unterschiedliche Entwicklung in 16. KW im Vergleich zur Vorwoche: Konsultationsinzidenz in BaWü in allen AGs gesunken, in Sachsen bei Kindern (0-4/5-14) gestiegen </w:t>
            </w:r>
          </w:p>
          <w:p>
            <w:pPr>
              <w:pStyle w:val="Listenabsatz"/>
              <w:numPr>
                <w:ilvl w:val="0"/>
                <w:numId w:val="27"/>
              </w:numPr>
              <w:rPr>
                <w:sz w:val="22"/>
                <w:szCs w:val="22"/>
              </w:rPr>
            </w:pPr>
            <w:r>
              <w:rPr>
                <w:sz w:val="22"/>
                <w:szCs w:val="22"/>
              </w:rPr>
              <w:t>ICOSARI-KH-Surveillance - AG ab 15 Jahre (AG unter 15 unter Niveau der Vorjahre)</w:t>
            </w:r>
          </w:p>
          <w:p>
            <w:pPr>
              <w:pStyle w:val="Listenabsatz"/>
              <w:numPr>
                <w:ilvl w:val="1"/>
                <w:numId w:val="27"/>
              </w:numPr>
              <w:rPr>
                <w:sz w:val="22"/>
                <w:szCs w:val="22"/>
              </w:rPr>
            </w:pPr>
            <w:r>
              <w:rPr>
                <w:sz w:val="22"/>
                <w:szCs w:val="22"/>
              </w:rPr>
              <w:lastRenderedPageBreak/>
              <w:t>SARI-Fallzahlen insgesamt leicht gesunken</w:t>
            </w:r>
          </w:p>
          <w:p>
            <w:pPr>
              <w:pStyle w:val="Listenabsatz"/>
              <w:numPr>
                <w:ilvl w:val="1"/>
                <w:numId w:val="27"/>
              </w:numPr>
              <w:rPr>
                <w:sz w:val="22"/>
                <w:szCs w:val="22"/>
              </w:rPr>
            </w:pPr>
            <w:r>
              <w:rPr>
                <w:sz w:val="22"/>
                <w:szCs w:val="22"/>
              </w:rPr>
              <w:t>Rückgang in den AG 35-59 und 80+</w:t>
            </w:r>
          </w:p>
          <w:p>
            <w:pPr>
              <w:pStyle w:val="Listenabsatz"/>
              <w:numPr>
                <w:ilvl w:val="1"/>
                <w:numId w:val="27"/>
              </w:numPr>
              <w:rPr>
                <w:sz w:val="22"/>
                <w:szCs w:val="22"/>
              </w:rPr>
            </w:pPr>
            <w:r>
              <w:rPr>
                <w:sz w:val="22"/>
                <w:szCs w:val="22"/>
              </w:rPr>
              <w:t>Alle anderen AG: weitestgehend stabil</w:t>
            </w:r>
          </w:p>
          <w:p>
            <w:pPr>
              <w:pStyle w:val="Listenabsatz"/>
              <w:numPr>
                <w:ilvl w:val="1"/>
                <w:numId w:val="27"/>
              </w:numPr>
              <w:rPr>
                <w:sz w:val="22"/>
                <w:szCs w:val="22"/>
              </w:rPr>
            </w:pPr>
            <w:r>
              <w:rPr>
                <w:sz w:val="22"/>
                <w:szCs w:val="22"/>
              </w:rPr>
              <w:t xml:space="preserve">AG 35 -59: weiterhin sehr hohes Niveau, wie in Grippewelle bzw. wie in 2. Welle </w:t>
            </w:r>
          </w:p>
          <w:p>
            <w:pPr>
              <w:pStyle w:val="Listenabsatz"/>
              <w:numPr>
                <w:ilvl w:val="1"/>
                <w:numId w:val="27"/>
              </w:numPr>
              <w:rPr>
                <w:sz w:val="22"/>
                <w:szCs w:val="22"/>
              </w:rPr>
            </w:pPr>
            <w:r>
              <w:rPr>
                <w:sz w:val="22"/>
                <w:szCs w:val="22"/>
              </w:rPr>
              <w:t>AG 15-34 und 60-79: weiterhin erhöhtes Niveau, gerade noch „jahreszeitlich üblich“, AG 80+ weniger</w:t>
            </w:r>
          </w:p>
          <w:p>
            <w:pPr>
              <w:pStyle w:val="Listenabsatz"/>
              <w:numPr>
                <w:ilvl w:val="1"/>
                <w:numId w:val="27"/>
              </w:numPr>
              <w:rPr>
                <w:sz w:val="22"/>
                <w:szCs w:val="22"/>
              </w:rPr>
            </w:pPr>
            <w:r>
              <w:rPr>
                <w:sz w:val="22"/>
                <w:szCs w:val="22"/>
              </w:rPr>
              <w:t>AG 0-4: Ausbleiben von Influenza und RSV; ähnlich Schulkinder Allzeittief im Vgl. zu Vorjahr</w:t>
            </w:r>
          </w:p>
          <w:p>
            <w:pPr>
              <w:pStyle w:val="Listenabsatz"/>
              <w:numPr>
                <w:ilvl w:val="0"/>
                <w:numId w:val="27"/>
              </w:numPr>
              <w:rPr>
                <w:sz w:val="22"/>
                <w:szCs w:val="22"/>
              </w:rPr>
            </w:pPr>
            <w:r>
              <w:rPr>
                <w:sz w:val="22"/>
                <w:szCs w:val="22"/>
              </w:rPr>
              <w:t>ICOSARI-KH-Surveillance – COVID-SARI-Fälle bis zur 15. und 16. KW 2021</w:t>
            </w:r>
          </w:p>
          <w:p>
            <w:pPr>
              <w:pStyle w:val="Listenabsatz"/>
              <w:numPr>
                <w:ilvl w:val="1"/>
                <w:numId w:val="27"/>
              </w:numPr>
              <w:rPr>
                <w:sz w:val="22"/>
                <w:szCs w:val="22"/>
              </w:rPr>
            </w:pPr>
            <w:r>
              <w:rPr>
                <w:sz w:val="22"/>
                <w:szCs w:val="22"/>
              </w:rPr>
              <w:t>15. KW: AG 35-59 weiterhin sehr hohes Niveau (über 2. Welle), AG 60-79 noch kein Rückgang zu erkennen (Stabilisierung), Niveau liegt aber unter 2. Welle, AG 80+ seit einigen Wochen stabil</w:t>
            </w:r>
          </w:p>
          <w:p>
            <w:pPr>
              <w:pStyle w:val="Listenabsatz"/>
              <w:numPr>
                <w:ilvl w:val="1"/>
                <w:numId w:val="27"/>
              </w:numPr>
              <w:rPr>
                <w:sz w:val="22"/>
                <w:szCs w:val="22"/>
              </w:rPr>
            </w:pPr>
            <w:r>
              <w:rPr>
                <w:sz w:val="22"/>
                <w:szCs w:val="22"/>
              </w:rPr>
              <w:t xml:space="preserve">16. KW: steiler Anstieg in der AG 35-59 gebrochen, Peak in der AG 60-79 vermutlich überwunden und derzeit abnehmend, AG 80+ auf niedrigem Niveau </w:t>
            </w:r>
          </w:p>
          <w:p>
            <w:pPr>
              <w:pStyle w:val="Listenabsatz"/>
              <w:numPr>
                <w:ilvl w:val="0"/>
                <w:numId w:val="27"/>
              </w:numPr>
              <w:rPr>
                <w:sz w:val="22"/>
                <w:szCs w:val="22"/>
              </w:rPr>
            </w:pPr>
            <w:r>
              <w:rPr>
                <w:sz w:val="22"/>
                <w:szCs w:val="22"/>
              </w:rPr>
              <w:t>Anteil COVID-19 an SARI 66 % in KW 15/2021, stabil im Vergleich zur Vorwoche auf hohem Niveau, Fälle in Intensivbehandlung auf 82 % (KW 14: 84 %)</w:t>
            </w:r>
          </w:p>
          <w:p>
            <w:pPr>
              <w:pStyle w:val="Listenabsatz"/>
              <w:numPr>
                <w:ilvl w:val="0"/>
                <w:numId w:val="27"/>
              </w:numPr>
              <w:rPr>
                <w:sz w:val="22"/>
                <w:szCs w:val="22"/>
              </w:rPr>
            </w:pPr>
            <w:r>
              <w:rPr>
                <w:sz w:val="22"/>
                <w:szCs w:val="22"/>
              </w:rPr>
              <w:t>ICOSARI: SARI-Fälle in Intensivbehandlung mit COVID-19 bis 16/2021</w:t>
            </w:r>
          </w:p>
          <w:p>
            <w:pPr>
              <w:pStyle w:val="Listenabsatz"/>
              <w:numPr>
                <w:ilvl w:val="0"/>
                <w:numId w:val="27"/>
              </w:numPr>
              <w:rPr>
                <w:sz w:val="22"/>
                <w:szCs w:val="22"/>
              </w:rPr>
            </w:pPr>
            <w:r>
              <w:rPr>
                <w:sz w:val="22"/>
                <w:szCs w:val="22"/>
              </w:rPr>
              <w:t>Zahl der Intensivpatienten in der AG 60-79 scheint wieder rückläufig, in AG 35-59 weiterhin sehr hoch, höher als in 2. Welle</w:t>
            </w:r>
          </w:p>
          <w:p>
            <w:pPr>
              <w:pStyle w:val="Listenabsatz"/>
              <w:numPr>
                <w:ilvl w:val="0"/>
                <w:numId w:val="27"/>
              </w:numPr>
              <w:rPr>
                <w:sz w:val="22"/>
                <w:szCs w:val="22"/>
              </w:rPr>
            </w:pPr>
            <w:r>
              <w:rPr>
                <w:sz w:val="22"/>
                <w:szCs w:val="22"/>
              </w:rPr>
              <w:t>Medianes Alter Intensivpatienten COVID-SARI seit KW 11/2021 unter 70 und abnehmend (KW 14: 67 Jahre, KW 15: 63 Jahre), vermutliche Ursache: andere AGs weniger ITS-behandelt</w:t>
            </w:r>
          </w:p>
          <w:p/>
          <w:p>
            <w:pPr>
              <w:rPr>
                <w:b/>
                <w:i/>
                <w:color w:val="D99594" w:themeColor="accent2" w:themeTint="99"/>
                <w:sz w:val="20"/>
              </w:rPr>
            </w:pPr>
            <w:r>
              <w:rPr>
                <w:b/>
              </w:rPr>
              <w:t>Virologische Surveillance, NRZ-Influenza-Daten</w:t>
            </w:r>
            <w:r>
              <w:t xml:space="preserve"> </w:t>
            </w:r>
            <w:r>
              <w:rPr>
                <w:b/>
                <w:i/>
                <w:color w:val="D99594" w:themeColor="accent2" w:themeTint="99"/>
                <w:sz w:val="20"/>
              </w:rPr>
              <w:t xml:space="preserve">(nur mittwochs) </w:t>
            </w:r>
            <w:r>
              <w:rPr>
                <w:sz w:val="22"/>
                <w:szCs w:val="22"/>
              </w:rPr>
              <w:t xml:space="preserve">(Folien </w:t>
            </w:r>
            <w:hyperlink r:id="rId17" w:history="1">
              <w:r>
                <w:rPr>
                  <w:rStyle w:val="Hyperlink"/>
                  <w:sz w:val="22"/>
                  <w:szCs w:val="22"/>
                </w:rPr>
                <w:t>hier</w:t>
              </w:r>
            </w:hyperlink>
            <w:r>
              <w:rPr>
                <w:sz w:val="22"/>
                <w:szCs w:val="22"/>
              </w:rPr>
              <w:t>)</w:t>
            </w:r>
          </w:p>
          <w:p>
            <w:pPr>
              <w:pStyle w:val="Listenabsatz"/>
              <w:numPr>
                <w:ilvl w:val="0"/>
                <w:numId w:val="27"/>
              </w:numPr>
              <w:rPr>
                <w:sz w:val="22"/>
                <w:szCs w:val="22"/>
              </w:rPr>
            </w:pPr>
            <w:r>
              <w:rPr>
                <w:sz w:val="22"/>
                <w:szCs w:val="22"/>
              </w:rPr>
              <w:t>Nach Ostern deutlicher Rückgang der eingesandten Proben</w:t>
            </w:r>
          </w:p>
          <w:p>
            <w:pPr>
              <w:pStyle w:val="Listenabsatz"/>
              <w:numPr>
                <w:ilvl w:val="0"/>
                <w:numId w:val="27"/>
              </w:numPr>
              <w:rPr>
                <w:sz w:val="22"/>
                <w:szCs w:val="22"/>
              </w:rPr>
            </w:pPr>
            <w:r>
              <w:rPr>
                <w:sz w:val="22"/>
                <w:szCs w:val="22"/>
              </w:rPr>
              <w:t>Leichte Tendenz der Steigerung in KW 16 (164 Einsendungen)</w:t>
            </w:r>
          </w:p>
          <w:p>
            <w:pPr>
              <w:pStyle w:val="Listenabsatz"/>
              <w:numPr>
                <w:ilvl w:val="0"/>
                <w:numId w:val="27"/>
              </w:numPr>
              <w:rPr>
                <w:sz w:val="22"/>
                <w:szCs w:val="22"/>
              </w:rPr>
            </w:pPr>
            <w:r>
              <w:rPr>
                <w:sz w:val="22"/>
                <w:szCs w:val="22"/>
              </w:rPr>
              <w:t xml:space="preserve">UK-Variante überwiegt, anekdotische Berichte aus Arztpraxen zur Übertragbarkeit: bei Vorhandensein der UK-Variante fast immer alle Familienmitglieder ebenfalls infiziert, auch </w:t>
            </w:r>
            <w:r>
              <w:rPr>
                <w:i/>
                <w:sz w:val="22"/>
                <w:szCs w:val="22"/>
              </w:rPr>
              <w:t>in praxi</w:t>
            </w:r>
            <w:r>
              <w:rPr>
                <w:sz w:val="22"/>
                <w:szCs w:val="22"/>
              </w:rPr>
              <w:t xml:space="preserve"> deutlich erhöhte Übertragbarkeit feststellbar</w:t>
            </w:r>
          </w:p>
          <w:p>
            <w:pPr>
              <w:pStyle w:val="Listenabsatz"/>
              <w:numPr>
                <w:ilvl w:val="0"/>
                <w:numId w:val="27"/>
              </w:numPr>
              <w:rPr>
                <w:sz w:val="22"/>
                <w:szCs w:val="22"/>
              </w:rPr>
            </w:pPr>
            <w:proofErr w:type="spellStart"/>
            <w:r>
              <w:rPr>
                <w:sz w:val="22"/>
                <w:szCs w:val="22"/>
              </w:rPr>
              <w:t>Rhinoviren</w:t>
            </w:r>
            <w:proofErr w:type="spellEnd"/>
            <w:r>
              <w:rPr>
                <w:sz w:val="22"/>
                <w:szCs w:val="22"/>
              </w:rPr>
              <w:t xml:space="preserve"> (blau): zu Ostern kurzzeitig recht geringe Nachweisraten, derzeit wieder steigend </w:t>
            </w:r>
          </w:p>
          <w:p>
            <w:pPr>
              <w:pStyle w:val="Listenabsatz"/>
              <w:numPr>
                <w:ilvl w:val="0"/>
                <w:numId w:val="27"/>
              </w:numPr>
              <w:rPr>
                <w:sz w:val="22"/>
                <w:szCs w:val="22"/>
              </w:rPr>
            </w:pPr>
            <w:r>
              <w:rPr>
                <w:sz w:val="22"/>
                <w:szCs w:val="22"/>
              </w:rPr>
              <w:t xml:space="preserve">SARS-COV-2 (rot): Nachweisrate unter 10 % (derzeit vornehmlich Proben von Kindern eingeschickt)  </w:t>
            </w:r>
          </w:p>
          <w:p>
            <w:pPr>
              <w:pStyle w:val="Listenabsatz"/>
              <w:numPr>
                <w:ilvl w:val="0"/>
                <w:numId w:val="27"/>
              </w:numPr>
              <w:rPr>
                <w:sz w:val="22"/>
                <w:szCs w:val="22"/>
              </w:rPr>
            </w:pPr>
            <w:r>
              <w:rPr>
                <w:sz w:val="22"/>
                <w:szCs w:val="22"/>
              </w:rPr>
              <w:t xml:space="preserve">Influenza: in letzter Woche ein Nachweis (N1 jedoch nicht positiv, daher nicht in Grafik mitaufgenommen) </w:t>
            </w:r>
          </w:p>
          <w:p>
            <w:pPr>
              <w:pStyle w:val="Listenabsatz"/>
              <w:numPr>
                <w:ilvl w:val="0"/>
                <w:numId w:val="27"/>
              </w:numPr>
              <w:rPr>
                <w:sz w:val="22"/>
                <w:szCs w:val="22"/>
              </w:rPr>
            </w:pPr>
            <w:proofErr w:type="spellStart"/>
            <w:r>
              <w:rPr>
                <w:sz w:val="22"/>
                <w:szCs w:val="22"/>
              </w:rPr>
              <w:t>Rhinovirusaktivität</w:t>
            </w:r>
            <w:proofErr w:type="spellEnd"/>
            <w:r>
              <w:rPr>
                <w:sz w:val="22"/>
                <w:szCs w:val="22"/>
              </w:rPr>
              <w:t xml:space="preserve"> steigt bei Kindern</w:t>
            </w:r>
          </w:p>
          <w:p>
            <w:pPr>
              <w:pStyle w:val="Listenabsatz"/>
              <w:numPr>
                <w:ilvl w:val="0"/>
                <w:numId w:val="27"/>
              </w:numPr>
              <w:rPr>
                <w:sz w:val="22"/>
                <w:szCs w:val="22"/>
              </w:rPr>
            </w:pPr>
            <w:r>
              <w:rPr>
                <w:sz w:val="22"/>
                <w:szCs w:val="22"/>
              </w:rPr>
              <w:t xml:space="preserve">RESPVIR-Auszug: endemische Coronaviren im Vergleich: derzeit v.a. NL63 nachgewiesen, v.a. bei Kindern, Basis-Immunität aufgrund der Pandemie-Situation </w:t>
            </w:r>
            <w:proofErr w:type="spellStart"/>
            <w:r>
              <w:rPr>
                <w:sz w:val="22"/>
                <w:szCs w:val="22"/>
              </w:rPr>
              <w:t>ggf</w:t>
            </w:r>
            <w:proofErr w:type="spellEnd"/>
            <w:r>
              <w:rPr>
                <w:sz w:val="22"/>
                <w:szCs w:val="22"/>
              </w:rPr>
              <w:t xml:space="preserve"> nicht so gut ausgeprägt</w:t>
            </w:r>
          </w:p>
          <w:p>
            <w:pPr>
              <w:rPr>
                <w:color w:val="D99594" w:themeColor="accent2" w:themeTint="99"/>
              </w:rPr>
            </w:pPr>
          </w:p>
          <w:p>
            <w:pPr>
              <w:rPr>
                <w:b/>
                <w:i/>
                <w:color w:val="D99594" w:themeColor="accent2" w:themeTint="99"/>
                <w:sz w:val="20"/>
              </w:rPr>
            </w:pPr>
            <w:r>
              <w:rPr>
                <w:b/>
              </w:rPr>
              <w:t>Testkapazität und Testungen</w:t>
            </w:r>
            <w:r>
              <w:t xml:space="preserve"> </w:t>
            </w:r>
            <w:r>
              <w:rPr>
                <w:b/>
                <w:i/>
                <w:color w:val="D99594" w:themeColor="accent2" w:themeTint="99"/>
                <w:sz w:val="20"/>
              </w:rPr>
              <w:t xml:space="preserve">(nur mittwochs) </w:t>
            </w:r>
          </w:p>
          <w:p>
            <w:pPr>
              <w:rPr>
                <w:sz w:val="22"/>
                <w:szCs w:val="22"/>
              </w:rPr>
            </w:pPr>
            <w:r>
              <w:rPr>
                <w:b/>
                <w:sz w:val="22"/>
                <w:szCs w:val="22"/>
              </w:rPr>
              <w:t xml:space="preserve">Testzahlerfassung </w:t>
            </w:r>
            <w:r>
              <w:rPr>
                <w:sz w:val="22"/>
                <w:szCs w:val="22"/>
              </w:rPr>
              <w:t xml:space="preserve">(Folien </w:t>
            </w:r>
            <w:hyperlink r:id="rId18" w:history="1">
              <w:r>
                <w:rPr>
                  <w:rStyle w:val="Hyperlink"/>
                  <w:sz w:val="22"/>
                  <w:szCs w:val="22"/>
                </w:rPr>
                <w:t>hier</w:t>
              </w:r>
            </w:hyperlink>
            <w:r>
              <w:rPr>
                <w:sz w:val="22"/>
                <w:szCs w:val="22"/>
              </w:rPr>
              <w:t>)</w:t>
            </w:r>
          </w:p>
          <w:p>
            <w:pPr>
              <w:pStyle w:val="Listenabsatz"/>
              <w:numPr>
                <w:ilvl w:val="0"/>
                <w:numId w:val="27"/>
              </w:numPr>
              <w:rPr>
                <w:sz w:val="22"/>
                <w:szCs w:val="22"/>
              </w:rPr>
            </w:pPr>
            <w:r>
              <w:rPr>
                <w:sz w:val="22"/>
                <w:szCs w:val="22"/>
              </w:rPr>
              <w:lastRenderedPageBreak/>
              <w:t xml:space="preserve">Testzahlen und Positivquote </w:t>
            </w:r>
          </w:p>
          <w:p>
            <w:pPr>
              <w:pStyle w:val="Listenabsatz"/>
              <w:numPr>
                <w:ilvl w:val="1"/>
                <w:numId w:val="27"/>
              </w:numPr>
              <w:rPr>
                <w:sz w:val="22"/>
                <w:szCs w:val="22"/>
              </w:rPr>
            </w:pPr>
            <w:r>
              <w:rPr>
                <w:sz w:val="22"/>
                <w:szCs w:val="22"/>
              </w:rPr>
              <w:t xml:space="preserve">Anzahl der Testungen in dieser KW leicht zugenommen, Niveau wie vor Ostern </w:t>
            </w:r>
          </w:p>
          <w:p>
            <w:pPr>
              <w:pStyle w:val="Listenabsatz"/>
              <w:numPr>
                <w:ilvl w:val="1"/>
                <w:numId w:val="27"/>
              </w:numPr>
              <w:rPr>
                <w:sz w:val="22"/>
                <w:szCs w:val="22"/>
              </w:rPr>
            </w:pPr>
            <w:proofErr w:type="spellStart"/>
            <w:r>
              <w:rPr>
                <w:sz w:val="22"/>
                <w:szCs w:val="22"/>
              </w:rPr>
              <w:t>Positivenanteil</w:t>
            </w:r>
            <w:proofErr w:type="spellEnd"/>
            <w:r>
              <w:rPr>
                <w:sz w:val="22"/>
                <w:szCs w:val="22"/>
              </w:rPr>
              <w:t xml:space="preserve"> stabil wie in Vorwoche bei ca. 12,5 % </w:t>
            </w:r>
          </w:p>
          <w:p>
            <w:pPr>
              <w:pStyle w:val="Listenabsatz"/>
              <w:numPr>
                <w:ilvl w:val="0"/>
                <w:numId w:val="27"/>
              </w:numPr>
              <w:rPr>
                <w:sz w:val="22"/>
                <w:szCs w:val="22"/>
              </w:rPr>
            </w:pPr>
            <w:r>
              <w:rPr>
                <w:sz w:val="22"/>
                <w:szCs w:val="22"/>
              </w:rPr>
              <w:t xml:space="preserve">Auslastung der Kapazitäten </w:t>
            </w:r>
          </w:p>
          <w:p>
            <w:pPr>
              <w:pStyle w:val="Listenabsatz"/>
              <w:numPr>
                <w:ilvl w:val="1"/>
                <w:numId w:val="27"/>
              </w:numPr>
              <w:rPr>
                <w:sz w:val="22"/>
                <w:szCs w:val="22"/>
              </w:rPr>
            </w:pPr>
            <w:r>
              <w:rPr>
                <w:sz w:val="22"/>
                <w:szCs w:val="22"/>
              </w:rPr>
              <w:t xml:space="preserve">Anzahl durchgeführter Tests (blau) im Vergleich zu Vorwochen steigend </w:t>
            </w:r>
          </w:p>
          <w:p>
            <w:pPr>
              <w:pStyle w:val="Listenabsatz"/>
              <w:numPr>
                <w:ilvl w:val="1"/>
                <w:numId w:val="27"/>
              </w:numPr>
              <w:rPr>
                <w:sz w:val="22"/>
                <w:szCs w:val="22"/>
              </w:rPr>
            </w:pPr>
            <w:r>
              <w:rPr>
                <w:sz w:val="22"/>
                <w:szCs w:val="22"/>
              </w:rPr>
              <w:t xml:space="preserve">Testkapazitäten weiterhin vorhanden, probenrückstau und </w:t>
            </w:r>
            <w:proofErr w:type="spellStart"/>
            <w:r>
              <w:rPr>
                <w:sz w:val="22"/>
                <w:szCs w:val="22"/>
              </w:rPr>
              <w:t>Lieferengässe</w:t>
            </w:r>
            <w:proofErr w:type="spellEnd"/>
            <w:r>
              <w:rPr>
                <w:sz w:val="22"/>
                <w:szCs w:val="22"/>
              </w:rPr>
              <w:t xml:space="preserve"> unproblematisch (Folie entfällt)</w:t>
            </w:r>
          </w:p>
          <w:p>
            <w:pPr>
              <w:pStyle w:val="Listenabsatz"/>
              <w:numPr>
                <w:ilvl w:val="0"/>
                <w:numId w:val="27"/>
              </w:numPr>
              <w:rPr>
                <w:sz w:val="22"/>
                <w:szCs w:val="22"/>
              </w:rPr>
            </w:pPr>
            <w:r>
              <w:rPr>
                <w:sz w:val="22"/>
                <w:szCs w:val="22"/>
              </w:rPr>
              <w:t xml:space="preserve">Sonderabfrage in den Laboren (KW16): Anteil Bestätigungs-PCRs an Testungen und </w:t>
            </w:r>
            <w:proofErr w:type="spellStart"/>
            <w:r>
              <w:rPr>
                <w:sz w:val="22"/>
                <w:szCs w:val="22"/>
              </w:rPr>
              <w:t>Positivenanteil</w:t>
            </w:r>
            <w:proofErr w:type="spellEnd"/>
          </w:p>
          <w:p>
            <w:pPr>
              <w:pStyle w:val="Listenabsatz"/>
              <w:numPr>
                <w:ilvl w:val="1"/>
                <w:numId w:val="27"/>
              </w:numPr>
              <w:rPr>
                <w:sz w:val="22"/>
                <w:szCs w:val="22"/>
              </w:rPr>
            </w:pPr>
            <w:r>
              <w:rPr>
                <w:sz w:val="22"/>
                <w:szCs w:val="22"/>
              </w:rPr>
              <w:t>Von 260.143 übermittelten Testungen 4.004 (1,5 %) als Bestätigungstests für positive AG-Tests gekennzeichnet; hiervon 2.482 (62 %) positiv</w:t>
            </w:r>
          </w:p>
          <w:p>
            <w:pPr>
              <w:pStyle w:val="Listenabsatz"/>
              <w:numPr>
                <w:ilvl w:val="1"/>
                <w:numId w:val="27"/>
              </w:numPr>
              <w:rPr>
                <w:sz w:val="22"/>
                <w:szCs w:val="22"/>
              </w:rPr>
            </w:pPr>
            <w:r>
              <w:rPr>
                <w:sz w:val="22"/>
                <w:szCs w:val="22"/>
              </w:rPr>
              <w:t xml:space="preserve">Häufig konnte keine Angabe gemacht werden, ob es sich um Bestätigungstests handelt </w:t>
            </w:r>
          </w:p>
          <w:p>
            <w:pPr>
              <w:pStyle w:val="Listenabsatz"/>
              <w:numPr>
                <w:ilvl w:val="1"/>
                <w:numId w:val="27"/>
              </w:numPr>
              <w:rPr>
                <w:sz w:val="22"/>
                <w:szCs w:val="22"/>
              </w:rPr>
            </w:pPr>
            <w:r>
              <w:rPr>
                <w:sz w:val="22"/>
                <w:szCs w:val="22"/>
              </w:rPr>
              <w:t>Voraussetzung: (korrekte) Nutzung neuer OEGD-Scheine, Nutzung ggf. zu fördern</w:t>
            </w:r>
          </w:p>
          <w:p>
            <w:pPr>
              <w:pStyle w:val="Listenabsatz"/>
              <w:numPr>
                <w:ilvl w:val="1"/>
                <w:numId w:val="27"/>
              </w:numPr>
              <w:rPr>
                <w:sz w:val="22"/>
                <w:szCs w:val="22"/>
              </w:rPr>
            </w:pPr>
            <w:r>
              <w:rPr>
                <w:sz w:val="22"/>
                <w:szCs w:val="22"/>
              </w:rPr>
              <w:t>Mutmaßliche Untererfassung, vermutlich jedoch kein dramatischer Anstieg vorhanden</w:t>
            </w:r>
          </w:p>
          <w:p>
            <w:pPr>
              <w:pStyle w:val="Listenabsatz"/>
              <w:numPr>
                <w:ilvl w:val="0"/>
                <w:numId w:val="27"/>
              </w:numPr>
              <w:rPr>
                <w:sz w:val="22"/>
                <w:szCs w:val="22"/>
              </w:rPr>
            </w:pPr>
            <w:r>
              <w:rPr>
                <w:sz w:val="22"/>
                <w:szCs w:val="22"/>
              </w:rPr>
              <w:t xml:space="preserve">Anmerkung: Grafik zu </w:t>
            </w:r>
            <w:proofErr w:type="spellStart"/>
            <w:r>
              <w:rPr>
                <w:sz w:val="22"/>
                <w:szCs w:val="22"/>
              </w:rPr>
              <w:t>Positivenanteil</w:t>
            </w:r>
            <w:proofErr w:type="spellEnd"/>
            <w:r>
              <w:rPr>
                <w:sz w:val="22"/>
                <w:szCs w:val="22"/>
              </w:rPr>
              <w:t xml:space="preserve">, Inzidenz, Fallzahlzunahme, Bestätigungstests wird heute finalisiert </w:t>
            </w:r>
          </w:p>
          <w:p>
            <w:pPr>
              <w:pStyle w:val="Listenabsatz"/>
              <w:numPr>
                <w:ilvl w:val="0"/>
                <w:numId w:val="27"/>
              </w:numPr>
              <w:rPr>
                <w:sz w:val="22"/>
                <w:szCs w:val="22"/>
              </w:rPr>
            </w:pPr>
            <w:r>
              <w:rPr>
                <w:sz w:val="22"/>
                <w:szCs w:val="22"/>
              </w:rPr>
              <w:t>Testzahlerfassung VOC - VOXCO Abfrage: Angaben zu ca. 96.000 Tests (= ca. 55 % aller übermittelten positiven PCR- Tests in KW16), davon in ca. 91 % der Fälle Vorliegen einer VOC: 90,3 % B.1.1.7, 0,7 % B.1.351 und 0,1 % P.1</w:t>
            </w:r>
          </w:p>
          <w:p>
            <w:pPr>
              <w:pStyle w:val="Listenabsatz"/>
              <w:numPr>
                <w:ilvl w:val="0"/>
                <w:numId w:val="27"/>
              </w:numPr>
              <w:rPr>
                <w:sz w:val="22"/>
                <w:szCs w:val="22"/>
              </w:rPr>
            </w:pPr>
            <w:r>
              <w:rPr>
                <w:sz w:val="22"/>
                <w:szCs w:val="22"/>
              </w:rPr>
              <w:t xml:space="preserve">POCT Zahl der durchgeführten AG Tests: </w:t>
            </w:r>
          </w:p>
          <w:p>
            <w:pPr>
              <w:pStyle w:val="Listenabsatz"/>
              <w:numPr>
                <w:ilvl w:val="1"/>
                <w:numId w:val="27"/>
              </w:numPr>
              <w:rPr>
                <w:sz w:val="22"/>
                <w:szCs w:val="22"/>
              </w:rPr>
            </w:pPr>
            <w:r>
              <w:rPr>
                <w:sz w:val="22"/>
                <w:szCs w:val="22"/>
              </w:rPr>
              <w:t xml:space="preserve">354 Einrichtungen: 642.417 POCT erfasst </w:t>
            </w:r>
          </w:p>
          <w:p>
            <w:pPr>
              <w:pStyle w:val="Listenabsatz"/>
              <w:numPr>
                <w:ilvl w:val="1"/>
                <w:numId w:val="27"/>
              </w:numPr>
              <w:rPr>
                <w:sz w:val="22"/>
                <w:szCs w:val="22"/>
              </w:rPr>
            </w:pPr>
            <w:r>
              <w:rPr>
                <w:sz w:val="22"/>
                <w:szCs w:val="22"/>
              </w:rPr>
              <w:t xml:space="preserve">1.114 positiv (0,17 %), davon 943 (84,6 %) in PCR gegangen, davon </w:t>
            </w:r>
          </w:p>
          <w:p>
            <w:pPr>
              <w:pStyle w:val="Listenabsatz"/>
              <w:numPr>
                <w:ilvl w:val="1"/>
                <w:numId w:val="27"/>
              </w:numPr>
              <w:rPr>
                <w:sz w:val="22"/>
                <w:szCs w:val="22"/>
              </w:rPr>
            </w:pPr>
            <w:r>
              <w:rPr>
                <w:sz w:val="22"/>
                <w:szCs w:val="22"/>
              </w:rPr>
              <w:t>517 (54,8 %) als positiv bestätigt übermittelt (2.950 POCT (0,5 %) nicht auswertbar/unklares Ergebnis)</w:t>
            </w:r>
          </w:p>
          <w:p/>
          <w:p>
            <w:pPr>
              <w:rPr>
                <w:i/>
              </w:rPr>
            </w:pPr>
            <w:r>
              <w:rPr>
                <w:b/>
              </w:rPr>
              <w:t>ARS-Daten</w:t>
            </w:r>
            <w:r>
              <w:t xml:space="preserve"> </w:t>
            </w:r>
            <w:r>
              <w:rPr>
                <w:b/>
                <w:i/>
                <w:color w:val="D99594" w:themeColor="accent2" w:themeTint="99"/>
                <w:sz w:val="20"/>
              </w:rPr>
              <w:t xml:space="preserve">(nur mittwochs) </w:t>
            </w:r>
            <w:r>
              <w:rPr>
                <w:sz w:val="22"/>
                <w:szCs w:val="22"/>
              </w:rPr>
              <w:t xml:space="preserve">(Folien </w:t>
            </w:r>
            <w:hyperlink r:id="rId19" w:history="1">
              <w:r>
                <w:rPr>
                  <w:rStyle w:val="Hyperlink"/>
                  <w:sz w:val="22"/>
                  <w:szCs w:val="22"/>
                </w:rPr>
                <w:t>hier</w:t>
              </w:r>
            </w:hyperlink>
            <w:r>
              <w:rPr>
                <w:sz w:val="22"/>
                <w:szCs w:val="22"/>
              </w:rPr>
              <w:t>)</w:t>
            </w:r>
          </w:p>
          <w:p>
            <w:pPr>
              <w:pStyle w:val="Listenabsatz"/>
              <w:numPr>
                <w:ilvl w:val="0"/>
                <w:numId w:val="27"/>
              </w:numPr>
              <w:rPr>
                <w:sz w:val="22"/>
                <w:szCs w:val="22"/>
              </w:rPr>
            </w:pPr>
            <w:proofErr w:type="spellStart"/>
            <w:r>
              <w:rPr>
                <w:sz w:val="22"/>
                <w:szCs w:val="22"/>
              </w:rPr>
              <w:t>Positivenanteil</w:t>
            </w:r>
            <w:proofErr w:type="spellEnd"/>
            <w:r>
              <w:rPr>
                <w:sz w:val="22"/>
                <w:szCs w:val="22"/>
              </w:rPr>
              <w:t xml:space="preserve"> derzeit mit ca. 10 % weiterhin zu hoch</w:t>
            </w:r>
          </w:p>
          <w:p>
            <w:pPr>
              <w:pStyle w:val="Listenabsatz"/>
              <w:numPr>
                <w:ilvl w:val="0"/>
                <w:numId w:val="27"/>
              </w:numPr>
              <w:rPr>
                <w:sz w:val="22"/>
                <w:szCs w:val="22"/>
              </w:rPr>
            </w:pPr>
            <w:r>
              <w:rPr>
                <w:sz w:val="22"/>
                <w:szCs w:val="22"/>
              </w:rPr>
              <w:t>In keinem Bundesland werden eindeutige Ausreißer verzeichnet, HH und Meckl.-</w:t>
            </w:r>
            <w:proofErr w:type="spellStart"/>
            <w:r>
              <w:rPr>
                <w:sz w:val="22"/>
                <w:szCs w:val="22"/>
              </w:rPr>
              <w:t>Vorp</w:t>
            </w:r>
            <w:proofErr w:type="spellEnd"/>
            <w:r>
              <w:rPr>
                <w:sz w:val="22"/>
                <w:szCs w:val="22"/>
              </w:rPr>
              <w:t>. stabil, restliche Bundesländer leichter Abwärtstrend</w:t>
            </w:r>
          </w:p>
          <w:p>
            <w:pPr>
              <w:pStyle w:val="Listenabsatz"/>
              <w:numPr>
                <w:ilvl w:val="0"/>
                <w:numId w:val="27"/>
              </w:numPr>
              <w:rPr>
                <w:sz w:val="22"/>
                <w:szCs w:val="22"/>
              </w:rPr>
            </w:pPr>
            <w:r>
              <w:rPr>
                <w:sz w:val="22"/>
                <w:szCs w:val="22"/>
              </w:rPr>
              <w:t xml:space="preserve">Anzahl Testungen pro 100.000 </w:t>
            </w:r>
            <w:proofErr w:type="spellStart"/>
            <w:r>
              <w:rPr>
                <w:sz w:val="22"/>
                <w:szCs w:val="22"/>
              </w:rPr>
              <w:t>Einw</w:t>
            </w:r>
            <w:proofErr w:type="spellEnd"/>
            <w:r>
              <w:rPr>
                <w:sz w:val="22"/>
                <w:szCs w:val="22"/>
              </w:rPr>
              <w:t>. nach AG und KW: derzeit weiterhin AG 80+ am häufigsten getestet (rosa), AG 5-14 am wenigsten (</w:t>
            </w:r>
            <w:proofErr w:type="spellStart"/>
            <w:r>
              <w:rPr>
                <w:sz w:val="22"/>
                <w:szCs w:val="22"/>
              </w:rPr>
              <w:t>ocker</w:t>
            </w:r>
            <w:proofErr w:type="spellEnd"/>
            <w:r>
              <w:rPr>
                <w:sz w:val="22"/>
                <w:szCs w:val="22"/>
              </w:rPr>
              <w:t>) aber zunehmend, ebenso die AG der 0-4 (rot)</w:t>
            </w:r>
          </w:p>
          <w:p>
            <w:pPr>
              <w:pStyle w:val="Listenabsatz"/>
              <w:numPr>
                <w:ilvl w:val="0"/>
                <w:numId w:val="27"/>
              </w:numPr>
              <w:rPr>
                <w:sz w:val="22"/>
                <w:szCs w:val="22"/>
              </w:rPr>
            </w:pPr>
            <w:proofErr w:type="spellStart"/>
            <w:r>
              <w:rPr>
                <w:sz w:val="22"/>
                <w:szCs w:val="22"/>
              </w:rPr>
              <w:t>Positivenanteil</w:t>
            </w:r>
            <w:proofErr w:type="spellEnd"/>
            <w:r>
              <w:rPr>
                <w:sz w:val="22"/>
                <w:szCs w:val="22"/>
              </w:rPr>
              <w:t xml:space="preserve"> nach AG und KW: AG der 80+ am häufigsten getestet aber niedrigster </w:t>
            </w:r>
            <w:proofErr w:type="spellStart"/>
            <w:r>
              <w:rPr>
                <w:sz w:val="22"/>
                <w:szCs w:val="22"/>
              </w:rPr>
              <w:t>Positivenanteil</w:t>
            </w:r>
            <w:proofErr w:type="spellEnd"/>
            <w:r>
              <w:rPr>
                <w:sz w:val="22"/>
                <w:szCs w:val="22"/>
              </w:rPr>
              <w:t xml:space="preserve"> (rosa), genau gegenteiliges Verhältnis bei der AG 5-14 (</w:t>
            </w:r>
            <w:proofErr w:type="spellStart"/>
            <w:r>
              <w:rPr>
                <w:sz w:val="22"/>
                <w:szCs w:val="22"/>
              </w:rPr>
              <w:t>ocker</w:t>
            </w:r>
            <w:proofErr w:type="spellEnd"/>
            <w:r>
              <w:rPr>
                <w:sz w:val="22"/>
                <w:szCs w:val="22"/>
              </w:rPr>
              <w:t>), diese AG sollte verstärkt getestet werden</w:t>
            </w:r>
          </w:p>
          <w:p>
            <w:pPr>
              <w:pStyle w:val="Listenabsatz"/>
              <w:numPr>
                <w:ilvl w:val="0"/>
                <w:numId w:val="27"/>
              </w:numPr>
              <w:rPr>
                <w:sz w:val="22"/>
                <w:szCs w:val="22"/>
              </w:rPr>
            </w:pPr>
            <w:r>
              <w:rPr>
                <w:sz w:val="22"/>
                <w:szCs w:val="22"/>
              </w:rPr>
              <w:t xml:space="preserve">Anzahl positiver Testungen pro 100.000 </w:t>
            </w:r>
            <w:proofErr w:type="spellStart"/>
            <w:r>
              <w:rPr>
                <w:sz w:val="22"/>
                <w:szCs w:val="22"/>
              </w:rPr>
              <w:t>Einw</w:t>
            </w:r>
            <w:proofErr w:type="spellEnd"/>
            <w:r>
              <w:rPr>
                <w:sz w:val="22"/>
                <w:szCs w:val="22"/>
              </w:rPr>
              <w:t xml:space="preserve">. nach AG und KW: AG 80+ lange Zeit höchster Anteil, derzeit der niedrigste, AG 60-79 zweitniedrigster Anteil </w:t>
            </w:r>
            <w:r>
              <w:rPr>
                <w:sz w:val="22"/>
                <w:szCs w:val="22"/>
              </w:rPr>
              <w:sym w:font="Wingdings" w:char="F0E0"/>
            </w:r>
            <w:r>
              <w:rPr>
                <w:sz w:val="22"/>
                <w:szCs w:val="22"/>
              </w:rPr>
              <w:t xml:space="preserve"> höchstwahrscheinlich auf Impfung zurückzuführen, zu erwartende Entwicklung; Anteil in AG 5-14 derzeit steigend </w:t>
            </w:r>
          </w:p>
          <w:p>
            <w:pPr>
              <w:pStyle w:val="Listenabsatz"/>
              <w:numPr>
                <w:ilvl w:val="0"/>
                <w:numId w:val="27"/>
              </w:numPr>
              <w:rPr>
                <w:sz w:val="22"/>
                <w:szCs w:val="22"/>
              </w:rPr>
            </w:pPr>
            <w:r>
              <w:rPr>
                <w:sz w:val="22"/>
                <w:szCs w:val="22"/>
              </w:rPr>
              <w:lastRenderedPageBreak/>
              <w:t xml:space="preserve">Anzahl Teste und </w:t>
            </w:r>
            <w:proofErr w:type="spellStart"/>
            <w:r>
              <w:rPr>
                <w:sz w:val="22"/>
                <w:szCs w:val="22"/>
              </w:rPr>
              <w:t>Positivenanteil</w:t>
            </w:r>
            <w:proofErr w:type="spellEnd"/>
            <w:r>
              <w:rPr>
                <w:sz w:val="22"/>
                <w:szCs w:val="22"/>
              </w:rPr>
              <w:t xml:space="preserve"> in verschiedenen OEs (Arztpraxen, Krankenhaus, andere): </w:t>
            </w:r>
            <w:proofErr w:type="spellStart"/>
            <w:r>
              <w:rPr>
                <w:sz w:val="22"/>
                <w:szCs w:val="22"/>
              </w:rPr>
              <w:t>Positivenanteil</w:t>
            </w:r>
            <w:proofErr w:type="spellEnd"/>
            <w:r>
              <w:rPr>
                <w:sz w:val="22"/>
                <w:szCs w:val="22"/>
              </w:rPr>
              <w:t xml:space="preserve"> wie in Vorwoche, v.a. in Krankenhaus recht stabil</w:t>
            </w:r>
          </w:p>
          <w:p>
            <w:pPr>
              <w:pStyle w:val="Listenabsatz"/>
              <w:numPr>
                <w:ilvl w:val="0"/>
                <w:numId w:val="27"/>
              </w:numPr>
              <w:rPr>
                <w:sz w:val="22"/>
                <w:szCs w:val="22"/>
              </w:rPr>
            </w:pPr>
            <w:r>
              <w:rPr>
                <w:sz w:val="22"/>
                <w:szCs w:val="22"/>
              </w:rPr>
              <w:t>Anteil Nachweise sonstiger VOCs (außer B.1.17): B.1.351 mit derzeit ca. 20 Nachweisen in KW15 überwiegender Anteil dieser VOCs, B.1.1.7+E484k ca. 10 Nachweise; P1 selten</w:t>
            </w:r>
          </w:p>
          <w:p>
            <w:pPr>
              <w:pStyle w:val="Listenabsatz"/>
              <w:numPr>
                <w:ilvl w:val="0"/>
                <w:numId w:val="27"/>
              </w:numPr>
              <w:rPr>
                <w:sz w:val="22"/>
                <w:szCs w:val="22"/>
              </w:rPr>
            </w:pPr>
            <w:r>
              <w:rPr>
                <w:sz w:val="22"/>
                <w:szCs w:val="22"/>
              </w:rPr>
              <w:t xml:space="preserve">Leichter Anstieg der Ausbrüche in Altenheimen (ca. 25 neue pro Woche), deutlicher in Krankenhäusern (ca. 35) </w:t>
            </w:r>
            <w:r>
              <w:rPr>
                <w:sz w:val="22"/>
                <w:szCs w:val="22"/>
              </w:rPr>
              <w:sym w:font="Wingdings" w:char="F0E0"/>
            </w:r>
            <w:r>
              <w:rPr>
                <w:sz w:val="22"/>
                <w:szCs w:val="22"/>
              </w:rPr>
              <w:t xml:space="preserve"> niedriges Niveau aber immer wieder neue Ausbrüche; genauere Ausbruchsanalyse soll folgen</w:t>
            </w:r>
          </w:p>
          <w:p>
            <w:pPr>
              <w:rPr>
                <w:i/>
                <w:sz w:val="22"/>
                <w:szCs w:val="22"/>
              </w:rPr>
            </w:pPr>
            <w:proofErr w:type="spellStart"/>
            <w:r>
              <w:rPr>
                <w:i/>
                <w:sz w:val="22"/>
                <w:szCs w:val="22"/>
              </w:rPr>
              <w:t>ToDo</w:t>
            </w:r>
            <w:proofErr w:type="spellEnd"/>
            <w:r>
              <w:rPr>
                <w:i/>
                <w:sz w:val="22"/>
                <w:szCs w:val="22"/>
              </w:rPr>
              <w:t>: Bitte um genauere Betrachtung der o.g. Ausbrüche.</w:t>
            </w:r>
          </w:p>
          <w:p>
            <w:pPr>
              <w:rPr>
                <w:sz w:val="22"/>
                <w:szCs w:val="22"/>
              </w:rPr>
            </w:pPr>
          </w:p>
          <w:p>
            <w:pPr>
              <w:rPr>
                <w:sz w:val="22"/>
                <w:szCs w:val="22"/>
              </w:rPr>
            </w:pPr>
            <w:r>
              <w:rPr>
                <w:b/>
                <w:sz w:val="22"/>
                <w:szCs w:val="22"/>
              </w:rPr>
              <w:t xml:space="preserve">COVID-19-Impfquote bei Personen ab 80 Jahre nach Daten aus den Impfzentren </w:t>
            </w:r>
            <w:r>
              <w:rPr>
                <w:sz w:val="22"/>
                <w:szCs w:val="22"/>
              </w:rPr>
              <w:t xml:space="preserve">(Stand 27.04.2021) (Folien </w:t>
            </w:r>
            <w:hyperlink r:id="rId20" w:history="1">
              <w:r>
                <w:rPr>
                  <w:rStyle w:val="Hyperlink"/>
                  <w:sz w:val="22"/>
                  <w:szCs w:val="22"/>
                </w:rPr>
                <w:t>hier</w:t>
              </w:r>
            </w:hyperlink>
            <w:r>
              <w:rPr>
                <w:sz w:val="22"/>
                <w:szCs w:val="22"/>
              </w:rPr>
              <w:t>)</w:t>
            </w:r>
          </w:p>
          <w:p>
            <w:pPr>
              <w:pStyle w:val="Listenabsatz"/>
              <w:numPr>
                <w:ilvl w:val="0"/>
                <w:numId w:val="27"/>
              </w:numPr>
              <w:rPr>
                <w:sz w:val="22"/>
                <w:szCs w:val="22"/>
              </w:rPr>
            </w:pPr>
            <w:r>
              <w:rPr>
                <w:sz w:val="22"/>
                <w:szCs w:val="22"/>
              </w:rPr>
              <w:t xml:space="preserve">10 Bundesländer, Daten aus Impfzentren, mobilen Impfteams und Krankenhäusern </w:t>
            </w:r>
          </w:p>
          <w:p>
            <w:pPr>
              <w:pStyle w:val="Listenabsatz"/>
              <w:numPr>
                <w:ilvl w:val="0"/>
                <w:numId w:val="27"/>
              </w:numPr>
              <w:rPr>
                <w:sz w:val="22"/>
                <w:szCs w:val="22"/>
              </w:rPr>
            </w:pPr>
            <w:r>
              <w:rPr>
                <w:sz w:val="22"/>
                <w:szCs w:val="22"/>
              </w:rPr>
              <w:t>Mindestens 1x geimpfte 80+ Jährige: 78%</w:t>
            </w:r>
          </w:p>
          <w:p>
            <w:pPr>
              <w:pStyle w:val="Listenabsatz"/>
              <w:numPr>
                <w:ilvl w:val="0"/>
                <w:numId w:val="27"/>
              </w:numPr>
              <w:rPr>
                <w:sz w:val="22"/>
                <w:szCs w:val="22"/>
              </w:rPr>
            </w:pPr>
            <w:r>
              <w:rPr>
                <w:sz w:val="22"/>
                <w:szCs w:val="22"/>
              </w:rPr>
              <w:t>Vollständig geimpfte 80+ Jährige: 62%</w:t>
            </w:r>
          </w:p>
          <w:p>
            <w:pPr>
              <w:pStyle w:val="Listenabsatz"/>
              <w:numPr>
                <w:ilvl w:val="0"/>
                <w:numId w:val="27"/>
              </w:numPr>
              <w:rPr>
                <w:sz w:val="22"/>
                <w:szCs w:val="22"/>
              </w:rPr>
            </w:pPr>
            <w:r>
              <w:rPr>
                <w:sz w:val="22"/>
                <w:szCs w:val="22"/>
              </w:rPr>
              <w:t>Geschätzt auf Basis dieser Daten haben von den 5.681.135 in Deutschland lebenden Personen ≥80 Jahre max. 1.239.773 (22 %) noch keine Erstimpfung erhalten</w:t>
            </w:r>
          </w:p>
          <w:p>
            <w:pPr>
              <w:pStyle w:val="Listenabsatz"/>
              <w:numPr>
                <w:ilvl w:val="0"/>
                <w:numId w:val="27"/>
              </w:numPr>
              <w:rPr>
                <w:sz w:val="22"/>
                <w:szCs w:val="22"/>
              </w:rPr>
            </w:pPr>
            <w:r>
              <w:rPr>
                <w:sz w:val="22"/>
                <w:szCs w:val="22"/>
              </w:rPr>
              <w:t>Der Anteil der Ungeimpften ist in diesen Angaben überschätzt: unberücksichtigt sind rund 2,3 Mio. Impfungen bei Personen &gt;60 Jahren (ohne genaue Altersangabe) in den Arztpraxen</w:t>
            </w:r>
          </w:p>
          <w:p>
            <w:pPr>
              <w:rPr>
                <w:sz w:val="22"/>
                <w:szCs w:val="22"/>
              </w:rPr>
            </w:pPr>
          </w:p>
          <w:p>
            <w:pPr>
              <w:rPr>
                <w:b/>
                <w:sz w:val="22"/>
                <w:szCs w:val="22"/>
              </w:rPr>
            </w:pPr>
            <w:r>
              <w:rPr>
                <w:b/>
                <w:sz w:val="22"/>
                <w:szCs w:val="22"/>
              </w:rPr>
              <w:t xml:space="preserve">Diskussion: </w:t>
            </w:r>
          </w:p>
          <w:p>
            <w:pPr>
              <w:pStyle w:val="Listenabsatz"/>
              <w:numPr>
                <w:ilvl w:val="0"/>
                <w:numId w:val="27"/>
              </w:numPr>
              <w:rPr>
                <w:sz w:val="22"/>
                <w:szCs w:val="22"/>
              </w:rPr>
            </w:pPr>
            <w:r>
              <w:rPr>
                <w:sz w:val="22"/>
                <w:szCs w:val="22"/>
              </w:rPr>
              <w:t xml:space="preserve">Auffällig: AG 5-14 wird wenig per PCR getestet, zeigt aber einen hohen </w:t>
            </w:r>
            <w:proofErr w:type="spellStart"/>
            <w:r>
              <w:rPr>
                <w:sz w:val="22"/>
                <w:szCs w:val="22"/>
              </w:rPr>
              <w:t>Positivenanteil</w:t>
            </w:r>
            <w:proofErr w:type="spellEnd"/>
            <w:r>
              <w:rPr>
                <w:sz w:val="22"/>
                <w:szCs w:val="22"/>
              </w:rPr>
              <w:t xml:space="preserve"> – sind hierbei </w:t>
            </w:r>
            <w:proofErr w:type="spellStart"/>
            <w:r>
              <w:rPr>
                <w:sz w:val="22"/>
                <w:szCs w:val="22"/>
              </w:rPr>
              <w:t>möglw</w:t>
            </w:r>
            <w:proofErr w:type="spellEnd"/>
            <w:r>
              <w:rPr>
                <w:sz w:val="22"/>
                <w:szCs w:val="22"/>
              </w:rPr>
              <w:t xml:space="preserve">. AG-Tests ursächlich? </w:t>
            </w:r>
          </w:p>
          <w:p>
            <w:pPr>
              <w:rPr>
                <w:i/>
                <w:sz w:val="22"/>
                <w:szCs w:val="22"/>
              </w:rPr>
            </w:pPr>
            <w:proofErr w:type="spellStart"/>
            <w:r>
              <w:rPr>
                <w:i/>
                <w:sz w:val="22"/>
                <w:szCs w:val="22"/>
              </w:rPr>
              <w:t>To</w:t>
            </w:r>
            <w:proofErr w:type="spellEnd"/>
            <w:r>
              <w:rPr>
                <w:i/>
                <w:sz w:val="22"/>
                <w:szCs w:val="22"/>
              </w:rPr>
              <w:t xml:space="preserve"> Do: Bitte um Überprüfung der Meldedaten hierzu ob AG-Tests vermerkt sind</w:t>
            </w:r>
          </w:p>
          <w:p>
            <w:pPr>
              <w:pStyle w:val="Listenabsatz"/>
              <w:numPr>
                <w:ilvl w:val="0"/>
                <w:numId w:val="27"/>
              </w:numPr>
              <w:rPr>
                <w:sz w:val="22"/>
                <w:szCs w:val="22"/>
              </w:rPr>
            </w:pPr>
            <w:r>
              <w:rPr>
                <w:sz w:val="22"/>
                <w:szCs w:val="22"/>
              </w:rPr>
              <w:t>Ursächlichkeit der höheren Hospitalisierungs- und ITS-Raten bei jüngeren AG als in 2. Welle unklar (eventuell eine größere Häufigkeit schwerer Verläufe), Frau Buda überprüft hierzu mögliche Hinweise aus Meldedaten</w:t>
            </w:r>
          </w:p>
          <w:p>
            <w:pPr>
              <w:pStyle w:val="Listenabsatz"/>
              <w:numPr>
                <w:ilvl w:val="0"/>
                <w:numId w:val="27"/>
              </w:numPr>
              <w:rPr>
                <w:sz w:val="22"/>
                <w:szCs w:val="22"/>
              </w:rPr>
            </w:pPr>
            <w:r>
              <w:rPr>
                <w:sz w:val="22"/>
                <w:szCs w:val="22"/>
              </w:rPr>
              <w:t>Jüngere AG werden häufig schneller auf ITS verlegt, da weniger Komorbiditäten vorhanden sind und sie erst später das Krankenhaus aufsuchen</w:t>
            </w:r>
          </w:p>
          <w:p>
            <w:pPr>
              <w:pStyle w:val="Listenabsatz"/>
              <w:numPr>
                <w:ilvl w:val="0"/>
                <w:numId w:val="27"/>
              </w:numPr>
              <w:rPr>
                <w:sz w:val="22"/>
                <w:szCs w:val="22"/>
              </w:rPr>
            </w:pPr>
            <w:r>
              <w:rPr>
                <w:sz w:val="22"/>
                <w:szCs w:val="22"/>
              </w:rPr>
              <w:t>Jüngere AG vermutlich häufiger und länger ECMO-behandelt, u.a. da bessere Verträglichkeit</w:t>
            </w:r>
          </w:p>
          <w:p>
            <w:pPr>
              <w:rPr>
                <w:i/>
                <w:sz w:val="22"/>
                <w:szCs w:val="22"/>
              </w:rPr>
            </w:pPr>
            <w:proofErr w:type="spellStart"/>
            <w:r>
              <w:rPr>
                <w:i/>
                <w:sz w:val="22"/>
                <w:szCs w:val="22"/>
              </w:rPr>
              <w:t>To</w:t>
            </w:r>
            <w:proofErr w:type="spellEnd"/>
            <w:r>
              <w:rPr>
                <w:i/>
                <w:sz w:val="22"/>
                <w:szCs w:val="22"/>
              </w:rPr>
              <w:t xml:space="preserve"> Do: Bitte um Erörterung der graphischen Darstellungsmöglich-</w:t>
            </w:r>
            <w:proofErr w:type="spellStart"/>
            <w:r>
              <w:rPr>
                <w:i/>
                <w:sz w:val="22"/>
                <w:szCs w:val="22"/>
              </w:rPr>
              <w:t>keiten</w:t>
            </w:r>
            <w:proofErr w:type="spellEnd"/>
            <w:r>
              <w:rPr>
                <w:i/>
                <w:sz w:val="22"/>
                <w:szCs w:val="22"/>
              </w:rPr>
              <w:t xml:space="preserve"> zu SARI, altersstratifizierte Positivraten, 7TI, Hospitalisierung an Frau Buda und Herrn Eckmanns </w:t>
            </w:r>
          </w:p>
          <w:p>
            <w:pPr>
              <w:pStyle w:val="Listenabsatz"/>
              <w:ind w:left="360"/>
              <w:rPr>
                <w:sz w:val="22"/>
                <w:szCs w:val="22"/>
                <w:highlight w:val="yellow"/>
              </w:rPr>
            </w:pPr>
          </w:p>
          <w:p>
            <w:pPr>
              <w:rPr>
                <w:b/>
                <w:sz w:val="22"/>
                <w:szCs w:val="22"/>
              </w:rPr>
            </w:pPr>
            <w:r>
              <w:rPr>
                <w:b/>
                <w:sz w:val="22"/>
                <w:szCs w:val="22"/>
              </w:rPr>
              <w:t>VOC-Bericht - Änderungen:</w:t>
            </w:r>
          </w:p>
          <w:p>
            <w:pPr>
              <w:pStyle w:val="Listenabsatz"/>
              <w:numPr>
                <w:ilvl w:val="0"/>
                <w:numId w:val="27"/>
              </w:numPr>
              <w:rPr>
                <w:sz w:val="22"/>
                <w:szCs w:val="22"/>
              </w:rPr>
            </w:pPr>
            <w:r>
              <w:rPr>
                <w:sz w:val="22"/>
                <w:szCs w:val="22"/>
              </w:rPr>
              <w:t>Umbenennung (Zusatz „insbesondere zu B.1.1.7“ gestrichen)</w:t>
            </w:r>
          </w:p>
          <w:p>
            <w:pPr>
              <w:pStyle w:val="Listenabsatz"/>
              <w:numPr>
                <w:ilvl w:val="0"/>
                <w:numId w:val="27"/>
              </w:numPr>
              <w:rPr>
                <w:sz w:val="22"/>
                <w:szCs w:val="22"/>
              </w:rPr>
            </w:pPr>
            <w:r>
              <w:rPr>
                <w:sz w:val="22"/>
                <w:szCs w:val="22"/>
              </w:rPr>
              <w:t>In Einleitung Erklärung zu VOI ergänzt aufgrund des erhöhten Informationsbedarfes dazu</w:t>
            </w:r>
          </w:p>
          <w:p>
            <w:pPr>
              <w:pStyle w:val="Listenabsatz"/>
              <w:numPr>
                <w:ilvl w:val="0"/>
                <w:numId w:val="27"/>
              </w:numPr>
              <w:rPr>
                <w:sz w:val="22"/>
                <w:szCs w:val="22"/>
              </w:rPr>
            </w:pPr>
            <w:r>
              <w:rPr>
                <w:sz w:val="22"/>
                <w:szCs w:val="22"/>
              </w:rPr>
              <w:t>Abbildung A noch vorhanden, wird mit P1 besprochen</w:t>
            </w:r>
          </w:p>
          <w:p>
            <w:pPr>
              <w:pStyle w:val="Listenabsatz"/>
              <w:numPr>
                <w:ilvl w:val="0"/>
                <w:numId w:val="27"/>
              </w:numPr>
              <w:rPr>
                <w:sz w:val="22"/>
                <w:szCs w:val="22"/>
              </w:rPr>
            </w:pPr>
            <w:r>
              <w:rPr>
                <w:sz w:val="22"/>
                <w:szCs w:val="22"/>
              </w:rPr>
              <w:t xml:space="preserve">Tabelle zu VOIs zur schnellen Übersicht </w:t>
            </w:r>
          </w:p>
          <w:p>
            <w:pPr>
              <w:pStyle w:val="Listenabsatz"/>
              <w:numPr>
                <w:ilvl w:val="0"/>
                <w:numId w:val="27"/>
              </w:numPr>
              <w:rPr>
                <w:sz w:val="22"/>
                <w:szCs w:val="22"/>
              </w:rPr>
            </w:pPr>
            <w:r>
              <w:rPr>
                <w:sz w:val="22"/>
                <w:szCs w:val="22"/>
              </w:rPr>
              <w:lastRenderedPageBreak/>
              <w:t>Im Fazit Erhebungsinstrumente und Zusammenfassung angepasst</w:t>
            </w:r>
          </w:p>
          <w:p>
            <w:pPr>
              <w:pStyle w:val="Listenabsatz"/>
              <w:numPr>
                <w:ilvl w:val="0"/>
                <w:numId w:val="27"/>
              </w:numPr>
              <w:rPr>
                <w:sz w:val="22"/>
                <w:szCs w:val="22"/>
              </w:rPr>
            </w:pPr>
            <w:r>
              <w:rPr>
                <w:sz w:val="22"/>
                <w:szCs w:val="22"/>
              </w:rPr>
              <w:t>Bericht zu VOC soll unabhängig des Lageberichtes erscheinen (Detailtiefe, Umfänglichkeit und Auskunftsfähigkeit erforderlich)</w:t>
            </w:r>
          </w:p>
          <w:p>
            <w:pPr>
              <w:rPr>
                <w:i/>
                <w:sz w:val="22"/>
                <w:szCs w:val="22"/>
              </w:rPr>
            </w:pPr>
            <w:proofErr w:type="spellStart"/>
            <w:r>
              <w:rPr>
                <w:i/>
                <w:sz w:val="22"/>
                <w:szCs w:val="22"/>
              </w:rPr>
              <w:t>To</w:t>
            </w:r>
            <w:proofErr w:type="spellEnd"/>
            <w:r>
              <w:rPr>
                <w:i/>
                <w:sz w:val="22"/>
                <w:szCs w:val="22"/>
              </w:rPr>
              <w:t xml:space="preserve"> Do: Bitte um Besprechung einer Aufnahme der ARS-Daten für VOC-Bericht an Herr Eckmanns und Herr Kröger </w:t>
            </w:r>
          </w:p>
          <w:p>
            <w:pPr>
              <w:rPr>
                <w:sz w:val="22"/>
                <w:szCs w:val="22"/>
              </w:rPr>
            </w:pPr>
          </w:p>
          <w:p>
            <w:pPr>
              <w:rPr>
                <w:i/>
                <w:sz w:val="22"/>
                <w:szCs w:val="22"/>
              </w:rPr>
            </w:pPr>
          </w:p>
        </w:tc>
        <w:tc>
          <w:tcPr>
            <w:tcW w:w="1605"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FG33</w:t>
            </w:r>
          </w:p>
          <w:p>
            <w:pPr>
              <w:rPr>
                <w:sz w:val="22"/>
                <w:szCs w:val="22"/>
              </w:rPr>
            </w:pPr>
            <w:r>
              <w:rPr>
                <w:sz w:val="22"/>
                <w:szCs w:val="22"/>
              </w:rPr>
              <w:t>(Harder)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r>
              <w:rPr>
                <w:b/>
              </w:rPr>
              <w:lastRenderedPageBreak/>
              <w:t>2</w:t>
            </w:r>
          </w:p>
        </w:tc>
        <w:tc>
          <w:tcPr>
            <w:tcW w:w="6682" w:type="dxa"/>
          </w:tcPr>
          <w:p>
            <w:r>
              <w:rPr>
                <w:b/>
                <w:sz w:val="28"/>
              </w:rPr>
              <w:t xml:space="preserve">Internationales </w:t>
            </w:r>
            <w:r>
              <w:rPr>
                <w:b/>
                <w:i/>
                <w:color w:val="8DB3E2" w:themeColor="text2" w:themeTint="66"/>
              </w:rPr>
              <w:t>(nur freitags)</w:t>
            </w:r>
          </w:p>
          <w:p>
            <w:pPr>
              <w:pStyle w:val="Listenabsatz"/>
              <w:numPr>
                <w:ilvl w:val="0"/>
                <w:numId w:val="28"/>
              </w:numPr>
            </w:pPr>
            <w:r>
              <w:t>Nicht besprochen</w:t>
            </w:r>
          </w:p>
        </w:tc>
        <w:tc>
          <w:tcPr>
            <w:tcW w:w="1605" w:type="dxa"/>
          </w:tcPr>
          <w:p>
            <w:r>
              <w:t>ZIG</w:t>
            </w:r>
          </w:p>
        </w:tc>
      </w:tr>
      <w:tr>
        <w:tc>
          <w:tcPr>
            <w:tcW w:w="684" w:type="dxa"/>
          </w:tcPr>
          <w:p>
            <w:r>
              <w:rPr>
                <w:b/>
              </w:rPr>
              <w:t>3</w:t>
            </w:r>
          </w:p>
        </w:tc>
        <w:tc>
          <w:tcPr>
            <w:tcW w:w="6682" w:type="dxa"/>
          </w:tcPr>
          <w:p>
            <w:pPr>
              <w:rPr>
                <w:b/>
                <w:color w:val="FF0000"/>
                <w:sz w:val="28"/>
              </w:rPr>
            </w:pPr>
            <w:r>
              <w:rPr>
                <w:b/>
                <w:sz w:val="28"/>
              </w:rPr>
              <w:t xml:space="preserve">Update Digitale Projekte </w:t>
            </w:r>
            <w:r>
              <w:rPr>
                <w:b/>
                <w:i/>
                <w:color w:val="C2D69B" w:themeColor="accent3" w:themeTint="99"/>
              </w:rPr>
              <w:t>(nur montags)</w:t>
            </w:r>
          </w:p>
          <w:p>
            <w:pPr>
              <w:pStyle w:val="Listenabsatz"/>
              <w:numPr>
                <w:ilvl w:val="0"/>
                <w:numId w:val="28"/>
              </w:numPr>
              <w:rPr>
                <w:sz w:val="22"/>
                <w:szCs w:val="22"/>
              </w:rPr>
            </w:pPr>
            <w:r>
              <w:rPr>
                <w:sz w:val="22"/>
                <w:szCs w:val="22"/>
              </w:rPr>
              <w:t>Nicht besprochen</w:t>
            </w:r>
          </w:p>
        </w:tc>
        <w:tc>
          <w:tcPr>
            <w:tcW w:w="1605" w:type="dxa"/>
          </w:tcPr>
          <w:p/>
          <w:p>
            <w:r>
              <w:t>FG21</w:t>
            </w:r>
          </w:p>
          <w:p/>
        </w:tc>
      </w:tr>
      <w:tr>
        <w:tc>
          <w:tcPr>
            <w:tcW w:w="684" w:type="dxa"/>
          </w:tcPr>
          <w:p>
            <w:pPr>
              <w:rPr>
                <w:b/>
              </w:rPr>
            </w:pPr>
            <w:r>
              <w:rPr>
                <w:b/>
              </w:rPr>
              <w:t>4</w:t>
            </w:r>
          </w:p>
        </w:tc>
        <w:tc>
          <w:tcPr>
            <w:tcW w:w="6682" w:type="dxa"/>
          </w:tcPr>
          <w:p>
            <w:pPr>
              <w:rPr>
                <w:b/>
                <w:sz w:val="28"/>
              </w:rPr>
            </w:pPr>
            <w:r>
              <w:rPr>
                <w:b/>
                <w:sz w:val="28"/>
              </w:rPr>
              <w:t>Aktuelle Risikobewertung</w:t>
            </w:r>
          </w:p>
          <w:p>
            <w:pPr>
              <w:pStyle w:val="Listenabsatz"/>
              <w:numPr>
                <w:ilvl w:val="0"/>
                <w:numId w:val="28"/>
              </w:numPr>
              <w:rPr>
                <w:sz w:val="22"/>
                <w:szCs w:val="22"/>
              </w:rPr>
            </w:pPr>
            <w:r>
              <w:rPr>
                <w:sz w:val="22"/>
                <w:szCs w:val="22"/>
              </w:rPr>
              <w:t>Nicht besprochen</w:t>
            </w:r>
          </w:p>
          <w:p>
            <w:pPr>
              <w:rPr>
                <w:sz w:val="22"/>
                <w:szCs w:val="22"/>
              </w:rPr>
            </w:pPr>
          </w:p>
        </w:tc>
        <w:tc>
          <w:tcPr>
            <w:tcW w:w="1605"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5</w:t>
            </w:r>
          </w:p>
        </w:tc>
        <w:tc>
          <w:tcPr>
            <w:tcW w:w="6682" w:type="dxa"/>
          </w:tcPr>
          <w:p>
            <w:pPr>
              <w:rPr>
                <w:b/>
                <w:sz w:val="28"/>
                <w:szCs w:val="28"/>
              </w:rPr>
            </w:pPr>
            <w:r>
              <w:rPr>
                <w:b/>
                <w:sz w:val="28"/>
                <w:szCs w:val="28"/>
              </w:rPr>
              <w:t>Kommunikation</w:t>
            </w:r>
          </w:p>
          <w:p>
            <w:pPr>
              <w:rPr>
                <w:sz w:val="22"/>
                <w:szCs w:val="22"/>
              </w:rPr>
            </w:pPr>
          </w:p>
          <w:p>
            <w:pPr>
              <w:rPr>
                <w:sz w:val="22"/>
                <w:szCs w:val="22"/>
              </w:rPr>
            </w:pPr>
            <w:r>
              <w:rPr>
                <w:sz w:val="22"/>
                <w:szCs w:val="22"/>
              </w:rPr>
              <w:t>BZgA</w:t>
            </w:r>
          </w:p>
          <w:p>
            <w:pPr>
              <w:pStyle w:val="Listenabsatz"/>
              <w:numPr>
                <w:ilvl w:val="0"/>
                <w:numId w:val="28"/>
              </w:numPr>
              <w:rPr>
                <w:sz w:val="22"/>
                <w:szCs w:val="22"/>
              </w:rPr>
            </w:pPr>
            <w:r>
              <w:rPr>
                <w:sz w:val="22"/>
                <w:szCs w:val="22"/>
              </w:rPr>
              <w:t xml:space="preserve">Derzeit ist ein FAQ-Dokument zu Spätfolgen von </w:t>
            </w:r>
            <w:proofErr w:type="spellStart"/>
            <w:r>
              <w:rPr>
                <w:sz w:val="22"/>
                <w:szCs w:val="22"/>
              </w:rPr>
              <w:t>Covid</w:t>
            </w:r>
            <w:proofErr w:type="spellEnd"/>
            <w:r>
              <w:rPr>
                <w:sz w:val="22"/>
                <w:szCs w:val="22"/>
              </w:rPr>
              <w:t xml:space="preserve"> in Arbeit (aktuell bei P1, Themen und Materialien werden zusammengestellt)</w:t>
            </w:r>
          </w:p>
          <w:p>
            <w:pPr>
              <w:rPr>
                <w:sz w:val="22"/>
                <w:szCs w:val="22"/>
              </w:rPr>
            </w:pPr>
          </w:p>
          <w:p>
            <w:pPr>
              <w:rPr>
                <w:sz w:val="22"/>
                <w:szCs w:val="22"/>
              </w:rPr>
            </w:pPr>
            <w:r>
              <w:rPr>
                <w:sz w:val="22"/>
                <w:szCs w:val="22"/>
              </w:rPr>
              <w:t>Presse</w:t>
            </w:r>
          </w:p>
          <w:p>
            <w:pPr>
              <w:pStyle w:val="Listenabsatz"/>
              <w:numPr>
                <w:ilvl w:val="0"/>
                <w:numId w:val="28"/>
              </w:numPr>
              <w:rPr>
                <w:sz w:val="22"/>
                <w:szCs w:val="22"/>
              </w:rPr>
            </w:pPr>
            <w:r>
              <w:rPr>
                <w:sz w:val="22"/>
                <w:szCs w:val="22"/>
              </w:rPr>
              <w:t xml:space="preserve">Gestriger Angriff auf Internetseite wurde erfolgreich abgewehrt </w:t>
            </w:r>
          </w:p>
          <w:p>
            <w:pPr>
              <w:pStyle w:val="Listenabsatz"/>
              <w:rPr>
                <w:sz w:val="22"/>
                <w:szCs w:val="22"/>
              </w:rPr>
            </w:pPr>
          </w:p>
          <w:p>
            <w:pPr>
              <w:rPr>
                <w:sz w:val="22"/>
                <w:szCs w:val="22"/>
              </w:rPr>
            </w:pPr>
            <w:r>
              <w:rPr>
                <w:sz w:val="22"/>
                <w:szCs w:val="22"/>
              </w:rPr>
              <w:t>P1</w:t>
            </w:r>
          </w:p>
          <w:p>
            <w:pPr>
              <w:pStyle w:val="Listenabsatz"/>
              <w:numPr>
                <w:ilvl w:val="0"/>
                <w:numId w:val="28"/>
              </w:numPr>
              <w:rPr>
                <w:sz w:val="22"/>
                <w:szCs w:val="22"/>
              </w:rPr>
            </w:pPr>
            <w:r>
              <w:rPr>
                <w:sz w:val="22"/>
                <w:szCs w:val="22"/>
              </w:rPr>
              <w:t>Keine Anmerkungen</w:t>
            </w:r>
          </w:p>
        </w:tc>
        <w:tc>
          <w:tcPr>
            <w:tcW w:w="1605" w:type="dxa"/>
          </w:tcPr>
          <w:p>
            <w:pPr>
              <w:rPr>
                <w:sz w:val="22"/>
                <w:szCs w:val="22"/>
              </w:rPr>
            </w:pPr>
          </w:p>
          <w:p/>
          <w:p>
            <w:r>
              <w:t>BZgA</w:t>
            </w:r>
          </w:p>
          <w:p>
            <w:r>
              <w:t>(</w:t>
            </w:r>
            <w:proofErr w:type="spellStart"/>
            <w:r>
              <w:t>Ebrahimzadeh</w:t>
            </w:r>
            <w:proofErr w:type="spellEnd"/>
            <w:r>
              <w:t>-Wetter)</w:t>
            </w:r>
          </w:p>
          <w:p/>
          <w:p/>
          <w:p>
            <w:r>
              <w:t>Presse</w:t>
            </w:r>
          </w:p>
          <w:p>
            <w:r>
              <w:t>(Wenchel)</w:t>
            </w:r>
          </w:p>
          <w:p/>
          <w:p/>
          <w:p>
            <w:r>
              <w:t>P1</w:t>
            </w:r>
          </w:p>
          <w:p>
            <w:pPr>
              <w:rPr>
                <w:sz w:val="22"/>
                <w:szCs w:val="22"/>
              </w:rPr>
            </w:pPr>
            <w:r>
              <w:rPr>
                <w:sz w:val="22"/>
                <w:szCs w:val="22"/>
              </w:rPr>
              <w:t>(Lein)</w:t>
            </w:r>
          </w:p>
        </w:tc>
      </w:tr>
      <w:tr>
        <w:tc>
          <w:tcPr>
            <w:tcW w:w="684" w:type="dxa"/>
          </w:tcPr>
          <w:p>
            <w:pPr>
              <w:rPr>
                <w:b/>
              </w:rPr>
            </w:pPr>
            <w:r>
              <w:rPr>
                <w:b/>
              </w:rPr>
              <w:t>6</w:t>
            </w:r>
          </w:p>
        </w:tc>
        <w:tc>
          <w:tcPr>
            <w:tcW w:w="6682" w:type="dxa"/>
          </w:tcPr>
          <w:p>
            <w:pPr>
              <w:rPr>
                <w:b/>
                <w:sz w:val="22"/>
                <w:szCs w:val="22"/>
              </w:rPr>
            </w:pPr>
            <w:r>
              <w:rPr>
                <w:b/>
                <w:sz w:val="28"/>
              </w:rPr>
              <w:t>Strategie</w:t>
            </w:r>
            <w:r>
              <w:rPr>
                <w:b/>
                <w:sz w:val="22"/>
                <w:szCs w:val="22"/>
              </w:rPr>
              <w:t xml:space="preserve"> </w:t>
            </w:r>
            <w:r>
              <w:rPr>
                <w:b/>
                <w:sz w:val="28"/>
              </w:rPr>
              <w:t>Fragen</w:t>
            </w:r>
          </w:p>
          <w:p>
            <w:pPr>
              <w:pStyle w:val="Listenabsatz"/>
              <w:numPr>
                <w:ilvl w:val="0"/>
                <w:numId w:val="31"/>
              </w:numPr>
              <w:rPr>
                <w:b/>
                <w:sz w:val="22"/>
                <w:szCs w:val="22"/>
              </w:rPr>
            </w:pPr>
            <w:r>
              <w:rPr>
                <w:b/>
                <w:sz w:val="22"/>
                <w:szCs w:val="22"/>
              </w:rPr>
              <w:t>Allgemein</w:t>
            </w:r>
          </w:p>
          <w:p>
            <w:pPr>
              <w:pStyle w:val="Listenabsatz"/>
              <w:rPr>
                <w:sz w:val="22"/>
                <w:szCs w:val="22"/>
              </w:rPr>
            </w:pPr>
          </w:p>
          <w:p>
            <w:pPr>
              <w:pStyle w:val="Listenabsatz"/>
              <w:numPr>
                <w:ilvl w:val="0"/>
                <w:numId w:val="31"/>
              </w:numPr>
              <w:rPr>
                <w:b/>
                <w:sz w:val="22"/>
                <w:szCs w:val="22"/>
              </w:rPr>
            </w:pPr>
            <w:r>
              <w:rPr>
                <w:b/>
                <w:sz w:val="22"/>
                <w:szCs w:val="22"/>
              </w:rPr>
              <w:t>RKI-intern</w:t>
            </w:r>
          </w:p>
          <w:p>
            <w:pPr>
              <w:pStyle w:val="Listenabsatz"/>
              <w:numPr>
                <w:ilvl w:val="0"/>
                <w:numId w:val="29"/>
              </w:numPr>
              <w:rPr>
                <w:sz w:val="22"/>
                <w:szCs w:val="22"/>
              </w:rPr>
            </w:pPr>
            <w:r>
              <w:rPr>
                <w:sz w:val="22"/>
                <w:szCs w:val="22"/>
              </w:rPr>
              <w:t>Stand Definition „Genesene/Geimpfte“: Diskussion noch nicht abgeschlossen, heute um 16 Uhr Gesprächstermin mit BMI, BMG und Kanzleramt</w:t>
            </w:r>
          </w:p>
          <w:p>
            <w:pPr>
              <w:pStyle w:val="Listenabsatz"/>
              <w:numPr>
                <w:ilvl w:val="0"/>
                <w:numId w:val="29"/>
              </w:numPr>
              <w:rPr>
                <w:sz w:val="22"/>
                <w:szCs w:val="22"/>
              </w:rPr>
            </w:pPr>
            <w:r>
              <w:rPr>
                <w:sz w:val="22"/>
                <w:szCs w:val="22"/>
              </w:rPr>
              <w:t>Spätfolgen (siehe Nr. 5) sind auch deshalb zu kommunizieren, da eine absichtliche Selbstansteckung bei jüngeren Personen nicht auszuschließen ist, wenn Genesene Geimpften gleichgestellt werden und sie auf einen Impftermin noch bis zum Sommer warten müssen</w:t>
            </w:r>
          </w:p>
          <w:p>
            <w:pPr>
              <w:pStyle w:val="Listenabsatz"/>
              <w:numPr>
                <w:ilvl w:val="0"/>
                <w:numId w:val="29"/>
              </w:numPr>
              <w:rPr>
                <w:sz w:val="22"/>
                <w:szCs w:val="22"/>
              </w:rPr>
            </w:pPr>
            <w:r>
              <w:rPr>
                <w:sz w:val="22"/>
                <w:szCs w:val="22"/>
              </w:rPr>
              <w:t>Frau Lein eruiert, ob sich aus Cosmo-Studien Daten dazu erheben lassen</w:t>
            </w:r>
          </w:p>
          <w:p>
            <w:pPr>
              <w:ind w:left="360"/>
              <w:rPr>
                <w:sz w:val="22"/>
                <w:szCs w:val="22"/>
                <w:highlight w:val="yellow"/>
              </w:rPr>
            </w:pPr>
            <w:r>
              <w:rPr>
                <w:sz w:val="22"/>
                <w:szCs w:val="22"/>
              </w:rPr>
              <w:t xml:space="preserve"> </w:t>
            </w:r>
          </w:p>
        </w:tc>
        <w:tc>
          <w:tcPr>
            <w:tcW w:w="1605" w:type="dxa"/>
          </w:tcPr>
          <w:p>
            <w:r>
              <w:t>Alle</w:t>
            </w:r>
          </w:p>
        </w:tc>
      </w:tr>
      <w:tr>
        <w:tc>
          <w:tcPr>
            <w:tcW w:w="684" w:type="dxa"/>
          </w:tcPr>
          <w:p>
            <w:pPr>
              <w:rPr>
                <w:b/>
              </w:rPr>
            </w:pPr>
            <w:r>
              <w:rPr>
                <w:b/>
              </w:rPr>
              <w:t>7</w:t>
            </w:r>
          </w:p>
        </w:tc>
        <w:tc>
          <w:tcPr>
            <w:tcW w:w="6682" w:type="dxa"/>
          </w:tcPr>
          <w:p>
            <w:pPr>
              <w:rPr>
                <w:b/>
                <w:sz w:val="28"/>
              </w:rPr>
            </w:pPr>
            <w:r>
              <w:rPr>
                <w:b/>
                <w:sz w:val="28"/>
              </w:rPr>
              <w:t xml:space="preserve">Dokumente </w:t>
            </w:r>
            <w:r>
              <w:rPr>
                <w:b/>
                <w:i/>
                <w:color w:val="C2D69B" w:themeColor="accent3" w:themeTint="99"/>
              </w:rPr>
              <w:t>(nach Möglichkeit nur montags</w:t>
            </w:r>
            <w:r>
              <w:rPr>
                <w:b/>
                <w:i/>
                <w:color w:val="95B3D7" w:themeColor="accent1" w:themeTint="99"/>
              </w:rPr>
              <w:t xml:space="preserve"> und freitags</w:t>
            </w:r>
            <w:r>
              <w:rPr>
                <w:b/>
                <w:i/>
                <w:color w:val="C2D69B" w:themeColor="accent3" w:themeTint="99"/>
              </w:rPr>
              <w:t>)</w:t>
            </w:r>
          </w:p>
          <w:p>
            <w:pPr>
              <w:pStyle w:val="Listenabsatz"/>
              <w:numPr>
                <w:ilvl w:val="0"/>
                <w:numId w:val="29"/>
              </w:numPr>
              <w:rPr>
                <w:sz w:val="22"/>
                <w:szCs w:val="22"/>
              </w:rPr>
            </w:pPr>
            <w:r>
              <w:rPr>
                <w:sz w:val="22"/>
                <w:szCs w:val="22"/>
              </w:rPr>
              <w:t>Nicht besprochen</w:t>
            </w:r>
          </w:p>
          <w:p>
            <w:pPr>
              <w:pStyle w:val="Listenabsatz"/>
              <w:rPr>
                <w:sz w:val="22"/>
                <w:szCs w:val="22"/>
              </w:rPr>
            </w:pPr>
          </w:p>
        </w:tc>
        <w:tc>
          <w:tcPr>
            <w:tcW w:w="1605" w:type="dxa"/>
          </w:tcPr>
          <w:p>
            <w:pPr>
              <w:rPr>
                <w:sz w:val="22"/>
                <w:szCs w:val="22"/>
              </w:rPr>
            </w:pPr>
          </w:p>
          <w:p>
            <w:pPr>
              <w:rPr>
                <w:sz w:val="22"/>
                <w:szCs w:val="22"/>
              </w:rPr>
            </w:pPr>
            <w:r>
              <w:rPr>
                <w:sz w:val="22"/>
                <w:szCs w:val="22"/>
              </w:rPr>
              <w:t>Alle</w:t>
            </w:r>
          </w:p>
          <w:p>
            <w:pPr>
              <w:rPr>
                <w:sz w:val="22"/>
                <w:szCs w:val="22"/>
              </w:rPr>
            </w:pPr>
          </w:p>
        </w:tc>
      </w:tr>
      <w:tr>
        <w:tc>
          <w:tcPr>
            <w:tcW w:w="684" w:type="dxa"/>
          </w:tcPr>
          <w:p>
            <w:r>
              <w:t>8</w:t>
            </w:r>
          </w:p>
        </w:tc>
        <w:tc>
          <w:tcPr>
            <w:tcW w:w="6682" w:type="dxa"/>
          </w:tcPr>
          <w:p>
            <w:pPr>
              <w:rPr>
                <w:b/>
                <w:sz w:val="28"/>
              </w:rPr>
            </w:pPr>
            <w:r>
              <w:rPr>
                <w:b/>
                <w:sz w:val="28"/>
              </w:rPr>
              <w:t xml:space="preserve">Update Impfen </w:t>
            </w:r>
            <w:r>
              <w:rPr>
                <w:b/>
                <w:i/>
                <w:color w:val="8DB3E2" w:themeColor="text2" w:themeTint="66"/>
              </w:rPr>
              <w:t>(nur freitags)</w:t>
            </w:r>
          </w:p>
          <w:p>
            <w:pPr>
              <w:pStyle w:val="Listenabsatz"/>
              <w:numPr>
                <w:ilvl w:val="0"/>
                <w:numId w:val="24"/>
              </w:numPr>
              <w:rPr>
                <w:sz w:val="22"/>
                <w:szCs w:val="22"/>
              </w:rPr>
            </w:pPr>
            <w:r>
              <w:rPr>
                <w:sz w:val="22"/>
                <w:szCs w:val="22"/>
              </w:rPr>
              <w:lastRenderedPageBreak/>
              <w:t xml:space="preserve">Nicht besprochen </w:t>
            </w:r>
          </w:p>
          <w:p/>
        </w:tc>
        <w:tc>
          <w:tcPr>
            <w:tcW w:w="1605" w:type="dxa"/>
          </w:tcPr>
          <w:p>
            <w:r>
              <w:lastRenderedPageBreak/>
              <w:t>FG33</w:t>
            </w:r>
          </w:p>
        </w:tc>
      </w:tr>
      <w:tr>
        <w:tc>
          <w:tcPr>
            <w:tcW w:w="684" w:type="dxa"/>
          </w:tcPr>
          <w:p>
            <w:pPr>
              <w:rPr>
                <w:b/>
              </w:rPr>
            </w:pPr>
            <w:r>
              <w:rPr>
                <w:b/>
              </w:rPr>
              <w:t>9</w:t>
            </w:r>
          </w:p>
        </w:tc>
        <w:tc>
          <w:tcPr>
            <w:tcW w:w="6682" w:type="dxa"/>
          </w:tcPr>
          <w:p>
            <w:pPr>
              <w:rPr>
                <w:b/>
                <w:sz w:val="28"/>
              </w:rPr>
            </w:pPr>
            <w:r>
              <w:rPr>
                <w:b/>
                <w:sz w:val="28"/>
              </w:rPr>
              <w:t xml:space="preserve">Labordiagnostik </w:t>
            </w:r>
            <w:r>
              <w:rPr>
                <w:b/>
                <w:i/>
                <w:color w:val="C2D69B" w:themeColor="accent3" w:themeTint="99"/>
              </w:rPr>
              <w:t>(nach Möglichkeit nur montags</w:t>
            </w:r>
            <w:r>
              <w:rPr>
                <w:b/>
                <w:i/>
                <w:color w:val="95B3D7" w:themeColor="accent1" w:themeTint="99"/>
              </w:rPr>
              <w:t xml:space="preserve"> und freitags</w:t>
            </w:r>
            <w:r>
              <w:rPr>
                <w:b/>
                <w:i/>
                <w:color w:val="C2D69B" w:themeColor="accent3" w:themeTint="99"/>
              </w:rPr>
              <w:t>)</w:t>
            </w:r>
          </w:p>
          <w:p>
            <w:pPr>
              <w:rPr>
                <w:b/>
                <w:sz w:val="22"/>
                <w:szCs w:val="22"/>
              </w:rPr>
            </w:pPr>
            <w:r>
              <w:rPr>
                <w:b/>
                <w:sz w:val="22"/>
                <w:szCs w:val="22"/>
              </w:rPr>
              <w:t>Update AGI Sentinel</w:t>
            </w:r>
          </w:p>
          <w:p>
            <w:pPr>
              <w:pStyle w:val="Listenabsatz"/>
              <w:numPr>
                <w:ilvl w:val="0"/>
                <w:numId w:val="24"/>
              </w:numPr>
              <w:rPr>
                <w:b/>
                <w:sz w:val="22"/>
                <w:szCs w:val="22"/>
              </w:rPr>
            </w:pPr>
            <w:r>
              <w:rPr>
                <w:sz w:val="22"/>
                <w:szCs w:val="22"/>
              </w:rPr>
              <w:t>Keine Anmerkungen</w:t>
            </w:r>
          </w:p>
          <w:p>
            <w:pPr>
              <w:pStyle w:val="Listenabsatz"/>
              <w:rPr>
                <w:sz w:val="22"/>
              </w:rPr>
            </w:pPr>
          </w:p>
        </w:tc>
        <w:tc>
          <w:tcPr>
            <w:tcW w:w="1605" w:type="dxa"/>
          </w:tcPr>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p>
        </w:tc>
      </w:tr>
      <w:tr>
        <w:tc>
          <w:tcPr>
            <w:tcW w:w="684" w:type="dxa"/>
          </w:tcPr>
          <w:p>
            <w:pPr>
              <w:rPr>
                <w:b/>
              </w:rPr>
            </w:pPr>
            <w:r>
              <w:rPr>
                <w:b/>
              </w:rPr>
              <w:t>10</w:t>
            </w:r>
          </w:p>
        </w:tc>
        <w:tc>
          <w:tcPr>
            <w:tcW w:w="6682" w:type="dxa"/>
          </w:tcPr>
          <w:p>
            <w:pPr>
              <w:rPr>
                <w:b/>
                <w:i/>
                <w:color w:val="C2D69B" w:themeColor="accent3" w:themeTint="99"/>
              </w:rPr>
            </w:pPr>
            <w:r>
              <w:rPr>
                <w:b/>
              </w:rPr>
              <w:t xml:space="preserve">Klinisches Management/Entlassungsmanagement </w:t>
            </w:r>
            <w:r>
              <w:rPr>
                <w:b/>
                <w:i/>
                <w:color w:val="C2D69B" w:themeColor="accent3" w:themeTint="99"/>
              </w:rPr>
              <w:t>(nach Möglichkeit nur montags</w:t>
            </w:r>
            <w:r>
              <w:rPr>
                <w:b/>
                <w:i/>
                <w:color w:val="95B3D7" w:themeColor="accent1" w:themeTint="99"/>
              </w:rPr>
              <w:t xml:space="preserve"> und freitags</w:t>
            </w:r>
            <w:r>
              <w:rPr>
                <w:b/>
                <w:i/>
                <w:color w:val="C2D69B" w:themeColor="accent3" w:themeTint="99"/>
              </w:rPr>
              <w:t>)</w:t>
            </w:r>
          </w:p>
          <w:p>
            <w:pPr>
              <w:pStyle w:val="Listenabsatz"/>
              <w:numPr>
                <w:ilvl w:val="0"/>
                <w:numId w:val="24"/>
              </w:numPr>
              <w:rPr>
                <w:sz w:val="22"/>
                <w:szCs w:val="22"/>
              </w:rPr>
            </w:pPr>
            <w:r>
              <w:rPr>
                <w:sz w:val="22"/>
                <w:szCs w:val="22"/>
              </w:rPr>
              <w:t xml:space="preserve">Arbeitsauftrag Bedarf an Verhaltenshinweisen für jüngere AG hinsichtlich rechtzeitiger Inanspruchnahme ärztlicher Behandlung </w:t>
            </w:r>
            <w:r>
              <w:rPr>
                <w:sz w:val="22"/>
                <w:szCs w:val="22"/>
              </w:rPr>
              <w:sym w:font="Wingdings" w:char="F0E0"/>
            </w:r>
            <w:r>
              <w:rPr>
                <w:sz w:val="22"/>
                <w:szCs w:val="22"/>
              </w:rPr>
              <w:t xml:space="preserve"> STAKOB und COVRIIN erachten diesen als sinnvoll</w:t>
            </w:r>
          </w:p>
          <w:p>
            <w:pPr>
              <w:rPr>
                <w:i/>
                <w:sz w:val="22"/>
                <w:szCs w:val="22"/>
              </w:rPr>
            </w:pPr>
            <w:proofErr w:type="spellStart"/>
            <w:r>
              <w:rPr>
                <w:i/>
                <w:sz w:val="22"/>
                <w:szCs w:val="22"/>
              </w:rPr>
              <w:t>To</w:t>
            </w:r>
            <w:proofErr w:type="spellEnd"/>
            <w:r>
              <w:rPr>
                <w:i/>
                <w:sz w:val="22"/>
                <w:szCs w:val="22"/>
              </w:rPr>
              <w:t xml:space="preserve"> Do: Bitte um Vorbereitung von Material für BPK  und ein FAQ-Dokument (P1, IBBS) mit dem Hinweis, dass </w:t>
            </w:r>
          </w:p>
          <w:p>
            <w:pPr>
              <w:pStyle w:val="Listenabsatz"/>
              <w:numPr>
                <w:ilvl w:val="0"/>
                <w:numId w:val="24"/>
              </w:numPr>
              <w:rPr>
                <w:i/>
                <w:sz w:val="22"/>
                <w:szCs w:val="22"/>
              </w:rPr>
            </w:pPr>
            <w:r>
              <w:rPr>
                <w:i/>
                <w:sz w:val="22"/>
                <w:szCs w:val="22"/>
              </w:rPr>
              <w:t xml:space="preserve">jüngere AG auch ohne Vorerkrankungen schwer erkranken oder Spätfolgen erleiden können und mit der Aufforderung, </w:t>
            </w:r>
          </w:p>
          <w:p>
            <w:pPr>
              <w:pStyle w:val="Listenabsatz"/>
              <w:numPr>
                <w:ilvl w:val="0"/>
                <w:numId w:val="24"/>
              </w:numPr>
              <w:rPr>
                <w:i/>
                <w:sz w:val="22"/>
                <w:szCs w:val="22"/>
              </w:rPr>
            </w:pPr>
            <w:r>
              <w:rPr>
                <w:i/>
                <w:sz w:val="22"/>
                <w:szCs w:val="22"/>
              </w:rPr>
              <w:t>sich bei ausbleibender Besserung auch nach einer Woche, bei Verschlechterung oder bei Auftreten akuter Atemnot unbedingt umgehend an den Hausarzt zu wenden</w:t>
            </w:r>
          </w:p>
          <w:p>
            <w:pPr>
              <w:pStyle w:val="Listenabsatz"/>
              <w:rPr>
                <w:sz w:val="22"/>
                <w:szCs w:val="22"/>
              </w:rPr>
            </w:pPr>
          </w:p>
        </w:tc>
        <w:tc>
          <w:tcPr>
            <w:tcW w:w="1605" w:type="dxa"/>
          </w:tcPr>
          <w:p>
            <w:pPr>
              <w:rPr>
                <w:sz w:val="22"/>
                <w:szCs w:val="22"/>
              </w:rPr>
            </w:pPr>
          </w:p>
          <w:p>
            <w:pPr>
              <w:rPr>
                <w:sz w:val="22"/>
                <w:szCs w:val="22"/>
              </w:rPr>
            </w:pPr>
          </w:p>
          <w:p>
            <w:pPr>
              <w:rPr>
                <w:sz w:val="22"/>
                <w:szCs w:val="22"/>
              </w:rPr>
            </w:pPr>
            <w:r>
              <w:rPr>
                <w:sz w:val="22"/>
                <w:szCs w:val="22"/>
              </w:rPr>
              <w:t xml:space="preserve">IBBS </w:t>
            </w:r>
          </w:p>
          <w:p>
            <w:pPr>
              <w:rPr>
                <w:sz w:val="22"/>
                <w:szCs w:val="22"/>
              </w:rPr>
            </w:pPr>
            <w:r>
              <w:rPr>
                <w:sz w:val="22"/>
                <w:szCs w:val="22"/>
              </w:rPr>
              <w:t>(Herzog)</w:t>
            </w:r>
          </w:p>
          <w:p>
            <w:pPr>
              <w:rPr>
                <w:sz w:val="22"/>
                <w:szCs w:val="22"/>
              </w:rPr>
            </w:pPr>
          </w:p>
        </w:tc>
      </w:tr>
      <w:tr>
        <w:tc>
          <w:tcPr>
            <w:tcW w:w="684" w:type="dxa"/>
          </w:tcPr>
          <w:p>
            <w:pPr>
              <w:rPr>
                <w:b/>
              </w:rPr>
            </w:pPr>
            <w:r>
              <w:rPr>
                <w:b/>
              </w:rPr>
              <w:t>11</w:t>
            </w:r>
          </w:p>
        </w:tc>
        <w:tc>
          <w:tcPr>
            <w:tcW w:w="6682" w:type="dxa"/>
          </w:tcPr>
          <w:p>
            <w:pPr>
              <w:rPr>
                <w:b/>
              </w:rPr>
            </w:pPr>
            <w:r>
              <w:rPr>
                <w:b/>
              </w:rPr>
              <w:t xml:space="preserve">Maßnahmen zum Infektionsschutz </w:t>
            </w:r>
            <w:r>
              <w:rPr>
                <w:b/>
                <w:i/>
                <w:color w:val="C2D69B" w:themeColor="accent3" w:themeTint="99"/>
              </w:rPr>
              <w:t>(nach Möglichkeit nur montags</w:t>
            </w:r>
            <w:r>
              <w:rPr>
                <w:b/>
                <w:i/>
                <w:color w:val="95B3D7" w:themeColor="accent1" w:themeTint="99"/>
              </w:rPr>
              <w:t xml:space="preserve"> und freitags</w:t>
            </w:r>
            <w:r>
              <w:rPr>
                <w:b/>
                <w:i/>
                <w:color w:val="C2D69B" w:themeColor="accent3" w:themeTint="99"/>
              </w:rPr>
              <w:t>)</w:t>
            </w:r>
          </w:p>
          <w:p>
            <w:pPr>
              <w:rPr>
                <w:sz w:val="22"/>
                <w:szCs w:val="22"/>
              </w:rPr>
            </w:pPr>
          </w:p>
          <w:p>
            <w:pPr>
              <w:rPr>
                <w:sz w:val="22"/>
                <w:szCs w:val="22"/>
                <w:lang w:val="en-US"/>
              </w:rPr>
            </w:pPr>
            <w:r>
              <w:rPr>
                <w:b/>
                <w:sz w:val="22"/>
                <w:szCs w:val="22"/>
                <w:lang w:val="en-US"/>
              </w:rPr>
              <w:t>Analysis of international epidemiological data and response measures</w:t>
            </w:r>
            <w:r>
              <w:rPr>
                <w:sz w:val="22"/>
                <w:szCs w:val="22"/>
                <w:lang w:val="en-US"/>
              </w:rPr>
              <w:t xml:space="preserve"> (</w:t>
            </w:r>
            <w:proofErr w:type="spellStart"/>
            <w:r>
              <w:rPr>
                <w:sz w:val="22"/>
                <w:szCs w:val="22"/>
                <w:lang w:val="en-US"/>
              </w:rPr>
              <w:t>Folien</w:t>
            </w:r>
            <w:proofErr w:type="spellEnd"/>
            <w:r>
              <w:rPr>
                <w:sz w:val="22"/>
                <w:szCs w:val="22"/>
                <w:lang w:val="en-US"/>
              </w:rPr>
              <w:t xml:space="preserve"> </w:t>
            </w:r>
            <w:hyperlink r:id="rId21" w:history="1">
              <w:proofErr w:type="spellStart"/>
              <w:r>
                <w:rPr>
                  <w:rStyle w:val="Hyperlink"/>
                  <w:sz w:val="22"/>
                  <w:szCs w:val="22"/>
                  <w:lang w:val="en-US"/>
                </w:rPr>
                <w:t>hier</w:t>
              </w:r>
              <w:proofErr w:type="spellEnd"/>
            </w:hyperlink>
            <w:r>
              <w:rPr>
                <w:sz w:val="22"/>
                <w:szCs w:val="22"/>
                <w:lang w:val="en-US"/>
              </w:rPr>
              <w:t>)</w:t>
            </w:r>
          </w:p>
          <w:p>
            <w:pPr>
              <w:pStyle w:val="Listenabsatz"/>
              <w:numPr>
                <w:ilvl w:val="0"/>
                <w:numId w:val="24"/>
              </w:numPr>
              <w:rPr>
                <w:sz w:val="22"/>
                <w:szCs w:val="22"/>
              </w:rPr>
            </w:pPr>
            <w:proofErr w:type="spellStart"/>
            <w:r>
              <w:rPr>
                <w:sz w:val="22"/>
                <w:szCs w:val="22"/>
              </w:rPr>
              <w:t>Zweisträngiges</w:t>
            </w:r>
            <w:proofErr w:type="spellEnd"/>
            <w:r>
              <w:rPr>
                <w:sz w:val="22"/>
                <w:szCs w:val="22"/>
              </w:rPr>
              <w:t xml:space="preserve"> Projekt: </w:t>
            </w:r>
          </w:p>
          <w:p>
            <w:pPr>
              <w:pStyle w:val="Listenabsatz"/>
              <w:numPr>
                <w:ilvl w:val="1"/>
                <w:numId w:val="24"/>
              </w:numPr>
              <w:rPr>
                <w:sz w:val="22"/>
                <w:szCs w:val="22"/>
              </w:rPr>
            </w:pPr>
            <w:r>
              <w:rPr>
                <w:sz w:val="22"/>
                <w:szCs w:val="22"/>
              </w:rPr>
              <w:t xml:space="preserve">Analyse der </w:t>
            </w:r>
            <w:proofErr w:type="spellStart"/>
            <w:r>
              <w:rPr>
                <w:sz w:val="22"/>
                <w:szCs w:val="22"/>
              </w:rPr>
              <w:t>Covid</w:t>
            </w:r>
            <w:proofErr w:type="spellEnd"/>
            <w:r>
              <w:rPr>
                <w:sz w:val="22"/>
                <w:szCs w:val="22"/>
              </w:rPr>
              <w:t xml:space="preserve">-Maßnahmen </w:t>
            </w:r>
            <w:r>
              <w:rPr>
                <w:i/>
                <w:sz w:val="22"/>
                <w:szCs w:val="22"/>
              </w:rPr>
              <w:t xml:space="preserve">versus </w:t>
            </w:r>
            <w:r>
              <w:rPr>
                <w:sz w:val="22"/>
                <w:szCs w:val="22"/>
              </w:rPr>
              <w:t>epidemiologische Indikatoren in ausgewählten Ländern</w:t>
            </w:r>
          </w:p>
          <w:p>
            <w:pPr>
              <w:pStyle w:val="Listenabsatz"/>
              <w:numPr>
                <w:ilvl w:val="1"/>
                <w:numId w:val="24"/>
              </w:numPr>
              <w:rPr>
                <w:sz w:val="22"/>
                <w:szCs w:val="22"/>
              </w:rPr>
            </w:pPr>
            <w:r>
              <w:rPr>
                <w:sz w:val="22"/>
                <w:szCs w:val="22"/>
              </w:rPr>
              <w:t xml:space="preserve">Analyse der Entscheidungsfindungsprozesse, die den </w:t>
            </w:r>
            <w:proofErr w:type="spellStart"/>
            <w:r>
              <w:rPr>
                <w:sz w:val="22"/>
                <w:szCs w:val="22"/>
              </w:rPr>
              <w:t>Covid</w:t>
            </w:r>
            <w:proofErr w:type="spellEnd"/>
            <w:r>
              <w:rPr>
                <w:sz w:val="22"/>
                <w:szCs w:val="22"/>
              </w:rPr>
              <w:t>-Maßnahmen vorangehen</w:t>
            </w:r>
          </w:p>
          <w:p>
            <w:pPr>
              <w:pStyle w:val="Listenabsatz"/>
              <w:numPr>
                <w:ilvl w:val="0"/>
                <w:numId w:val="24"/>
              </w:numPr>
              <w:rPr>
                <w:sz w:val="22"/>
                <w:szCs w:val="22"/>
              </w:rPr>
            </w:pPr>
            <w:r>
              <w:rPr>
                <w:sz w:val="22"/>
                <w:szCs w:val="22"/>
              </w:rPr>
              <w:t>8 verschiedene Länder weltweit, ausgewählt nach epidemiologischen Indikatoren</w:t>
            </w:r>
          </w:p>
          <w:p>
            <w:pPr>
              <w:pStyle w:val="Listenabsatz"/>
              <w:numPr>
                <w:ilvl w:val="0"/>
                <w:numId w:val="24"/>
              </w:numPr>
              <w:rPr>
                <w:sz w:val="22"/>
                <w:szCs w:val="22"/>
              </w:rPr>
            </w:pPr>
            <w:r>
              <w:rPr>
                <w:sz w:val="22"/>
                <w:szCs w:val="22"/>
              </w:rPr>
              <w:t>Zeitraum Januar bis April 2021</w:t>
            </w:r>
          </w:p>
          <w:p>
            <w:pPr>
              <w:pStyle w:val="Listenabsatz"/>
              <w:numPr>
                <w:ilvl w:val="0"/>
                <w:numId w:val="24"/>
              </w:numPr>
              <w:rPr>
                <w:sz w:val="22"/>
                <w:szCs w:val="22"/>
                <w:lang w:val="en-US"/>
              </w:rPr>
            </w:pPr>
            <w:proofErr w:type="spellStart"/>
            <w:r>
              <w:rPr>
                <w:sz w:val="22"/>
                <w:szCs w:val="22"/>
                <w:lang w:val="en-US"/>
              </w:rPr>
              <w:t>Folie</w:t>
            </w:r>
            <w:proofErr w:type="spellEnd"/>
            <w:r>
              <w:rPr>
                <w:sz w:val="22"/>
                <w:szCs w:val="22"/>
                <w:lang w:val="en-US"/>
              </w:rPr>
              <w:t xml:space="preserve"> 3: COVID-19 Incidence, Testing rate, Test Positivity and Vaccination Coverage</w:t>
            </w:r>
          </w:p>
          <w:p>
            <w:pPr>
              <w:pStyle w:val="Listenabsatz"/>
              <w:numPr>
                <w:ilvl w:val="1"/>
                <w:numId w:val="24"/>
              </w:numPr>
              <w:rPr>
                <w:sz w:val="22"/>
                <w:szCs w:val="22"/>
              </w:rPr>
            </w:pPr>
            <w:r>
              <w:rPr>
                <w:sz w:val="22"/>
                <w:szCs w:val="22"/>
              </w:rPr>
              <w:t xml:space="preserve">Obere Reihe (Bahrain, Chile, Israel, UK, USA): Länder mit hoher </w:t>
            </w:r>
            <w:proofErr w:type="spellStart"/>
            <w:r>
              <w:rPr>
                <w:sz w:val="22"/>
                <w:szCs w:val="22"/>
              </w:rPr>
              <w:t>Impfrate</w:t>
            </w:r>
            <w:proofErr w:type="spellEnd"/>
            <w:r>
              <w:rPr>
                <w:sz w:val="22"/>
                <w:szCs w:val="22"/>
              </w:rPr>
              <w:t xml:space="preserve">, untere Reihe (Frankreich, Deutschland, Indien) Länder mit niedriger </w:t>
            </w:r>
            <w:proofErr w:type="spellStart"/>
            <w:r>
              <w:rPr>
                <w:sz w:val="22"/>
                <w:szCs w:val="22"/>
              </w:rPr>
              <w:t>Impfrate</w:t>
            </w:r>
            <w:proofErr w:type="spellEnd"/>
            <w:r>
              <w:rPr>
                <w:sz w:val="22"/>
                <w:szCs w:val="22"/>
              </w:rPr>
              <w:t xml:space="preserve">; primäre y-Achse: Inzidenz, sekundäre: Anteil, x-Achse: Woche </w:t>
            </w:r>
          </w:p>
          <w:p>
            <w:pPr>
              <w:pStyle w:val="Listenabsatz"/>
              <w:numPr>
                <w:ilvl w:val="1"/>
                <w:numId w:val="24"/>
              </w:numPr>
              <w:rPr>
                <w:sz w:val="22"/>
                <w:szCs w:val="22"/>
              </w:rPr>
            </w:pPr>
            <w:r>
              <w:rPr>
                <w:sz w:val="22"/>
                <w:szCs w:val="22"/>
              </w:rPr>
              <w:t xml:space="preserve">UK: </w:t>
            </w:r>
            <w:proofErr w:type="spellStart"/>
            <w:r>
              <w:rPr>
                <w:sz w:val="22"/>
                <w:szCs w:val="22"/>
              </w:rPr>
              <w:t>Testrate</w:t>
            </w:r>
            <w:proofErr w:type="spellEnd"/>
            <w:r>
              <w:rPr>
                <w:sz w:val="22"/>
                <w:szCs w:val="22"/>
              </w:rPr>
              <w:t xml:space="preserve"> (orange) sehr hoch (cave: noch höher, Skalierung primärer y-Achse angepasst) und Inzidenz abnehmend, Erfolg der Impfung</w:t>
            </w:r>
          </w:p>
          <w:p>
            <w:pPr>
              <w:pStyle w:val="Listenabsatz"/>
              <w:numPr>
                <w:ilvl w:val="1"/>
                <w:numId w:val="24"/>
              </w:numPr>
              <w:rPr>
                <w:sz w:val="22"/>
                <w:szCs w:val="22"/>
              </w:rPr>
            </w:pPr>
            <w:r>
              <w:rPr>
                <w:sz w:val="22"/>
                <w:szCs w:val="22"/>
              </w:rPr>
              <w:t xml:space="preserve">Indien: niedrigste </w:t>
            </w:r>
            <w:proofErr w:type="spellStart"/>
            <w:r>
              <w:rPr>
                <w:sz w:val="22"/>
                <w:szCs w:val="22"/>
              </w:rPr>
              <w:t>Testrate</w:t>
            </w:r>
            <w:proofErr w:type="spellEnd"/>
            <w:r>
              <w:rPr>
                <w:sz w:val="22"/>
                <w:szCs w:val="22"/>
              </w:rPr>
              <w:t xml:space="preserve">, niedrige </w:t>
            </w:r>
            <w:proofErr w:type="spellStart"/>
            <w:r>
              <w:rPr>
                <w:sz w:val="22"/>
                <w:szCs w:val="22"/>
              </w:rPr>
              <w:t>Impfrate</w:t>
            </w:r>
            <w:proofErr w:type="spellEnd"/>
          </w:p>
          <w:p>
            <w:pPr>
              <w:pStyle w:val="Listenabsatz"/>
              <w:numPr>
                <w:ilvl w:val="0"/>
                <w:numId w:val="24"/>
              </w:numPr>
              <w:rPr>
                <w:sz w:val="22"/>
                <w:szCs w:val="22"/>
              </w:rPr>
            </w:pPr>
            <w:r>
              <w:rPr>
                <w:sz w:val="22"/>
                <w:szCs w:val="22"/>
              </w:rPr>
              <w:t xml:space="preserve">Länder mit höherer </w:t>
            </w:r>
            <w:proofErr w:type="spellStart"/>
            <w:r>
              <w:rPr>
                <w:sz w:val="22"/>
                <w:szCs w:val="22"/>
              </w:rPr>
              <w:t>Impfrate</w:t>
            </w:r>
            <w:proofErr w:type="spellEnd"/>
            <w:r>
              <w:rPr>
                <w:sz w:val="22"/>
                <w:szCs w:val="22"/>
              </w:rPr>
              <w:t xml:space="preserve">: Impfangebot für alle, auch jüngere AG; Länder mit niedriger </w:t>
            </w:r>
            <w:proofErr w:type="spellStart"/>
            <w:r>
              <w:rPr>
                <w:sz w:val="22"/>
                <w:szCs w:val="22"/>
              </w:rPr>
              <w:t>Impfrate</w:t>
            </w:r>
            <w:proofErr w:type="spellEnd"/>
            <w:r>
              <w:rPr>
                <w:sz w:val="22"/>
                <w:szCs w:val="22"/>
              </w:rPr>
              <w:t>: eingeschränktes Impfangebot</w:t>
            </w:r>
          </w:p>
          <w:p>
            <w:pPr>
              <w:pStyle w:val="Listenabsatz"/>
              <w:numPr>
                <w:ilvl w:val="0"/>
                <w:numId w:val="24"/>
              </w:numPr>
              <w:rPr>
                <w:sz w:val="22"/>
                <w:szCs w:val="22"/>
              </w:rPr>
            </w:pPr>
            <w:proofErr w:type="spellStart"/>
            <w:r>
              <w:rPr>
                <w:sz w:val="22"/>
                <w:szCs w:val="22"/>
              </w:rPr>
              <w:lastRenderedPageBreak/>
              <w:t>Heatmap</w:t>
            </w:r>
            <w:proofErr w:type="spellEnd"/>
            <w:r>
              <w:rPr>
                <w:sz w:val="22"/>
                <w:szCs w:val="22"/>
              </w:rPr>
              <w:t xml:space="preserve"> Maßnahmen: links (USA, UK, Israel):  schrittweise Lockerung der Maßnahmen nach rechts über Farbverlauf erkennbar, rechts (Bahrain, Frankreich, Indien): Mix aus Öffnung und Schließung</w:t>
            </w:r>
          </w:p>
          <w:p>
            <w:pPr>
              <w:pStyle w:val="Listenabsatz"/>
              <w:numPr>
                <w:ilvl w:val="0"/>
                <w:numId w:val="24"/>
              </w:numPr>
              <w:rPr>
                <w:sz w:val="22"/>
                <w:szCs w:val="22"/>
              </w:rPr>
            </w:pPr>
            <w:r>
              <w:rPr>
                <w:sz w:val="22"/>
                <w:szCs w:val="22"/>
              </w:rPr>
              <w:t xml:space="preserve">Empfehlungen: v.a. bei niedrige Impfraten, stärkere Zirkulation </w:t>
            </w:r>
            <w:r>
              <w:sym w:font="Wingdings" w:char="F0E0"/>
            </w:r>
            <w:r>
              <w:rPr>
                <w:sz w:val="22"/>
                <w:szCs w:val="22"/>
              </w:rPr>
              <w:t xml:space="preserve"> begünstigt Entstehung neuer VOCs </w:t>
            </w:r>
            <w:r>
              <w:sym w:font="Wingdings" w:char="F0E0"/>
            </w:r>
            <w:r>
              <w:rPr>
                <w:sz w:val="22"/>
                <w:szCs w:val="22"/>
              </w:rPr>
              <w:t xml:space="preserve"> Aufrechterhaltung der Maßnahmen, Ausweitung der Impfangebote sofern möglich</w:t>
            </w:r>
          </w:p>
          <w:p>
            <w:pPr>
              <w:pStyle w:val="Listenabsatz"/>
              <w:numPr>
                <w:ilvl w:val="0"/>
                <w:numId w:val="24"/>
              </w:numPr>
              <w:rPr>
                <w:sz w:val="22"/>
                <w:szCs w:val="22"/>
              </w:rPr>
            </w:pPr>
            <w:r>
              <w:rPr>
                <w:sz w:val="22"/>
                <w:szCs w:val="22"/>
              </w:rPr>
              <w:t xml:space="preserve">Diskussion: </w:t>
            </w:r>
          </w:p>
          <w:p>
            <w:pPr>
              <w:pStyle w:val="Listenabsatz"/>
              <w:numPr>
                <w:ilvl w:val="1"/>
                <w:numId w:val="24"/>
              </w:numPr>
              <w:rPr>
                <w:sz w:val="22"/>
                <w:szCs w:val="22"/>
              </w:rPr>
            </w:pPr>
            <w:r>
              <w:rPr>
                <w:sz w:val="22"/>
                <w:szCs w:val="22"/>
              </w:rPr>
              <w:t xml:space="preserve">Bei Ländervergleich UK versus Frankreich / Deutschland aktuell sehr niederschwellige </w:t>
            </w:r>
            <w:proofErr w:type="spellStart"/>
            <w:r>
              <w:rPr>
                <w:sz w:val="22"/>
                <w:szCs w:val="22"/>
              </w:rPr>
              <w:t>Testrate</w:t>
            </w:r>
            <w:proofErr w:type="spellEnd"/>
            <w:r>
              <w:rPr>
                <w:sz w:val="22"/>
                <w:szCs w:val="22"/>
              </w:rPr>
              <w:t xml:space="preserve"> ersichtlich, hier verstärkt jüngere AG zu testen, Problembewusstsein zu schärfen, dass frühzeitig ein Arzt aufgesucht werden sollte (siehe Punkt 10), auch um Chance einer frühzeitigen Behandlung wahrnehmen zu können</w:t>
            </w:r>
          </w:p>
          <w:p>
            <w:pPr>
              <w:pStyle w:val="Listenabsatz"/>
              <w:numPr>
                <w:ilvl w:val="1"/>
                <w:numId w:val="24"/>
              </w:numPr>
              <w:rPr>
                <w:sz w:val="22"/>
                <w:szCs w:val="22"/>
              </w:rPr>
            </w:pPr>
            <w:r>
              <w:rPr>
                <w:sz w:val="22"/>
                <w:szCs w:val="22"/>
              </w:rPr>
              <w:t>Cave beim Ländervergleich der Testraten: in Frankreich, Indien, UK sind sowohl AG- als auch PCR-Tests enthalten, bei Deutschland nur PCR-Tests</w:t>
            </w:r>
          </w:p>
          <w:p>
            <w:pPr>
              <w:pStyle w:val="Listenabsatz"/>
              <w:numPr>
                <w:ilvl w:val="1"/>
                <w:numId w:val="24"/>
              </w:numPr>
              <w:rPr>
                <w:sz w:val="22"/>
                <w:szCs w:val="22"/>
              </w:rPr>
            </w:pPr>
            <w:r>
              <w:rPr>
                <w:sz w:val="22"/>
                <w:szCs w:val="22"/>
              </w:rPr>
              <w:t xml:space="preserve">Internationale Literatur und Maßnahmen sollten systematisch zwecks Vergleichbarkeit angeschaut werden </w:t>
            </w:r>
            <w:r>
              <w:rPr>
                <w:sz w:val="22"/>
                <w:szCs w:val="22"/>
              </w:rPr>
              <w:sym w:font="Wingdings" w:char="F0E0"/>
            </w:r>
            <w:r>
              <w:rPr>
                <w:sz w:val="22"/>
                <w:szCs w:val="22"/>
              </w:rPr>
              <w:t xml:space="preserve"> alle 2-3 Wochen Vorstellung mittwochs in Krisenstabssitzung in Vorbereitung auf die Einbringung in das BMG am jeweils folgenden Freitag</w:t>
            </w:r>
          </w:p>
          <w:p>
            <w:pPr>
              <w:pStyle w:val="Listenabsatz"/>
              <w:numPr>
                <w:ilvl w:val="1"/>
                <w:numId w:val="24"/>
              </w:numPr>
              <w:rPr>
                <w:sz w:val="22"/>
                <w:szCs w:val="22"/>
              </w:rPr>
            </w:pPr>
            <w:r>
              <w:rPr>
                <w:sz w:val="22"/>
                <w:szCs w:val="22"/>
              </w:rPr>
              <w:t>Andere Maßnahmen sind beizubehalten, sofern noch keine hohen Impfquoten erreicht wurden</w:t>
            </w:r>
          </w:p>
          <w:p>
            <w:pPr>
              <w:rPr>
                <w:sz w:val="22"/>
                <w:szCs w:val="22"/>
              </w:rPr>
            </w:pPr>
          </w:p>
        </w:tc>
        <w:tc>
          <w:tcPr>
            <w:tcW w:w="1605" w:type="dxa"/>
          </w:tcPr>
          <w:p>
            <w:pPr>
              <w:rPr>
                <w:sz w:val="22"/>
                <w:szCs w:val="22"/>
              </w:rPr>
            </w:pPr>
          </w:p>
          <w:p>
            <w:pPr>
              <w:rPr>
                <w:sz w:val="22"/>
                <w:szCs w:val="22"/>
              </w:rPr>
            </w:pPr>
          </w:p>
          <w:p>
            <w:pPr>
              <w:rPr>
                <w:sz w:val="22"/>
                <w:szCs w:val="22"/>
              </w:rPr>
            </w:pPr>
          </w:p>
          <w:p/>
          <w:p>
            <w:r>
              <w:t>ZIG</w:t>
            </w:r>
          </w:p>
          <w:p>
            <w:pPr>
              <w:rPr>
                <w:sz w:val="22"/>
                <w:szCs w:val="22"/>
              </w:rPr>
            </w:pPr>
            <w:r>
              <w:rPr>
                <w:sz w:val="22"/>
                <w:szCs w:val="22"/>
              </w:rPr>
              <w:t>(Bahr)</w:t>
            </w:r>
          </w:p>
        </w:tc>
      </w:tr>
      <w:tr>
        <w:tc>
          <w:tcPr>
            <w:tcW w:w="684" w:type="dxa"/>
          </w:tcPr>
          <w:p>
            <w:pPr>
              <w:rPr>
                <w:b/>
              </w:rPr>
            </w:pPr>
            <w:r>
              <w:rPr>
                <w:b/>
              </w:rPr>
              <w:t>12</w:t>
            </w:r>
          </w:p>
        </w:tc>
        <w:tc>
          <w:tcPr>
            <w:tcW w:w="6682" w:type="dxa"/>
          </w:tcPr>
          <w:p>
            <w:pPr>
              <w:rPr>
                <w:b/>
              </w:rPr>
            </w:pPr>
            <w:r>
              <w:rPr>
                <w:b/>
              </w:rPr>
              <w:t xml:space="preserve">Surveillance </w:t>
            </w:r>
            <w:r>
              <w:rPr>
                <w:b/>
                <w:i/>
                <w:color w:val="C2D69B" w:themeColor="accent3" w:themeTint="99"/>
              </w:rPr>
              <w:t>(nach Möglichkeit nur montags</w:t>
            </w:r>
            <w:r>
              <w:rPr>
                <w:b/>
                <w:i/>
                <w:color w:val="95B3D7" w:themeColor="accent1" w:themeTint="99"/>
              </w:rPr>
              <w:t xml:space="preserve"> und freitags</w:t>
            </w:r>
            <w:r>
              <w:rPr>
                <w:b/>
                <w:i/>
                <w:color w:val="C2D69B" w:themeColor="accent3" w:themeTint="99"/>
              </w:rPr>
              <w:t>)</w:t>
            </w:r>
          </w:p>
          <w:p>
            <w:pPr>
              <w:pStyle w:val="Listenabsatz"/>
              <w:numPr>
                <w:ilvl w:val="0"/>
                <w:numId w:val="24"/>
              </w:numPr>
              <w:rPr>
                <w:sz w:val="22"/>
                <w:szCs w:val="22"/>
              </w:rPr>
            </w:pPr>
            <w:r>
              <w:rPr>
                <w:sz w:val="22"/>
                <w:szCs w:val="22"/>
              </w:rPr>
              <w:t>Keine weiteren Anmerkungen</w:t>
            </w:r>
          </w:p>
          <w:p>
            <w:pPr>
              <w:rPr>
                <w:sz w:val="22"/>
                <w:szCs w:val="22"/>
              </w:rPr>
            </w:pPr>
          </w:p>
        </w:tc>
        <w:tc>
          <w:tcPr>
            <w:tcW w:w="1605" w:type="dxa"/>
          </w:tcPr>
          <w:p>
            <w:pPr>
              <w:rPr>
                <w:sz w:val="22"/>
                <w:szCs w:val="22"/>
              </w:rPr>
            </w:pPr>
          </w:p>
          <w:p>
            <w:pPr>
              <w:rPr>
                <w:sz w:val="22"/>
                <w:szCs w:val="22"/>
              </w:rPr>
            </w:pPr>
            <w:r>
              <w:rPr>
                <w:sz w:val="22"/>
                <w:szCs w:val="22"/>
              </w:rPr>
              <w:t>FG32</w:t>
            </w:r>
            <w:r>
              <w:rPr>
                <w:sz w:val="22"/>
                <w:szCs w:val="22"/>
              </w:rPr>
              <w:br/>
            </w:r>
          </w:p>
        </w:tc>
      </w:tr>
      <w:tr>
        <w:tc>
          <w:tcPr>
            <w:tcW w:w="684" w:type="dxa"/>
          </w:tcPr>
          <w:p>
            <w:pPr>
              <w:rPr>
                <w:b/>
              </w:rPr>
            </w:pPr>
            <w:r>
              <w:rPr>
                <w:b/>
              </w:rPr>
              <w:t>13</w:t>
            </w:r>
          </w:p>
        </w:tc>
        <w:tc>
          <w:tcPr>
            <w:tcW w:w="6682" w:type="dxa"/>
          </w:tcPr>
          <w:p>
            <w:pPr>
              <w:rPr>
                <w:b/>
              </w:rPr>
            </w:pPr>
            <w:r>
              <w:rPr>
                <w:b/>
              </w:rPr>
              <w:t xml:space="preserve">Transport und Grenzübergangsstellen </w:t>
            </w:r>
            <w:r>
              <w:rPr>
                <w:b/>
                <w:i/>
                <w:color w:val="8DB3E2" w:themeColor="text2" w:themeTint="66"/>
              </w:rPr>
              <w:t>(nur freitags)</w:t>
            </w:r>
          </w:p>
          <w:p>
            <w:pPr>
              <w:pStyle w:val="Listenabsatz"/>
              <w:numPr>
                <w:ilvl w:val="0"/>
                <w:numId w:val="24"/>
              </w:numPr>
              <w:rPr>
                <w:sz w:val="22"/>
                <w:szCs w:val="22"/>
              </w:rPr>
            </w:pPr>
            <w:r>
              <w:rPr>
                <w:sz w:val="22"/>
                <w:szCs w:val="22"/>
              </w:rPr>
              <w:t>Nicht besprochen</w:t>
            </w:r>
          </w:p>
        </w:tc>
        <w:tc>
          <w:tcPr>
            <w:tcW w:w="1605" w:type="dxa"/>
          </w:tcPr>
          <w:p>
            <w:pPr>
              <w:rPr>
                <w:sz w:val="22"/>
                <w:szCs w:val="22"/>
              </w:rPr>
            </w:pPr>
            <w:r>
              <w:rPr>
                <w:sz w:val="22"/>
                <w:szCs w:val="22"/>
              </w:rPr>
              <w:t>FG38</w:t>
            </w:r>
          </w:p>
        </w:tc>
      </w:tr>
      <w:tr>
        <w:tc>
          <w:tcPr>
            <w:tcW w:w="684" w:type="dxa"/>
          </w:tcPr>
          <w:p>
            <w:pPr>
              <w:rPr>
                <w:b/>
              </w:rPr>
            </w:pPr>
            <w:r>
              <w:rPr>
                <w:b/>
              </w:rPr>
              <w:t>14</w:t>
            </w:r>
          </w:p>
        </w:tc>
        <w:tc>
          <w:tcPr>
            <w:tcW w:w="6682" w:type="dxa"/>
          </w:tcPr>
          <w:p>
            <w:pPr>
              <w:rPr>
                <w:b/>
              </w:rPr>
            </w:pPr>
            <w:r>
              <w:rPr>
                <w:b/>
              </w:rPr>
              <w:t xml:space="preserve">Information aus dem Lagezentrum </w:t>
            </w:r>
            <w:r>
              <w:rPr>
                <w:b/>
                <w:i/>
                <w:color w:val="8DB3E2" w:themeColor="text2" w:themeTint="66"/>
              </w:rPr>
              <w:t>(nur freitags)</w:t>
            </w:r>
          </w:p>
          <w:p>
            <w:pPr>
              <w:pStyle w:val="Listenabsatz"/>
              <w:numPr>
                <w:ilvl w:val="0"/>
                <w:numId w:val="24"/>
              </w:numPr>
              <w:rPr>
                <w:sz w:val="22"/>
                <w:szCs w:val="22"/>
              </w:rPr>
            </w:pPr>
            <w:r>
              <w:rPr>
                <w:sz w:val="22"/>
                <w:szCs w:val="22"/>
              </w:rPr>
              <w:t>Nicht besprochen</w:t>
            </w:r>
          </w:p>
        </w:tc>
        <w:tc>
          <w:tcPr>
            <w:tcW w:w="1605" w:type="dxa"/>
          </w:tcPr>
          <w:p>
            <w:pPr>
              <w:rPr>
                <w:sz w:val="22"/>
                <w:szCs w:val="22"/>
              </w:rPr>
            </w:pPr>
            <w:r>
              <w:rPr>
                <w:sz w:val="22"/>
                <w:szCs w:val="22"/>
              </w:rPr>
              <w:t>FG38</w:t>
            </w:r>
          </w:p>
        </w:tc>
      </w:tr>
      <w:tr>
        <w:tc>
          <w:tcPr>
            <w:tcW w:w="684" w:type="dxa"/>
          </w:tcPr>
          <w:p>
            <w:pPr>
              <w:rPr>
                <w:b/>
              </w:rPr>
            </w:pPr>
            <w:r>
              <w:rPr>
                <w:b/>
              </w:rPr>
              <w:t>15</w:t>
            </w:r>
          </w:p>
        </w:tc>
        <w:tc>
          <w:tcPr>
            <w:tcW w:w="6682" w:type="dxa"/>
          </w:tcPr>
          <w:p>
            <w:pPr>
              <w:rPr>
                <w:b/>
              </w:rPr>
            </w:pPr>
            <w:r>
              <w:rPr>
                <w:b/>
              </w:rPr>
              <w:t>Wichtige Termine/ Arbeitsaufträge</w:t>
            </w:r>
          </w:p>
          <w:p>
            <w:pPr>
              <w:pStyle w:val="Listenabsatz"/>
              <w:numPr>
                <w:ilvl w:val="0"/>
                <w:numId w:val="28"/>
              </w:numPr>
              <w:rPr>
                <w:sz w:val="22"/>
                <w:szCs w:val="22"/>
              </w:rPr>
            </w:pPr>
            <w:r>
              <w:t xml:space="preserve">Experten-Beirat Pandemische Atemwegsinfektionen (29.04.2021), Thema u.a. Long </w:t>
            </w:r>
            <w:proofErr w:type="spellStart"/>
            <w:r>
              <w:t>Covid</w:t>
            </w:r>
            <w:proofErr w:type="spellEnd"/>
            <w:r>
              <w:t xml:space="preserve"> </w:t>
            </w:r>
          </w:p>
        </w:tc>
        <w:tc>
          <w:tcPr>
            <w:tcW w:w="1605" w:type="dxa"/>
          </w:tcPr>
          <w:p>
            <w:pPr>
              <w:rPr>
                <w:sz w:val="22"/>
                <w:szCs w:val="22"/>
              </w:rPr>
            </w:pPr>
            <w:r>
              <w:rPr>
                <w:sz w:val="22"/>
                <w:szCs w:val="22"/>
              </w:rPr>
              <w:t>Alle</w:t>
            </w:r>
          </w:p>
        </w:tc>
      </w:tr>
      <w:tr>
        <w:tc>
          <w:tcPr>
            <w:tcW w:w="684" w:type="dxa"/>
          </w:tcPr>
          <w:p>
            <w:pPr>
              <w:rPr>
                <w:b/>
              </w:rPr>
            </w:pPr>
          </w:p>
        </w:tc>
        <w:tc>
          <w:tcPr>
            <w:tcW w:w="6682" w:type="dxa"/>
          </w:tcPr>
          <w:p>
            <w:pPr>
              <w:rPr>
                <w:b/>
              </w:rPr>
            </w:pPr>
            <w:r>
              <w:t>Nächste Sitzung: Freitag, 30.04.2021, 11:00</w:t>
            </w:r>
          </w:p>
        </w:tc>
        <w:tc>
          <w:tcPr>
            <w:tcW w:w="1605" w:type="dxa"/>
          </w:tcPr>
          <w:p/>
        </w:tc>
      </w:tr>
    </w:tbl>
    <w:p>
      <w:pPr>
        <w:spacing w:after="240" w:line="360" w:lineRule="auto"/>
      </w:pPr>
      <w:r>
        <w:t>Ende 12:33</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02210"/>
    <w:multiLevelType w:val="hybridMultilevel"/>
    <w:tmpl w:val="FA485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39029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C1E87B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5D042C"/>
    <w:multiLevelType w:val="hybridMultilevel"/>
    <w:tmpl w:val="6868E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F21567"/>
    <w:multiLevelType w:val="hybridMultilevel"/>
    <w:tmpl w:val="96D62C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08305E"/>
    <w:multiLevelType w:val="hybridMultilevel"/>
    <w:tmpl w:val="73C26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A673E7"/>
    <w:multiLevelType w:val="hybridMultilevel"/>
    <w:tmpl w:val="86C6CA4E"/>
    <w:lvl w:ilvl="0" w:tplc="9CC0E2B2">
      <w:start w:val="1"/>
      <w:numFmt w:val="bullet"/>
      <w:lvlText w:val=""/>
      <w:lvlJc w:val="left"/>
      <w:pPr>
        <w:tabs>
          <w:tab w:val="num" w:pos="720"/>
        </w:tabs>
        <w:ind w:left="720" w:hanging="360"/>
      </w:pPr>
      <w:rPr>
        <w:rFonts w:ascii="Wingdings" w:hAnsi="Wingdings" w:hint="default"/>
      </w:rPr>
    </w:lvl>
    <w:lvl w:ilvl="1" w:tplc="5A8E93E4">
      <w:start w:val="88"/>
      <w:numFmt w:val="bullet"/>
      <w:lvlText w:val=""/>
      <w:lvlJc w:val="left"/>
      <w:pPr>
        <w:tabs>
          <w:tab w:val="num" w:pos="1440"/>
        </w:tabs>
        <w:ind w:left="1440" w:hanging="360"/>
      </w:pPr>
      <w:rPr>
        <w:rFonts w:ascii="Wingdings" w:hAnsi="Wingdings" w:hint="default"/>
      </w:rPr>
    </w:lvl>
    <w:lvl w:ilvl="2" w:tplc="342283FC" w:tentative="1">
      <w:start w:val="1"/>
      <w:numFmt w:val="bullet"/>
      <w:lvlText w:val=""/>
      <w:lvlJc w:val="left"/>
      <w:pPr>
        <w:tabs>
          <w:tab w:val="num" w:pos="2160"/>
        </w:tabs>
        <w:ind w:left="2160" w:hanging="360"/>
      </w:pPr>
      <w:rPr>
        <w:rFonts w:ascii="Wingdings" w:hAnsi="Wingdings" w:hint="default"/>
      </w:rPr>
    </w:lvl>
    <w:lvl w:ilvl="3" w:tplc="D348EA84" w:tentative="1">
      <w:start w:val="1"/>
      <w:numFmt w:val="bullet"/>
      <w:lvlText w:val=""/>
      <w:lvlJc w:val="left"/>
      <w:pPr>
        <w:tabs>
          <w:tab w:val="num" w:pos="2880"/>
        </w:tabs>
        <w:ind w:left="2880" w:hanging="360"/>
      </w:pPr>
      <w:rPr>
        <w:rFonts w:ascii="Wingdings" w:hAnsi="Wingdings" w:hint="default"/>
      </w:rPr>
    </w:lvl>
    <w:lvl w:ilvl="4" w:tplc="49C20FA4" w:tentative="1">
      <w:start w:val="1"/>
      <w:numFmt w:val="bullet"/>
      <w:lvlText w:val=""/>
      <w:lvlJc w:val="left"/>
      <w:pPr>
        <w:tabs>
          <w:tab w:val="num" w:pos="3600"/>
        </w:tabs>
        <w:ind w:left="3600" w:hanging="360"/>
      </w:pPr>
      <w:rPr>
        <w:rFonts w:ascii="Wingdings" w:hAnsi="Wingdings" w:hint="default"/>
      </w:rPr>
    </w:lvl>
    <w:lvl w:ilvl="5" w:tplc="735622DA" w:tentative="1">
      <w:start w:val="1"/>
      <w:numFmt w:val="bullet"/>
      <w:lvlText w:val=""/>
      <w:lvlJc w:val="left"/>
      <w:pPr>
        <w:tabs>
          <w:tab w:val="num" w:pos="4320"/>
        </w:tabs>
        <w:ind w:left="4320" w:hanging="360"/>
      </w:pPr>
      <w:rPr>
        <w:rFonts w:ascii="Wingdings" w:hAnsi="Wingdings" w:hint="default"/>
      </w:rPr>
    </w:lvl>
    <w:lvl w:ilvl="6" w:tplc="48FC7A64" w:tentative="1">
      <w:start w:val="1"/>
      <w:numFmt w:val="bullet"/>
      <w:lvlText w:val=""/>
      <w:lvlJc w:val="left"/>
      <w:pPr>
        <w:tabs>
          <w:tab w:val="num" w:pos="5040"/>
        </w:tabs>
        <w:ind w:left="5040" w:hanging="360"/>
      </w:pPr>
      <w:rPr>
        <w:rFonts w:ascii="Wingdings" w:hAnsi="Wingdings" w:hint="default"/>
      </w:rPr>
    </w:lvl>
    <w:lvl w:ilvl="7" w:tplc="AE72D4E4" w:tentative="1">
      <w:start w:val="1"/>
      <w:numFmt w:val="bullet"/>
      <w:lvlText w:val=""/>
      <w:lvlJc w:val="left"/>
      <w:pPr>
        <w:tabs>
          <w:tab w:val="num" w:pos="5760"/>
        </w:tabs>
        <w:ind w:left="5760" w:hanging="360"/>
      </w:pPr>
      <w:rPr>
        <w:rFonts w:ascii="Wingdings" w:hAnsi="Wingdings" w:hint="default"/>
      </w:rPr>
    </w:lvl>
    <w:lvl w:ilvl="8" w:tplc="AE88116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095C62"/>
    <w:multiLevelType w:val="hybridMultilevel"/>
    <w:tmpl w:val="116E2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FA247E"/>
    <w:multiLevelType w:val="hybridMultilevel"/>
    <w:tmpl w:val="491E635A"/>
    <w:lvl w:ilvl="0" w:tplc="F2FEC1FA">
      <w:start w:val="1"/>
      <w:numFmt w:val="bullet"/>
      <w:lvlText w:val="-"/>
      <w:lvlJc w:val="left"/>
      <w:pPr>
        <w:tabs>
          <w:tab w:val="num" w:pos="720"/>
        </w:tabs>
        <w:ind w:left="720" w:hanging="360"/>
      </w:pPr>
      <w:rPr>
        <w:rFonts w:ascii="Times New Roman" w:hAnsi="Times New Roman" w:hint="default"/>
      </w:rPr>
    </w:lvl>
    <w:lvl w:ilvl="1" w:tplc="28D8413A" w:tentative="1">
      <w:start w:val="1"/>
      <w:numFmt w:val="bullet"/>
      <w:lvlText w:val="-"/>
      <w:lvlJc w:val="left"/>
      <w:pPr>
        <w:tabs>
          <w:tab w:val="num" w:pos="1440"/>
        </w:tabs>
        <w:ind w:left="1440" w:hanging="360"/>
      </w:pPr>
      <w:rPr>
        <w:rFonts w:ascii="Times New Roman" w:hAnsi="Times New Roman" w:hint="default"/>
      </w:rPr>
    </w:lvl>
    <w:lvl w:ilvl="2" w:tplc="A650FBE2" w:tentative="1">
      <w:start w:val="1"/>
      <w:numFmt w:val="bullet"/>
      <w:lvlText w:val="-"/>
      <w:lvlJc w:val="left"/>
      <w:pPr>
        <w:tabs>
          <w:tab w:val="num" w:pos="2160"/>
        </w:tabs>
        <w:ind w:left="2160" w:hanging="360"/>
      </w:pPr>
      <w:rPr>
        <w:rFonts w:ascii="Times New Roman" w:hAnsi="Times New Roman" w:hint="default"/>
      </w:rPr>
    </w:lvl>
    <w:lvl w:ilvl="3" w:tplc="B67AE614" w:tentative="1">
      <w:start w:val="1"/>
      <w:numFmt w:val="bullet"/>
      <w:lvlText w:val="-"/>
      <w:lvlJc w:val="left"/>
      <w:pPr>
        <w:tabs>
          <w:tab w:val="num" w:pos="2880"/>
        </w:tabs>
        <w:ind w:left="2880" w:hanging="360"/>
      </w:pPr>
      <w:rPr>
        <w:rFonts w:ascii="Times New Roman" w:hAnsi="Times New Roman" w:hint="default"/>
      </w:rPr>
    </w:lvl>
    <w:lvl w:ilvl="4" w:tplc="54C22570" w:tentative="1">
      <w:start w:val="1"/>
      <w:numFmt w:val="bullet"/>
      <w:lvlText w:val="-"/>
      <w:lvlJc w:val="left"/>
      <w:pPr>
        <w:tabs>
          <w:tab w:val="num" w:pos="3600"/>
        </w:tabs>
        <w:ind w:left="3600" w:hanging="360"/>
      </w:pPr>
      <w:rPr>
        <w:rFonts w:ascii="Times New Roman" w:hAnsi="Times New Roman" w:hint="default"/>
      </w:rPr>
    </w:lvl>
    <w:lvl w:ilvl="5" w:tplc="B9F0D35E" w:tentative="1">
      <w:start w:val="1"/>
      <w:numFmt w:val="bullet"/>
      <w:lvlText w:val="-"/>
      <w:lvlJc w:val="left"/>
      <w:pPr>
        <w:tabs>
          <w:tab w:val="num" w:pos="4320"/>
        </w:tabs>
        <w:ind w:left="4320" w:hanging="360"/>
      </w:pPr>
      <w:rPr>
        <w:rFonts w:ascii="Times New Roman" w:hAnsi="Times New Roman" w:hint="default"/>
      </w:rPr>
    </w:lvl>
    <w:lvl w:ilvl="6" w:tplc="54DE53F4" w:tentative="1">
      <w:start w:val="1"/>
      <w:numFmt w:val="bullet"/>
      <w:lvlText w:val="-"/>
      <w:lvlJc w:val="left"/>
      <w:pPr>
        <w:tabs>
          <w:tab w:val="num" w:pos="5040"/>
        </w:tabs>
        <w:ind w:left="5040" w:hanging="360"/>
      </w:pPr>
      <w:rPr>
        <w:rFonts w:ascii="Times New Roman" w:hAnsi="Times New Roman" w:hint="default"/>
      </w:rPr>
    </w:lvl>
    <w:lvl w:ilvl="7" w:tplc="2804ABB4" w:tentative="1">
      <w:start w:val="1"/>
      <w:numFmt w:val="bullet"/>
      <w:lvlText w:val="-"/>
      <w:lvlJc w:val="left"/>
      <w:pPr>
        <w:tabs>
          <w:tab w:val="num" w:pos="5760"/>
        </w:tabs>
        <w:ind w:left="5760" w:hanging="360"/>
      </w:pPr>
      <w:rPr>
        <w:rFonts w:ascii="Times New Roman" w:hAnsi="Times New Roman" w:hint="default"/>
      </w:rPr>
    </w:lvl>
    <w:lvl w:ilvl="8" w:tplc="CCBE30F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CAC0447"/>
    <w:multiLevelType w:val="hybridMultilevel"/>
    <w:tmpl w:val="DE1A4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6B1DB0"/>
    <w:multiLevelType w:val="hybridMultilevel"/>
    <w:tmpl w:val="5FA82DA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625074DC"/>
    <w:multiLevelType w:val="hybridMultilevel"/>
    <w:tmpl w:val="B802D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70F74E0"/>
    <w:multiLevelType w:val="hybridMultilevel"/>
    <w:tmpl w:val="12BE5A14"/>
    <w:lvl w:ilvl="0" w:tplc="426A2AE2">
      <w:start w:val="1"/>
      <w:numFmt w:val="bullet"/>
      <w:lvlText w:val=""/>
      <w:lvlJc w:val="left"/>
      <w:pPr>
        <w:tabs>
          <w:tab w:val="num" w:pos="720"/>
        </w:tabs>
        <w:ind w:left="720" w:hanging="360"/>
      </w:pPr>
      <w:rPr>
        <w:rFonts w:ascii="Wingdings" w:hAnsi="Wingdings" w:hint="default"/>
      </w:rPr>
    </w:lvl>
    <w:lvl w:ilvl="1" w:tplc="9E7ECFE4">
      <w:start w:val="88"/>
      <w:numFmt w:val="bullet"/>
      <w:lvlText w:val=""/>
      <w:lvlJc w:val="left"/>
      <w:pPr>
        <w:tabs>
          <w:tab w:val="num" w:pos="1440"/>
        </w:tabs>
        <w:ind w:left="1440" w:hanging="360"/>
      </w:pPr>
      <w:rPr>
        <w:rFonts w:ascii="Wingdings" w:hAnsi="Wingdings" w:hint="default"/>
      </w:rPr>
    </w:lvl>
    <w:lvl w:ilvl="2" w:tplc="07A008D0" w:tentative="1">
      <w:start w:val="1"/>
      <w:numFmt w:val="bullet"/>
      <w:lvlText w:val=""/>
      <w:lvlJc w:val="left"/>
      <w:pPr>
        <w:tabs>
          <w:tab w:val="num" w:pos="2160"/>
        </w:tabs>
        <w:ind w:left="2160" w:hanging="360"/>
      </w:pPr>
      <w:rPr>
        <w:rFonts w:ascii="Wingdings" w:hAnsi="Wingdings" w:hint="default"/>
      </w:rPr>
    </w:lvl>
    <w:lvl w:ilvl="3" w:tplc="81807AEE" w:tentative="1">
      <w:start w:val="1"/>
      <w:numFmt w:val="bullet"/>
      <w:lvlText w:val=""/>
      <w:lvlJc w:val="left"/>
      <w:pPr>
        <w:tabs>
          <w:tab w:val="num" w:pos="2880"/>
        </w:tabs>
        <w:ind w:left="2880" w:hanging="360"/>
      </w:pPr>
      <w:rPr>
        <w:rFonts w:ascii="Wingdings" w:hAnsi="Wingdings" w:hint="default"/>
      </w:rPr>
    </w:lvl>
    <w:lvl w:ilvl="4" w:tplc="59AA21FA" w:tentative="1">
      <w:start w:val="1"/>
      <w:numFmt w:val="bullet"/>
      <w:lvlText w:val=""/>
      <w:lvlJc w:val="left"/>
      <w:pPr>
        <w:tabs>
          <w:tab w:val="num" w:pos="3600"/>
        </w:tabs>
        <w:ind w:left="3600" w:hanging="360"/>
      </w:pPr>
      <w:rPr>
        <w:rFonts w:ascii="Wingdings" w:hAnsi="Wingdings" w:hint="default"/>
      </w:rPr>
    </w:lvl>
    <w:lvl w:ilvl="5" w:tplc="F4CE4A36" w:tentative="1">
      <w:start w:val="1"/>
      <w:numFmt w:val="bullet"/>
      <w:lvlText w:val=""/>
      <w:lvlJc w:val="left"/>
      <w:pPr>
        <w:tabs>
          <w:tab w:val="num" w:pos="4320"/>
        </w:tabs>
        <w:ind w:left="4320" w:hanging="360"/>
      </w:pPr>
      <w:rPr>
        <w:rFonts w:ascii="Wingdings" w:hAnsi="Wingdings" w:hint="default"/>
      </w:rPr>
    </w:lvl>
    <w:lvl w:ilvl="6" w:tplc="80A01C68" w:tentative="1">
      <w:start w:val="1"/>
      <w:numFmt w:val="bullet"/>
      <w:lvlText w:val=""/>
      <w:lvlJc w:val="left"/>
      <w:pPr>
        <w:tabs>
          <w:tab w:val="num" w:pos="5040"/>
        </w:tabs>
        <w:ind w:left="5040" w:hanging="360"/>
      </w:pPr>
      <w:rPr>
        <w:rFonts w:ascii="Wingdings" w:hAnsi="Wingdings" w:hint="default"/>
      </w:rPr>
    </w:lvl>
    <w:lvl w:ilvl="7" w:tplc="3316598E" w:tentative="1">
      <w:start w:val="1"/>
      <w:numFmt w:val="bullet"/>
      <w:lvlText w:val=""/>
      <w:lvlJc w:val="left"/>
      <w:pPr>
        <w:tabs>
          <w:tab w:val="num" w:pos="5760"/>
        </w:tabs>
        <w:ind w:left="5760" w:hanging="360"/>
      </w:pPr>
      <w:rPr>
        <w:rFonts w:ascii="Wingdings" w:hAnsi="Wingdings" w:hint="default"/>
      </w:rPr>
    </w:lvl>
    <w:lvl w:ilvl="8" w:tplc="1C5C42E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D07176"/>
    <w:multiLevelType w:val="hybridMultilevel"/>
    <w:tmpl w:val="2010562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7"/>
  </w:num>
  <w:num w:numId="2">
    <w:abstractNumId w:val="4"/>
  </w:num>
  <w:num w:numId="3">
    <w:abstractNumId w:val="26"/>
  </w:num>
  <w:num w:numId="4">
    <w:abstractNumId w:val="3"/>
  </w:num>
  <w:num w:numId="5">
    <w:abstractNumId w:val="25"/>
  </w:num>
  <w:num w:numId="6">
    <w:abstractNumId w:val="9"/>
  </w:num>
  <w:num w:numId="7">
    <w:abstractNumId w:val="28"/>
  </w:num>
  <w:num w:numId="8">
    <w:abstractNumId w:val="22"/>
  </w:num>
  <w:num w:numId="9">
    <w:abstractNumId w:val="36"/>
  </w:num>
  <w:num w:numId="10">
    <w:abstractNumId w:val="12"/>
  </w:num>
  <w:num w:numId="11">
    <w:abstractNumId w:val="2"/>
  </w:num>
  <w:num w:numId="12">
    <w:abstractNumId w:val="6"/>
  </w:num>
  <w:num w:numId="13">
    <w:abstractNumId w:val="30"/>
  </w:num>
  <w:num w:numId="14">
    <w:abstractNumId w:val="18"/>
  </w:num>
  <w:num w:numId="15">
    <w:abstractNumId w:val="5"/>
  </w:num>
  <w:num w:numId="16">
    <w:abstractNumId w:val="10"/>
  </w:num>
  <w:num w:numId="17">
    <w:abstractNumId w:val="0"/>
  </w:num>
  <w:num w:numId="18">
    <w:abstractNumId w:val="15"/>
  </w:num>
  <w:num w:numId="19">
    <w:abstractNumId w:val="11"/>
  </w:num>
  <w:num w:numId="20">
    <w:abstractNumId w:val="34"/>
  </w:num>
  <w:num w:numId="21">
    <w:abstractNumId w:val="16"/>
  </w:num>
  <w:num w:numId="22">
    <w:abstractNumId w:val="7"/>
  </w:num>
  <w:num w:numId="23">
    <w:abstractNumId w:val="14"/>
  </w:num>
  <w:num w:numId="24">
    <w:abstractNumId w:val="19"/>
  </w:num>
  <w:num w:numId="25">
    <w:abstractNumId w:val="21"/>
  </w:num>
  <w:num w:numId="26">
    <w:abstractNumId w:val="23"/>
  </w:num>
  <w:num w:numId="27">
    <w:abstractNumId w:val="37"/>
  </w:num>
  <w:num w:numId="28">
    <w:abstractNumId w:val="31"/>
  </w:num>
  <w:num w:numId="29">
    <w:abstractNumId w:val="20"/>
  </w:num>
  <w:num w:numId="30">
    <w:abstractNumId w:val="29"/>
  </w:num>
  <w:num w:numId="31">
    <w:abstractNumId w:val="13"/>
  </w:num>
  <w:num w:numId="32">
    <w:abstractNumId w:val="33"/>
  </w:num>
  <w:num w:numId="33">
    <w:abstractNumId w:val="1"/>
  </w:num>
  <w:num w:numId="34">
    <w:abstractNumId w:val="32"/>
  </w:num>
  <w:num w:numId="35">
    <w:abstractNumId w:val="27"/>
  </w:num>
  <w:num w:numId="36">
    <w:abstractNumId w:val="8"/>
  </w:num>
  <w:num w:numId="37">
    <w:abstractNumId w:val="24"/>
  </w:num>
  <w:num w:numId="38">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7336">
      <w:bodyDiv w:val="1"/>
      <w:marLeft w:val="0"/>
      <w:marRight w:val="0"/>
      <w:marTop w:val="0"/>
      <w:marBottom w:val="0"/>
      <w:divBdr>
        <w:top w:val="none" w:sz="0" w:space="0" w:color="auto"/>
        <w:left w:val="none" w:sz="0" w:space="0" w:color="auto"/>
        <w:bottom w:val="none" w:sz="0" w:space="0" w:color="auto"/>
        <w:right w:val="none" w:sz="0" w:space="0" w:color="auto"/>
      </w:divBdr>
      <w:divsChild>
        <w:div w:id="2035766271">
          <w:marLeft w:val="274"/>
          <w:marRight w:val="0"/>
          <w:marTop w:val="0"/>
          <w:marBottom w:val="0"/>
          <w:divBdr>
            <w:top w:val="none" w:sz="0" w:space="0" w:color="auto"/>
            <w:left w:val="none" w:sz="0" w:space="0" w:color="auto"/>
            <w:bottom w:val="none" w:sz="0" w:space="0" w:color="auto"/>
            <w:right w:val="none" w:sz="0" w:space="0" w:color="auto"/>
          </w:divBdr>
        </w:div>
      </w:divsChild>
    </w:div>
    <w:div w:id="200823983">
      <w:bodyDiv w:val="1"/>
      <w:marLeft w:val="0"/>
      <w:marRight w:val="0"/>
      <w:marTop w:val="0"/>
      <w:marBottom w:val="0"/>
      <w:divBdr>
        <w:top w:val="none" w:sz="0" w:space="0" w:color="auto"/>
        <w:left w:val="none" w:sz="0" w:space="0" w:color="auto"/>
        <w:bottom w:val="none" w:sz="0" w:space="0" w:color="auto"/>
        <w:right w:val="none" w:sz="0" w:space="0" w:color="auto"/>
      </w:divBdr>
    </w:div>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64031246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71579467">
      <w:bodyDiv w:val="1"/>
      <w:marLeft w:val="0"/>
      <w:marRight w:val="0"/>
      <w:marTop w:val="0"/>
      <w:marBottom w:val="0"/>
      <w:divBdr>
        <w:top w:val="none" w:sz="0" w:space="0" w:color="auto"/>
        <w:left w:val="none" w:sz="0" w:space="0" w:color="auto"/>
        <w:bottom w:val="none" w:sz="0" w:space="0" w:color="auto"/>
        <w:right w:val="none" w:sz="0" w:space="0" w:color="auto"/>
      </w:divBdr>
      <w:divsChild>
        <w:div w:id="492767015">
          <w:marLeft w:val="547"/>
          <w:marRight w:val="0"/>
          <w:marTop w:val="86"/>
          <w:marBottom w:val="0"/>
          <w:divBdr>
            <w:top w:val="none" w:sz="0" w:space="0" w:color="auto"/>
            <w:left w:val="none" w:sz="0" w:space="0" w:color="auto"/>
            <w:bottom w:val="none" w:sz="0" w:space="0" w:color="auto"/>
            <w:right w:val="none" w:sz="0" w:space="0" w:color="auto"/>
          </w:divBdr>
        </w:div>
        <w:div w:id="2028209162">
          <w:marLeft w:val="1166"/>
          <w:marRight w:val="0"/>
          <w:marTop w:val="86"/>
          <w:marBottom w:val="0"/>
          <w:divBdr>
            <w:top w:val="none" w:sz="0" w:space="0" w:color="auto"/>
            <w:left w:val="none" w:sz="0" w:space="0" w:color="auto"/>
            <w:bottom w:val="none" w:sz="0" w:space="0" w:color="auto"/>
            <w:right w:val="none" w:sz="0" w:space="0" w:color="auto"/>
          </w:divBdr>
        </w:div>
        <w:div w:id="264770256">
          <w:marLeft w:val="1166"/>
          <w:marRight w:val="0"/>
          <w:marTop w:val="86"/>
          <w:marBottom w:val="0"/>
          <w:divBdr>
            <w:top w:val="none" w:sz="0" w:space="0" w:color="auto"/>
            <w:left w:val="none" w:sz="0" w:space="0" w:color="auto"/>
            <w:bottom w:val="none" w:sz="0" w:space="0" w:color="auto"/>
            <w:right w:val="none" w:sz="0" w:space="0" w:color="auto"/>
          </w:divBdr>
        </w:div>
      </w:divsChild>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00675973">
      <w:bodyDiv w:val="1"/>
      <w:marLeft w:val="0"/>
      <w:marRight w:val="0"/>
      <w:marTop w:val="0"/>
      <w:marBottom w:val="0"/>
      <w:divBdr>
        <w:top w:val="none" w:sz="0" w:space="0" w:color="auto"/>
        <w:left w:val="none" w:sz="0" w:space="0" w:color="auto"/>
        <w:bottom w:val="none" w:sz="0" w:space="0" w:color="auto"/>
        <w:right w:val="none" w:sz="0" w:space="0" w:color="auto"/>
      </w:divBdr>
      <w:divsChild>
        <w:div w:id="192773620">
          <w:marLeft w:val="547"/>
          <w:marRight w:val="0"/>
          <w:marTop w:val="86"/>
          <w:marBottom w:val="0"/>
          <w:divBdr>
            <w:top w:val="none" w:sz="0" w:space="0" w:color="auto"/>
            <w:left w:val="none" w:sz="0" w:space="0" w:color="auto"/>
            <w:bottom w:val="none" w:sz="0" w:space="0" w:color="auto"/>
            <w:right w:val="none" w:sz="0" w:space="0" w:color="auto"/>
          </w:divBdr>
        </w:div>
        <w:div w:id="561916304">
          <w:marLeft w:val="1166"/>
          <w:marRight w:val="0"/>
          <w:marTop w:val="86"/>
          <w:marBottom w:val="0"/>
          <w:divBdr>
            <w:top w:val="none" w:sz="0" w:space="0" w:color="auto"/>
            <w:left w:val="none" w:sz="0" w:space="0" w:color="auto"/>
            <w:bottom w:val="none" w:sz="0" w:space="0" w:color="auto"/>
            <w:right w:val="none" w:sz="0" w:space="0" w:color="auto"/>
          </w:divBdr>
        </w:div>
        <w:div w:id="2089232129">
          <w:marLeft w:val="1166"/>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02962255">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 w:id="2118673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4-28_Lage_AG\Testzahlerfassung%20am%20RKI_2021-04-28_JS.pptx" TargetMode="External"/><Relationship Id="rId3" Type="http://schemas.openxmlformats.org/officeDocument/2006/relationships/styles" Target="styles.xml"/><Relationship Id="rId21" Type="http://schemas.openxmlformats.org/officeDocument/2006/relationships/hyperlink" Target="file:///S:\Wissdaten\RKI_nCoV-Lage\1.Lagemanagement\1.3.Besprechungen_TKs\1.Lage_AG\2021-04-28_Lage_AG\ZIG%202_Vaccination%20Rollout_Krisenstab_20210428_final.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4-28_Lage_AG\NRZ%20Influenzaviren%20Krisenstab%2027042021.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4-28_Lage_AG\syndrom-ARE-SARI-COVID_bis_KW16_2021_f&#252;r-Krisenstab.pptx" TargetMode="External"/><Relationship Id="rId20" Type="http://schemas.openxmlformats.org/officeDocument/2006/relationships/hyperlink" Target="file:///S:\Wissdaten\RKI_nCoV-Lage\1.Lagemanagement\1.3.Besprechungen_TKs\1.Lage_AG\2021-04-28_Lage_AG\Impfquoten_80+.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4-28_Lage_AG\2021-04-28_Intensivregister_SPoCK.ppt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4-28_Lage_AG\210428_SARS-CoV-2%20in%20ARS_Krisenstabssitzung_tE.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4-28_Lage_AG\Lage-National_2021-04-28.ppt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39502-B330-4E00-BE7D-4B67AEABD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2829</Words>
  <Characters>17828</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59</cp:revision>
  <dcterms:created xsi:type="dcterms:W3CDTF">2021-04-15T06:51:00Z</dcterms:created>
  <dcterms:modified xsi:type="dcterms:W3CDTF">2021-05-10T15:32:00Z</dcterms:modified>
</cp:coreProperties>
</file>