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16.06.2021,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Matthias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Andreas Hicketier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spacing w:after="0"/>
        <w:contextualSpacing w:val="0"/>
        <w:rPr>
          <w:sz w:val="22"/>
        </w:rPr>
      </w:pP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Heide </w:t>
      </w:r>
      <w:proofErr w:type="spellStart"/>
      <w:r>
        <w:rPr>
          <w:sz w:val="22"/>
        </w:rPr>
        <w:t>Ebrahimzadeh</w:t>
      </w:r>
      <w:proofErr w:type="spellEnd"/>
      <w:r>
        <w:rPr>
          <w:sz w:val="22"/>
        </w:rPr>
        <w:t>-Wetter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SurvNet übermittelt: 3.717.625 (+1.455), davon 90.074 (+137) Todesfälle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13/100.000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40.475.199 (48,7%), mit vollständiger Impfung 22.302.188 (26,8%)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Fälle nach Kalenderwoche des Erkrankungsbeginns, ersatzweise Meldewoche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deutlich stärker als zwischen 2. und 3. Welle.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7-Tages-Inzidenz der Bundesländer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Rückläufiger Trend in allen BL setzt sich weiter fort.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in Saarland und BW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noch 3 LK mit Inzidenz &gt; 50, alle im Süden von Deutschland.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Keine Fälle in den letzten 7 Tagen haben 10 LK übermittelt.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zur Vorwoche: Karte hellt sich weiter deutlich auf.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Inzidenzen bei 11-</w:t>
            </w:r>
            <w:proofErr w:type="gramStart"/>
            <w:r>
              <w:rPr>
                <w:sz w:val="22"/>
                <w:szCs w:val="22"/>
              </w:rPr>
              <w:t>14 Jährigen</w:t>
            </w:r>
            <w:proofErr w:type="gramEnd"/>
            <w:r>
              <w:rPr>
                <w:sz w:val="22"/>
                <w:szCs w:val="22"/>
              </w:rPr>
              <w:t xml:space="preserve">, gefolgt von 6-10 Jährigen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Niedrigste Inzidenzen bei 75-79 und 80-</w:t>
            </w:r>
            <w:proofErr w:type="gramStart"/>
            <w:r>
              <w:rPr>
                <w:sz w:val="22"/>
                <w:szCs w:val="22"/>
              </w:rPr>
              <w:t>84 Jährigen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Altersmedian COVID-Fälle, Hospitalisierte, ITS-Betreute, Todesfälle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Altersmedian der Hospitalisierten hat seit 2. Welle abgenommen.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Sterbefällen liegt der Altersmedian weiterhin bei ca. 80 Jahren.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den letzten Wochen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der 3. Welle hat der Anteil der übermittelten Todesfälle im Vergleich zur 2. Welle deutlich abgenommen.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Warum hat Brandenburg in der letzten Woche dreimal negative Zahlen übermittelt?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Brandenburg hat umfangreiche Qualitätskontrollen durchgeführt (wurde vorher angekündigt). Dabei wurden Doppelmeldungen wieder abgezogen.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Wieder weniger Testungen (knapp über 800.000), Positivenanteil weiter auf 2,3% gesunken.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Immer noch ca. 2 Mio. Testungen pro Woche möglich.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noch Empfehlung die Testkapazität weiterhin vorzuhalten.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Testzahlerfassung-VOC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Abfrage erfolgt nur noch alle 2 Wochen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AG-POCT in Einrichtungen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Testungen haben massiv abgenommen. Stationäre Pflege übermittelt weniger.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 Woche war kein Antigentest positiv.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Wunsch besteht nach Veröffentlichung eines letzten Artikels diese Abfrage einzustellen.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die Abfrage noch nötig, da sie einen großen Zeitaufwand erfordert?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Abfrage war sinnvoll, seit Wochen jedoch sehr viel weniger Übermittlungen.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POCT-Abfrage kann eingestellt werden, da weniger Einrichtungen testen und ihre Daten übermitteln. Dadurch ist die Abfrage weniger aussagekräftig. 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ARS-Daten</w:t>
            </w:r>
            <w:r>
              <w:rPr>
                <w:sz w:val="22"/>
                <w:szCs w:val="22"/>
              </w:rPr>
              <w:t xml:space="preserve"> 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BL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Deutlicher Rückgang bei Anzahl Testungen und Positivenanteil.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Dasselbe Bild wie in den letzten Wochen, &gt;</w:t>
            </w:r>
            <w:proofErr w:type="gramStart"/>
            <w:r>
              <w:rPr>
                <w:sz w:val="22"/>
                <w:szCs w:val="22"/>
              </w:rPr>
              <w:t>80 Jährige</w:t>
            </w:r>
            <w:proofErr w:type="gramEnd"/>
            <w:r>
              <w:rPr>
                <w:sz w:val="22"/>
                <w:szCs w:val="22"/>
              </w:rPr>
              <w:t xml:space="preserve"> haben die niedrigsten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>, Schüler die höchsten.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80+ Jährigen wird noch am häufigsten getestet.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Testungen nach Abnahmeort und Altersgruppe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Deutlicher Rückgang der durchgeführten Testungen in Arztpraxen, geringerer Rückgang in KH und anderen Einrichtungen.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60-79 und 80+ Jährigen Testentnahme in erster Linie in Krankenhäusern.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Altenheime und med. Einrichtungen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deutliche Abnahme in letzten Wochen.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GrippeWeb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KW 22 gestiegene ARE-Raten sind wieder gesunken, noch ca. 1.600 ARE/100.000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Konsultationsinzidenz im Vergleich zur Vorwoche angestiegen, in allen AG aber vor allem bei Kindern.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Höher als zur gleichen Zeit 2020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den meisten Altersgruppen positive Entwicklung.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sind SARI-Fallzahlen gestiegen.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KW 16 kontinuierlicher Rückgang des Anteils COVID an SARI-Fällen.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Kein weiterer Rückgang des Anteils COVID an SARI-Fällen mit Intensivbehandlung, aber Anteil weiter unter 50%.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Darstellung bis 23. KW: Anstieg in 22. KW setzt sich nicht fort, Fallzahlen gehen wieder zurück.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 Diskussion: Wie soll diese Grafik dargestellt werden?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 KW 22 oder bis KW 23 mit einem grauen Balken in KW 23, da sich die Daten evtl. noch auffüllen.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Darstellung mit grauem Balken in den Nachmelde</w:t>
            </w:r>
            <w:r>
              <w:rPr>
                <w:sz w:val="22"/>
                <w:szCs w:val="22"/>
              </w:rPr>
              <w:softHyphen/>
              <w:t>bereich hinein scheint sinnvoll, dann sollte aber auch bei Schulausbrüchen so verfahren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Üblicherweise werden graue Balken über die letzten 2 Wochen gelegt.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Fr. Buda bespricht mit Fr. Tolksdorf, ob ein grauer Balken über 1 oder 2 Wochen gelegt wird.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in Kindergärten, Horte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 weiter sehr positiv, Ausbruchsgröße zunehmend kleiner.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neue Ausbrüche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in Schulen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Vergleichbares Bild bei Schulen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neue Ausbrüche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Surveillance, NRZ Influenza-Daten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23: 101 Einsendungen aus 35 Praxen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der Einsendungen von &gt; </w:t>
            </w:r>
            <w:proofErr w:type="gramStart"/>
            <w:r>
              <w:rPr>
                <w:sz w:val="22"/>
                <w:szCs w:val="22"/>
              </w:rPr>
              <w:t>60 Jährigen</w:t>
            </w:r>
            <w:proofErr w:type="gramEnd"/>
            <w:r>
              <w:rPr>
                <w:sz w:val="22"/>
                <w:szCs w:val="22"/>
              </w:rPr>
              <w:t>, Anstieg bei 0-4 Jährigen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>: ca. 35%, fast auf normalem Niveau zu dieser Jahreszeit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Parainfluenzaviren: höchster Stand in diesem Jahr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SARS-CoV-2: keine Nachweise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Influenzaviren: keine Nachweise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Saisonale Coronaviren: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NL63: starker Rückgang, 10% Grenze unterschritten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OC43: nach wie vor &gt; 5%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Nachweise der anderen beiden Coronaviren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Delta-Variante in Deutschland, Stand und Modellierung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B.1.617.2 Delta-Variante wurde erstmalig in KW 11 nachgewiesen, seitdem 1.305 Fälle (ca. 3%) im IfSG und 1.125 Sequenzen (ca. 6%) im DESH.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KW 11 logarithmischer Anstieg der Variante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Fälle mit Exposition im Ausland weiterhin sehr gering, aber von vielen Fällen keine Angaben zum Expositionsort.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Expositionsort Ausland, dann wurde am häufigsten Indien und Italien genannt.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Hospitalisierungen ist bei Delta leicht höher als bei anderen Varianten.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Anteil von Delta bei Kindern, Jugendlichen und jungen Erwachsenen ist etwas höher als bei übrigen Altersgruppen.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Modellierung der Anteile von VOC in der 3.Welle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Von KW 11 bis 22, eine Extrapolation für eine oder zwei Wochen erscheint möglich.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wöchentlichen Fallzahlen nach Variante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von B.1.1.7 am stärksten, da dominante Variante.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wöchentlichen Anteile nach Variante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von B.1.1.7 ist relativ konstant.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von Nicht-VOC leicht rückläufig.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von Delta steigt an.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wöchentlichen Anteile (logarithmisch)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B.1.617.2 steigt noch leicht, Daten aus KW 23 sind noch nicht eingegangen.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steigender, wenn auch geringer Anteil von P1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wöchentlichen Fallzahlen (logarithmisch)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von B.1.1.7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Delta verhält sich relativ stabil.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Entwicklung hängt von Maßnahmen und Impfungen ab.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 Publikation der Modellierung noch mind. eine Woche warten. Trend ist noch nicht absehbar.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Relativer Anteil der Delta-Variante steigt, bei Unvorsichtigkeit könnten Fallzahlen wieder steigen.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VOC-Bericht schreiben, dass Delta-Variante </w:t>
            </w:r>
            <w:proofErr w:type="gramStart"/>
            <w:r>
              <w:rPr>
                <w:sz w:val="22"/>
                <w:szCs w:val="22"/>
              </w:rPr>
              <w:t>zunimmt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Zahlen zum DIVI-Intensivregister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color w:val="D99594" w:themeColor="accent2" w:themeTint="9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COVID-19-Intensivpflichtige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1.136 Patienten werden noch behandelt.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starker Rückgang der Todeszahlen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 der Intensivmedizin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 des Rückgangs setzt sich in allen BL fort, nur in SH Stagnation.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Mittlerweile 4 BL in Stufe 1 und 7 BL in Stufe 2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Altersstruktur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 von 1.070 Patienten (88%) übermittelt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Median weiterhin bei 60-</w:t>
            </w:r>
            <w:proofErr w:type="gramStart"/>
            <w:r>
              <w:rPr>
                <w:sz w:val="22"/>
                <w:szCs w:val="22"/>
              </w:rPr>
              <w:t>69 Jährigen</w:t>
            </w:r>
            <w:proofErr w:type="gram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bei 80+ Jährigen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Zunahme des prozentualen Anteils bei 50-</w:t>
            </w:r>
            <w:proofErr w:type="gramStart"/>
            <w:r>
              <w:rPr>
                <w:sz w:val="22"/>
                <w:szCs w:val="22"/>
              </w:rPr>
              <w:t>59 Jährigen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Belegung und Belastung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Starker Rückgang in Belegung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Entspannung bei Betriebssituation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Prognosen intensivpflichtiger COVID-19 Patient*innen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Rückläufiger Trend in allen Kleeblättern prognostiziert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Ergänzung aus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 xml:space="preserve">: von vielen BL Ausbrüche mit Delta-Variante ohne Reiseanamnese geschildert.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sind aufgrund von niedrigen Fallzahlen wieder leichter nachzuverfolgen.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Starker Wunsch nach Deeskalation der Maßnahmen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in Pflegeheimen besteht der Wunsch auf Testen zu verzichten.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Wann wird Infektionsschutz wieder in die Hände der Menschen gelegt?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wir in der Basisstufe sind.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Beibehaltung von Maßnahmen bis alle ein Impf</w:t>
            </w:r>
            <w:r>
              <w:rPr>
                <w:sz w:val="22"/>
                <w:szCs w:val="22"/>
              </w:rPr>
              <w:softHyphen/>
              <w:t xml:space="preserve">angebot bekommen haben. 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-&gt;</w:t>
            </w:r>
            <w:r>
              <w:rPr>
                <w:sz w:val="22"/>
                <w:szCs w:val="22"/>
              </w:rPr>
              <w:t xml:space="preserve"> Verweis auf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mit Deeskalationsstufen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Wunsch von Diagnostikseite noch nicht </w:t>
            </w:r>
            <w:proofErr w:type="spellStart"/>
            <w:r>
              <w:rPr>
                <w:sz w:val="22"/>
                <w:szCs w:val="22"/>
              </w:rPr>
              <w:t>impfbare</w:t>
            </w:r>
            <w:proofErr w:type="spellEnd"/>
            <w:r>
              <w:rPr>
                <w:sz w:val="22"/>
                <w:szCs w:val="22"/>
              </w:rPr>
              <w:t xml:space="preserve"> Kinder mit PCR-Pooltests zu screenen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Empfehlung sollte nochmal zu Pa</w:t>
            </w:r>
            <w:bookmarkStart w:id="0" w:name="_GoBack"/>
            <w:bookmarkEnd w:id="0"/>
            <w:r>
              <w:rPr>
                <w:sz w:val="22"/>
                <w:szCs w:val="22"/>
              </w:rPr>
              <w:t>pier gebracht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Veröffentlichung in Teststrategie, wenn sich BMG überzeugen lässt.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Kritik an PCR-Pooltests in AGI (v.a. aus SH): Ergebnisse kommen zu spät für Maßnahmen, sind teurer als Antigenteste, lieber Primärprävention durch Masken.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Kritik nicht nachvollziehbar. Ergebnis kommt taggleich, bei Einzelnachtestung des Pools am Folgetag. Ab einer Poolgröße von 15 ist der Preis günstiger als Antigentests.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 </w:t>
            </w:r>
            <w:proofErr w:type="spellStart"/>
            <w:r>
              <w:rPr>
                <w:sz w:val="22"/>
                <w:szCs w:val="22"/>
              </w:rPr>
              <w:t>Entweder-Oder</w:t>
            </w:r>
            <w:proofErr w:type="spellEnd"/>
            <w:r>
              <w:rPr>
                <w:sz w:val="22"/>
                <w:szCs w:val="22"/>
              </w:rPr>
              <w:t>, weiter Primärprävention + Testen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als Kasten im </w:t>
            </w:r>
            <w:proofErr w:type="spellStart"/>
            <w:r>
              <w:rPr>
                <w:i/>
                <w:sz w:val="22"/>
                <w:szCs w:val="22"/>
              </w:rPr>
              <w:t>EpiBull</w:t>
            </w:r>
            <w:proofErr w:type="spellEnd"/>
            <w:r>
              <w:rPr>
                <w:i/>
                <w:sz w:val="22"/>
                <w:szCs w:val="22"/>
              </w:rPr>
              <w:t xml:space="preserve"> aufnehmen, </w:t>
            </w:r>
            <w:r>
              <w:rPr>
                <w:i/>
                <w:sz w:val="22"/>
                <w:szCs w:val="22"/>
                <w:highlight w:val="yellow"/>
              </w:rPr>
              <w:t>FF Seifried?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sym w:font="Wingdings" w:char="F0E0"/>
            </w:r>
            <w:r>
              <w:rPr>
                <w:i/>
                <w:sz w:val="22"/>
                <w:szCs w:val="22"/>
              </w:rPr>
              <w:t xml:space="preserve"> ID 3807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(Seifried)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(Abu Sin)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(an der Heiden)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Rexroth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Seifried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für neue Risikobewertung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gestern veröffentlicht.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Woche wird wieder diskutiert, ob </w:t>
            </w:r>
            <w:proofErr w:type="spellStart"/>
            <w:r>
              <w:rPr>
                <w:sz w:val="22"/>
                <w:szCs w:val="22"/>
              </w:rPr>
              <w:t>community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  <w:r>
              <w:rPr>
                <w:sz w:val="22"/>
                <w:szCs w:val="22"/>
              </w:rPr>
              <w:t xml:space="preserve"> noch zutrifft und ob die Gefährdung auf „mäßig“ geändert werden soll.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AGI herrscht Haltung vor, dass jetzt schon ein niedrigeres Risiko besteht. </w:t>
            </w:r>
          </w:p>
          <w:p>
            <w:pPr>
              <w:ind w:left="25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Beitrag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Beitrag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Social</w:t>
            </w:r>
            <w:proofErr w:type="spellEnd"/>
            <w:r>
              <w:rPr>
                <w:sz w:val="22"/>
                <w:szCs w:val="22"/>
              </w:rPr>
              <w:t xml:space="preserve"> Cards zu Reisen werden vorbereitet.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MNB/MNS, siehe z.B. Anfrage BMG zum Tragen von Masken in öffentlichen Verkehrsmitteln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Mehrere Politiker haben die Abschaffung der Maskenpflicht in den Raum gestellt.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Schreiben ans BMG: Basismaßnahmen einschließlich MNS sollen beibehalten werden, bis alle die Gelegenheit hatten sich impfen zu lassen.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Innenräumen wird weiterhin empfohlen Masken zu tragen. Dies sollte aktiver kommuniziert werden. Wie kann das gut begleitet werden?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Klare Festlegung auf medizinischen Mund-Nasenschutz, keine Empfehlung von FFP2 oder Mund-Nasenbedeckung.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in FAQ Mund-Nasenbedeckung durch medizinischen Mund-Nasenschutz ersetzen, FF FG14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Empfehlung, dass verwundbare Menschen sich durch FFP2-Masken selbst schützen sollen, ist nicht zielführend, da diese oft keine FFP2 Masken tragen können. Hier ist Solidarität gefragt. Eine gezielte Ansprache von jungen Menschen sollte stattfinden.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Pressestelle und P1 sollen Kernbotschaften so kommunizieren, dass sie stärker wahrgenommen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Kommunikation bei Fußball-EM: Bei Zusammenkünften sind Masken wichtig.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P1 ist ein Flyer in Arbeit: Wie komme ich sicher durch den Sommer? Solidargedanke steht im Vordergrund.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Maske vor allem drinnen und auch draußen, wenn kein Abstand eingehalten werden kann.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Wird Bestandteil in nächster BPK sein. Es wäre gut, wenn die Pressestelle bis Freitag etwas Schriftliches hätte.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Pressestelle schaut sich die entsprechende FAQ an.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FAQ, Flyer, Tweets und Beiträge auf Instagram nach BPK sind in Vorbereitung.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aus Bayern: LGL macht intensivierte Surveillance und hat um Mithilfe gebeten. Hat Herdkennung dafür angelegt.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 (Leuker)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Brunke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Leuker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Rexroth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AGI nächste Woche sollen Strategien diskutiert werden.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Wann endet die Pandemie?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Mindestvoraussetzung: wenn alle ein Impfangebot erhalten haben.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am Freitag diskutiert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Abwarten</w:t>
            </w:r>
            <w:proofErr w:type="gramEnd"/>
            <w:r>
              <w:rPr>
                <w:sz w:val="22"/>
                <w:szCs w:val="22"/>
              </w:rPr>
              <w:t xml:space="preserve"> des Winters sinnvoll.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Papier: Perspektive Herbst Winter ist in Arbeit, wie ist der Stand?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Morgen früh finale Abstimmung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Papier wurde vom Ministerium bestellt und soll anschließend in einer Expertenrunde im BMG diskutiert werden.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Papier sollte Grundlage für Diskussion mit Ländern sein, sollte den Ländern aber noch nicht nächste Woche zur Verfügung gestellt werden.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lastRenderedPageBreak/>
              <w:t>ToDo</w:t>
            </w:r>
            <w:proofErr w:type="spellEnd"/>
            <w:r>
              <w:rPr>
                <w:i/>
                <w:sz w:val="22"/>
                <w:szCs w:val="22"/>
              </w:rPr>
              <w:t>: Mitglieder der internen Arbeitsgruppe sollen nächste Woche an AGI teilnehmen.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/ FG17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Krankenhäuser fragen an, ab wann sie lockern können.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Antwort: Können noch keinen Zeitpunkt nennen.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alle die Gelegenheit zur Impfung hatten? Reicht das aus um alle Maßnahmen zu lockern?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Sehr heterogenes Verhalten in KH, was Screening von Personal angeht.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FG37 sieht sich alle Dokumente hierzu nochmal an.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500. Lagebericht wurde vor einer Woche veröffentlicht. (Folie zu Kennzahlen zum RKI-Krisenmanagement </w:t>
            </w:r>
            <w:hyperlink r:id="rId1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Internationaler Daten- und Informationsaustausch könnte über den Sommer noch deutlich zunehmen.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 einem Jahr wurde ein Zwischenbericht geschrieben. Soll ein 2. Zwischenbericht geschrieben oder auf den Schlussbericht gewartet werden?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Für Hr. Wieler wurde vor kurzem eine Übersichts</w:t>
            </w:r>
            <w:r>
              <w:rPr>
                <w:sz w:val="22"/>
                <w:szCs w:val="22"/>
              </w:rPr>
              <w:softHyphen/>
              <w:t>präsentation erstellt.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Zwischenbericht haben sehr viele Leuten mitgearbeitet.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ist keine Entspannung im Lagezentrum. Anpassungen sind überall nötig und demnächst beginnt die Urlaubszeit.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keine Kapazitäten für einen Zwischenbericht vorhanden.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Woche ist die letzte Sitzungswoche vor der Sommerpause im Bundestag, evtl. Entspannung danach?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3 Wochen soll nochmal überlegt werden, ob ein Zwischenbericht untergebracht werden kann.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18.06.2021,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12:20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5"/>
  </w:num>
  <w:num w:numId="10">
    <w:abstractNumId w:val="28"/>
  </w:num>
  <w:num w:numId="11">
    <w:abstractNumId w:val="23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6"/>
  </w:num>
  <w:num w:numId="19">
    <w:abstractNumId w:val="10"/>
  </w:num>
  <w:num w:numId="20">
    <w:abstractNumId w:val="25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2"/>
  </w:num>
  <w:num w:numId="28">
    <w:abstractNumId w:val="27"/>
  </w:num>
  <w:num w:numId="2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20210615_SARS-CoV-2%20in%20ARS_Krisenstabssitzung.pptx" TargetMode="External"/><Relationship Id="rId18" Type="http://schemas.openxmlformats.org/officeDocument/2006/relationships/hyperlink" Target="Kennzahlen%20zum%20RKI-Krisenmagament%20zu%20COVID-19.ppt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Testzahlerfassung%20am%20RKI_2021-06-16_SB.pptx" TargetMode="External"/><Relationship Id="rId17" Type="http://schemas.openxmlformats.org/officeDocument/2006/relationships/hyperlink" Target="2021-06-16_Intensivregister_SPoCK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Delta-Variante_2021-KW24.ppt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geNational_2021-06-15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RZ%20Influenzaviren%20Krisenstab%2016062021.pptx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syndrom-ARE-SARI-COVID_bis_KW23_2021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0813B-A333-4DAA-8B27-B079D3C7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2052</Words>
  <Characters>12934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Lehfeld, Ann-Sophie</cp:lastModifiedBy>
  <cp:revision>41</cp:revision>
  <cp:lastPrinted>2020-05-06T16:43:00Z</cp:lastPrinted>
  <dcterms:created xsi:type="dcterms:W3CDTF">2021-06-16T11:10:00Z</dcterms:created>
  <dcterms:modified xsi:type="dcterms:W3CDTF">2021-06-16T15:35:00Z</dcterms:modified>
</cp:coreProperties>
</file>