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23.07.2021,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Janna Seifried</w:t>
      </w:r>
    </w:p>
    <w:p>
      <w:pPr>
        <w:pStyle w:val="Listenabsatz"/>
        <w:numPr>
          <w:ilvl w:val="1"/>
          <w:numId w:val="2"/>
        </w:numPr>
        <w:spacing w:after="0"/>
        <w:contextualSpacing w:val="0"/>
        <w:rPr>
          <w:sz w:val="22"/>
          <w:szCs w:val="22"/>
        </w:rPr>
      </w:pPr>
      <w:r>
        <w:rPr>
          <w:sz w:val="22"/>
          <w:szCs w:val="22"/>
        </w:rPr>
        <w:t>Nadine Litzba</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0"/>
          <w:numId w:val="2"/>
        </w:numPr>
        <w:spacing w:after="0"/>
        <w:contextualSpacing w:val="0"/>
        <w:rPr>
          <w:sz w:val="22"/>
          <w:szCs w:val="22"/>
        </w:rPr>
      </w:pPr>
      <w:r>
        <w:rPr>
          <w:sz w:val="22"/>
          <w:szCs w:val="22"/>
        </w:rPr>
        <w:t>FG21</w:t>
      </w:r>
    </w:p>
    <w:p>
      <w:pPr>
        <w:pStyle w:val="Listenabsatz"/>
        <w:numPr>
          <w:ilvl w:val="1"/>
          <w:numId w:val="2"/>
        </w:numPr>
        <w:spacing w:after="0"/>
        <w:contextualSpacing w:val="0"/>
        <w:rPr>
          <w:sz w:val="22"/>
          <w:szCs w:val="22"/>
        </w:rPr>
      </w:pPr>
      <w:r>
        <w:rPr>
          <w:sz w:val="22"/>
          <w:szCs w:val="22"/>
        </w:rPr>
        <w:t xml:space="preserve">Patrick </w:t>
      </w:r>
      <w:proofErr w:type="spellStart"/>
      <w:r>
        <w:rPr>
          <w:sz w:val="22"/>
          <w:szCs w:val="22"/>
        </w:rPr>
        <w:t>Schmich</w:t>
      </w:r>
      <w:proofErr w:type="spellEnd"/>
    </w:p>
    <w:p>
      <w:pPr>
        <w:pStyle w:val="Listenabsatz"/>
        <w:numPr>
          <w:ilvl w:val="0"/>
          <w:numId w:val="2"/>
        </w:numPr>
        <w:spacing w:after="0"/>
        <w:contextualSpacing w:val="0"/>
        <w:rPr>
          <w:sz w:val="22"/>
          <w:szCs w:val="22"/>
        </w:rPr>
      </w:pPr>
      <w:r>
        <w:rPr>
          <w:sz w:val="22"/>
          <w:szCs w:val="22"/>
        </w:rPr>
        <w:t>FG24</w:t>
      </w:r>
    </w:p>
    <w:p>
      <w:pPr>
        <w:pStyle w:val="Listenabsatz"/>
        <w:numPr>
          <w:ilvl w:val="1"/>
          <w:numId w:val="2"/>
        </w:numPr>
        <w:spacing w:after="0"/>
        <w:contextualSpacing w:val="0"/>
        <w:rPr>
          <w:sz w:val="22"/>
          <w:szCs w:val="22"/>
        </w:rPr>
      </w:pPr>
      <w:r>
        <w:rPr>
          <w:sz w:val="22"/>
          <w:szCs w:val="22"/>
        </w:rPr>
        <w:t xml:space="preserve">Thomas </w:t>
      </w:r>
      <w:proofErr w:type="spellStart"/>
      <w:r>
        <w:rPr>
          <w:sz w:val="22"/>
          <w:szCs w:val="22"/>
        </w:rPr>
        <w:t>Ziese</w:t>
      </w:r>
      <w:proofErr w:type="spellEnd"/>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rPr>
      </w:pPr>
      <w:r>
        <w:rPr>
          <w:sz w:val="22"/>
        </w:rPr>
        <w:t>Claudia Sievers</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Thomas Harder</w:t>
      </w:r>
    </w:p>
    <w:p>
      <w:pPr>
        <w:pStyle w:val="Listenabsatz"/>
        <w:numPr>
          <w:ilvl w:val="0"/>
          <w:numId w:val="2"/>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spacing w:after="0"/>
        <w:rPr>
          <w:sz w:val="22"/>
          <w:szCs w:val="22"/>
        </w:rPr>
      </w:pP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Sebastian Haller</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Janine Michel</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Anna Rohde</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Martin Dietrich</w:t>
      </w:r>
    </w:p>
    <w:p>
      <w:pPr>
        <w:pStyle w:val="Listenabsatz"/>
        <w:numPr>
          <w:ilvl w:val="0"/>
          <w:numId w:val="2"/>
        </w:numPr>
        <w:spacing w:after="0"/>
        <w:contextualSpacing w:val="0"/>
        <w:rPr>
          <w:sz w:val="22"/>
          <w:szCs w:val="22"/>
        </w:rPr>
      </w:pPr>
      <w:r>
        <w:rPr>
          <w:sz w:val="22"/>
          <w:szCs w:val="22"/>
        </w:rPr>
        <w:t>MF3</w:t>
      </w:r>
    </w:p>
    <w:p>
      <w:pPr>
        <w:pStyle w:val="Listenabsatz"/>
        <w:numPr>
          <w:ilvl w:val="1"/>
          <w:numId w:val="2"/>
        </w:numPr>
        <w:spacing w:after="0"/>
        <w:contextualSpacing w:val="0"/>
        <w:rPr>
          <w:sz w:val="22"/>
          <w:szCs w:val="22"/>
        </w:rPr>
      </w:pPr>
      <w:r>
        <w:rPr>
          <w:sz w:val="22"/>
          <w:szCs w:val="22"/>
        </w:rPr>
        <w:t>Nancy Erickson (Protokoll)</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b/>
                <w:i/>
                <w:color w:val="8DB3E2" w:themeColor="text2" w:themeTint="66"/>
                <w:sz w:val="22"/>
                <w:szCs w:val="22"/>
              </w:rPr>
            </w:pPr>
            <w:r>
              <w:rPr>
                <w:rStyle w:val="2Zchn"/>
                <w:sz w:val="22"/>
                <w:szCs w:val="22"/>
              </w:rPr>
              <w:t>International</w:t>
            </w:r>
            <w:r>
              <w:rPr>
                <w:b/>
                <w:sz w:val="22"/>
                <w:szCs w:val="22"/>
              </w:rPr>
              <w:t xml:space="preserve"> </w:t>
            </w:r>
            <w:r>
              <w:rPr>
                <w:rStyle w:val="TagFrZchn"/>
              </w:rPr>
              <w:t>(nur freitags)</w:t>
            </w:r>
          </w:p>
          <w:p>
            <w:pPr>
              <w:pStyle w:val="Liste1"/>
              <w:numPr>
                <w:ilvl w:val="0"/>
                <w:numId w:val="16"/>
              </w:numPr>
            </w:pPr>
            <w:r>
              <w:t xml:space="preserve">Datenstand: WHO, 22.07.2021, Folien </w:t>
            </w:r>
            <w:hyperlink r:id="rId14" w:history="1">
              <w:r>
                <w:rPr>
                  <w:rStyle w:val="Hyperlink"/>
                </w:rPr>
                <w:t>hier</w:t>
              </w:r>
            </w:hyperlink>
            <w:r>
              <w:t xml:space="preserve"> </w:t>
            </w:r>
          </w:p>
          <w:p>
            <w:pPr>
              <w:pStyle w:val="Liste2"/>
              <w:numPr>
                <w:ilvl w:val="0"/>
                <w:numId w:val="16"/>
              </w:numPr>
              <w:rPr>
                <w:lang w:val="de-DE"/>
              </w:rPr>
            </w:pPr>
            <w:r>
              <w:rPr>
                <w:lang w:val="de-DE"/>
              </w:rPr>
              <w:t>191.773.590 Fälle (+ 8,3 % im Vergleich zu Vorwoche)</w:t>
            </w:r>
          </w:p>
          <w:p>
            <w:pPr>
              <w:pStyle w:val="Liste1"/>
              <w:numPr>
                <w:ilvl w:val="0"/>
                <w:numId w:val="16"/>
              </w:numPr>
            </w:pPr>
            <w:r>
              <w:t>4.127.963 Todesfälle (2,2 %)</w:t>
            </w:r>
          </w:p>
          <w:p>
            <w:pPr>
              <w:pStyle w:val="Liste1"/>
              <w:numPr>
                <w:ilvl w:val="0"/>
                <w:numId w:val="16"/>
              </w:numPr>
            </w:pPr>
            <w:r>
              <w:t xml:space="preserve">Liste Top 10 Länder nach neuen Fällen: </w:t>
            </w:r>
          </w:p>
          <w:p>
            <w:pPr>
              <w:pStyle w:val="Liste2"/>
              <w:numPr>
                <w:ilvl w:val="1"/>
                <w:numId w:val="16"/>
              </w:numPr>
              <w:rPr>
                <w:lang w:val="de-DE"/>
              </w:rPr>
            </w:pPr>
            <w:r>
              <w:rPr>
                <w:lang w:val="de-DE"/>
              </w:rPr>
              <w:t xml:space="preserve">Platz 1 - UK: aktuelle Inzidenz von ca. 486/100.000 </w:t>
            </w:r>
            <w:proofErr w:type="spellStart"/>
            <w:r>
              <w:rPr>
                <w:lang w:val="de-DE"/>
              </w:rPr>
              <w:t>Einw</w:t>
            </w:r>
            <w:proofErr w:type="spellEnd"/>
            <w:r>
              <w:rPr>
                <w:lang w:val="de-DE"/>
              </w:rPr>
              <w:t>., Anstieg auch weiterhin, derzeit um 36 % im Vgl. zu Vorwoche</w:t>
            </w:r>
          </w:p>
          <w:p>
            <w:pPr>
              <w:pStyle w:val="Liste2"/>
              <w:numPr>
                <w:ilvl w:val="1"/>
                <w:numId w:val="16"/>
              </w:numPr>
              <w:rPr>
                <w:lang w:val="de-DE"/>
              </w:rPr>
            </w:pPr>
            <w:r>
              <w:rPr>
                <w:lang w:val="de-DE"/>
              </w:rPr>
              <w:t>Platz 2 - Indonesien: derzeit stagnierende Inzidenz</w:t>
            </w:r>
          </w:p>
          <w:p>
            <w:pPr>
              <w:pStyle w:val="Liste2"/>
              <w:numPr>
                <w:ilvl w:val="1"/>
                <w:numId w:val="16"/>
              </w:numPr>
              <w:rPr>
                <w:lang w:val="de-DE"/>
              </w:rPr>
            </w:pPr>
            <w:r>
              <w:rPr>
                <w:lang w:val="de-DE"/>
              </w:rPr>
              <w:t>Platz 3 - USA: Anstieg der Inzidenz um 54,2 % im Vgl. zur Vorwoche</w:t>
            </w:r>
          </w:p>
          <w:p>
            <w:pPr>
              <w:pStyle w:val="Liste2"/>
              <w:numPr>
                <w:ilvl w:val="1"/>
                <w:numId w:val="16"/>
              </w:numPr>
              <w:rPr>
                <w:lang w:val="de-DE"/>
              </w:rPr>
            </w:pPr>
            <w:r>
              <w:rPr>
                <w:lang w:val="de-DE"/>
              </w:rPr>
              <w:t>Steigende Inzidenzen ebenfalls im Iran (+ 19,7 %)</w:t>
            </w:r>
          </w:p>
          <w:p>
            <w:pPr>
              <w:pStyle w:val="Liste2"/>
              <w:numPr>
                <w:ilvl w:val="1"/>
                <w:numId w:val="16"/>
              </w:numPr>
              <w:rPr>
                <w:lang w:val="de-DE"/>
              </w:rPr>
            </w:pPr>
            <w:r>
              <w:rPr>
                <w:lang w:val="de-DE"/>
              </w:rPr>
              <w:t xml:space="preserve">In Spanien geringerer Anstieg (+ 4,8 %) der Inzidenz als in den Vorwochen, wird </w:t>
            </w:r>
            <w:proofErr w:type="spellStart"/>
            <w:r>
              <w:rPr>
                <w:lang w:val="de-DE"/>
              </w:rPr>
              <w:t>voraussichtl</w:t>
            </w:r>
            <w:proofErr w:type="spellEnd"/>
            <w:r>
              <w:rPr>
                <w:lang w:val="de-DE"/>
              </w:rPr>
              <w:t xml:space="preserve">. zum Hochrisikogebiet erklärt trotz vergleichsweise starker Durchimpfung </w:t>
            </w:r>
          </w:p>
          <w:p>
            <w:pPr>
              <w:pStyle w:val="Liste1"/>
              <w:numPr>
                <w:ilvl w:val="0"/>
                <w:numId w:val="16"/>
              </w:numPr>
            </w:pPr>
            <w:r>
              <w:t xml:space="preserve">7-Tages-Inzidenz pro 100.000 </w:t>
            </w:r>
            <w:proofErr w:type="spellStart"/>
            <w:r>
              <w:t>Einw</w:t>
            </w:r>
            <w:proofErr w:type="spellEnd"/>
            <w:r>
              <w:t>. weltweit nahezu unverändert</w:t>
            </w:r>
          </w:p>
          <w:p>
            <w:pPr>
              <w:pStyle w:val="Liste1"/>
              <w:numPr>
                <w:ilvl w:val="0"/>
                <w:numId w:val="16"/>
              </w:numPr>
            </w:pPr>
            <w:r>
              <w:t xml:space="preserve">Fall- und Todeszahlen weltweit (WHO </w:t>
            </w:r>
            <w:proofErr w:type="spellStart"/>
            <w:r>
              <w:t>SitRep</w:t>
            </w:r>
            <w:proofErr w:type="spellEnd"/>
            <w:r>
              <w:t xml:space="preserve">, 20.07.2021): </w:t>
            </w:r>
          </w:p>
          <w:p>
            <w:pPr>
              <w:pStyle w:val="Liste2"/>
              <w:numPr>
                <w:ilvl w:val="1"/>
                <w:numId w:val="16"/>
              </w:numPr>
              <w:rPr>
                <w:lang w:val="de-DE"/>
              </w:rPr>
            </w:pPr>
            <w:r>
              <w:rPr>
                <w:lang w:val="de-DE"/>
              </w:rPr>
              <w:t xml:space="preserve">Weltweite Fallzahlen derzeit weiter steigend </w:t>
            </w:r>
          </w:p>
          <w:p>
            <w:pPr>
              <w:pStyle w:val="Liste2"/>
              <w:numPr>
                <w:ilvl w:val="1"/>
                <w:numId w:val="16"/>
              </w:numPr>
              <w:rPr>
                <w:lang w:val="de-DE"/>
              </w:rPr>
            </w:pPr>
            <w:r>
              <w:rPr>
                <w:lang w:val="de-DE"/>
              </w:rPr>
              <w:t>Trend der letzten 5 Wochen setzt sich fort</w:t>
            </w:r>
          </w:p>
          <w:p>
            <w:pPr>
              <w:pStyle w:val="Liste2"/>
              <w:numPr>
                <w:ilvl w:val="1"/>
                <w:numId w:val="16"/>
              </w:numPr>
              <w:rPr>
                <w:lang w:val="de-DE"/>
              </w:rPr>
            </w:pPr>
            <w:r>
              <w:rPr>
                <w:lang w:val="de-DE"/>
              </w:rPr>
              <w:t>Fallzahlen der letzten 7 Tage verteilen sich relativ gleichmäßig, stärkste Steigerung in Europa mit 21 % und Western Pacific mit 30 %</w:t>
            </w:r>
          </w:p>
          <w:p>
            <w:pPr>
              <w:pStyle w:val="Liste2"/>
              <w:numPr>
                <w:ilvl w:val="1"/>
                <w:numId w:val="16"/>
              </w:numPr>
              <w:rPr>
                <w:lang w:val="de-DE"/>
              </w:rPr>
            </w:pPr>
            <w:r>
              <w:rPr>
                <w:lang w:val="de-DE"/>
              </w:rPr>
              <w:t xml:space="preserve">Höchste Todesfallzahlen der letzten 7 Tage in amerikanischen Ländern (derzeit 39 %) </w:t>
            </w:r>
          </w:p>
          <w:p>
            <w:pPr>
              <w:pStyle w:val="Liste2"/>
              <w:numPr>
                <w:ilvl w:val="0"/>
                <w:numId w:val="16"/>
              </w:numPr>
              <w:rPr>
                <w:lang w:val="de-DE"/>
              </w:rPr>
            </w:pPr>
            <w:r>
              <w:rPr>
                <w:lang w:val="de-DE"/>
              </w:rPr>
              <w:t>COVID-19/ Niederlande / Hospitalisierung / Alter</w:t>
            </w:r>
          </w:p>
          <w:p>
            <w:pPr>
              <w:pStyle w:val="Listenabsatz"/>
              <w:numPr>
                <w:ilvl w:val="1"/>
                <w:numId w:val="16"/>
              </w:numPr>
              <w:rPr>
                <w:sz w:val="22"/>
                <w:szCs w:val="22"/>
              </w:rPr>
            </w:pPr>
            <w:r>
              <w:rPr>
                <w:sz w:val="22"/>
                <w:szCs w:val="22"/>
              </w:rPr>
              <w:t xml:space="preserve">Krankenhausaufnahmen nach Altersgruppe (AG) und Zeit: ansteigender Trend der allgemeinen Krankenhausaufnahmen in allen AG außer bei den &lt; 20-Jährigen, höchster Anstieg in der AG der Hochaltrigen </w:t>
            </w:r>
          </w:p>
          <w:p>
            <w:pPr>
              <w:pStyle w:val="Liste2"/>
              <w:numPr>
                <w:ilvl w:val="1"/>
                <w:numId w:val="16"/>
              </w:numPr>
              <w:rPr>
                <w:lang w:val="de-DE"/>
              </w:rPr>
            </w:pPr>
            <w:r>
              <w:rPr>
                <w:lang w:val="de-DE"/>
              </w:rPr>
              <w:t>ITS-Aufnahmen nach AG und Zeit: erneut langsam ansteigend, hier vor allem in der AG der 40 – 49 und 30-39-Jährigen (</w:t>
            </w:r>
            <w:r>
              <w:rPr>
                <w:lang w:val="de-DE"/>
              </w:rPr>
              <w:t>nicht in der AG der Hochaltrigen</w:t>
            </w:r>
            <w:r>
              <w:rPr>
                <w:lang w:val="de-DE"/>
              </w:rPr>
              <w:t>)</w:t>
            </w:r>
            <w:r>
              <w:rPr>
                <w:lang w:val="de-DE"/>
              </w:rPr>
              <w:t xml:space="preserve">, </w:t>
            </w:r>
            <w:r>
              <w:rPr>
                <w:lang w:val="de-DE"/>
              </w:rPr>
              <w:t>weiter zu beobachten</w:t>
            </w:r>
          </w:p>
          <w:p>
            <w:pPr>
              <w:pStyle w:val="Liste2"/>
              <w:numPr>
                <w:ilvl w:val="0"/>
                <w:numId w:val="16"/>
              </w:numPr>
              <w:rPr>
                <w:lang w:val="en-US"/>
              </w:rPr>
            </w:pPr>
            <w:r>
              <w:rPr>
                <w:lang w:val="en-US"/>
              </w:rPr>
              <w:t xml:space="preserve">COVID-19/ Portugal / </w:t>
            </w:r>
            <w:proofErr w:type="spellStart"/>
            <w:r>
              <w:rPr>
                <w:lang w:val="en-US"/>
              </w:rPr>
              <w:t>Hospitalisierung</w:t>
            </w:r>
            <w:proofErr w:type="spellEnd"/>
            <w:r>
              <w:rPr>
                <w:lang w:val="en-US"/>
              </w:rPr>
              <w:t xml:space="preserve"> / Alter</w:t>
            </w:r>
          </w:p>
          <w:p>
            <w:pPr>
              <w:pStyle w:val="Liste2"/>
              <w:numPr>
                <w:ilvl w:val="1"/>
                <w:numId w:val="16"/>
              </w:numPr>
              <w:rPr>
                <w:lang w:val="de-DE"/>
              </w:rPr>
            </w:pPr>
            <w:r>
              <w:rPr>
                <w:lang w:val="de-DE"/>
              </w:rPr>
              <w:t>Höchster Anteil an allgemeinen Krankenhausaufnahmen (GW – General Wards) in der AG der &gt; 80-Jährigen (22,4 %), höchster Aufnahmeanteil bei ITS allerdings AG der 40-49-Jährigen (30,4 %)</w:t>
            </w:r>
          </w:p>
          <w:p>
            <w:pPr>
              <w:pStyle w:val="Liste2"/>
              <w:numPr>
                <w:ilvl w:val="1"/>
                <w:numId w:val="16"/>
              </w:numPr>
              <w:rPr>
                <w:lang w:val="en-US"/>
              </w:rPr>
            </w:pPr>
            <w:proofErr w:type="spellStart"/>
            <w:r>
              <w:rPr>
                <w:lang w:val="en-US"/>
              </w:rPr>
              <w:t>Fälle</w:t>
            </w:r>
            <w:proofErr w:type="spellEnd"/>
            <w:r>
              <w:rPr>
                <w:lang w:val="en-US"/>
              </w:rPr>
              <w:t xml:space="preserve"> </w:t>
            </w:r>
            <w:proofErr w:type="spellStart"/>
            <w:r>
              <w:rPr>
                <w:lang w:val="en-US"/>
              </w:rPr>
              <w:t>unter</w:t>
            </w:r>
            <w:proofErr w:type="spellEnd"/>
            <w:r>
              <w:rPr>
                <w:lang w:val="en-US"/>
              </w:rPr>
              <w:t xml:space="preserve"> </w:t>
            </w:r>
            <w:proofErr w:type="spellStart"/>
            <w:r>
              <w:rPr>
                <w:lang w:val="en-US"/>
              </w:rPr>
              <w:t>Geimpften</w:t>
            </w:r>
            <w:proofErr w:type="spellEnd"/>
            <w:r>
              <w:rPr>
                <w:lang w:val="en-US"/>
              </w:rPr>
              <w:t xml:space="preserve"> (EWRS):</w:t>
            </w:r>
          </w:p>
          <w:p>
            <w:pPr>
              <w:pStyle w:val="Liste2"/>
              <w:numPr>
                <w:ilvl w:val="2"/>
                <w:numId w:val="16"/>
              </w:numPr>
              <w:rPr>
                <w:lang w:val="de-DE"/>
              </w:rPr>
            </w:pPr>
            <w:r>
              <w:rPr>
                <w:lang w:val="de-DE"/>
              </w:rPr>
              <w:t>3.805.467 vollständig Geimpfte in Portugal (14 d)</w:t>
            </w:r>
          </w:p>
          <w:p>
            <w:pPr>
              <w:pStyle w:val="Liste2"/>
              <w:numPr>
                <w:ilvl w:val="2"/>
                <w:numId w:val="16"/>
              </w:numPr>
              <w:rPr>
                <w:lang w:val="en-US"/>
              </w:rPr>
            </w:pPr>
            <w:proofErr w:type="spellStart"/>
            <w:r>
              <w:rPr>
                <w:lang w:val="en-US"/>
              </w:rPr>
              <w:t>Darunter</w:t>
            </w:r>
            <w:proofErr w:type="spellEnd"/>
            <w:r>
              <w:rPr>
                <w:lang w:val="en-US"/>
              </w:rPr>
              <w:t xml:space="preserve"> 8.007 </w:t>
            </w:r>
            <w:proofErr w:type="spellStart"/>
            <w:r>
              <w:rPr>
                <w:lang w:val="en-US"/>
              </w:rPr>
              <w:t>Fälle</w:t>
            </w:r>
            <w:proofErr w:type="spellEnd"/>
            <w:r>
              <w:rPr>
                <w:lang w:val="en-US"/>
              </w:rPr>
              <w:t xml:space="preserve"> (0,21 %)</w:t>
            </w:r>
          </w:p>
          <w:p>
            <w:pPr>
              <w:pStyle w:val="Liste2"/>
              <w:numPr>
                <w:ilvl w:val="2"/>
                <w:numId w:val="16"/>
              </w:numPr>
              <w:rPr>
                <w:lang w:val="en-US"/>
              </w:rPr>
            </w:pPr>
            <w:proofErr w:type="spellStart"/>
            <w:r>
              <w:rPr>
                <w:lang w:val="en-US"/>
              </w:rPr>
              <w:t>Darunter</w:t>
            </w:r>
            <w:proofErr w:type="spellEnd"/>
            <w:r>
              <w:rPr>
                <w:lang w:val="en-US"/>
              </w:rPr>
              <w:t xml:space="preserve"> </w:t>
            </w:r>
            <w:proofErr w:type="spellStart"/>
            <w:r>
              <w:rPr>
                <w:lang w:val="en-US"/>
              </w:rPr>
              <w:t>wiederum</w:t>
            </w:r>
            <w:proofErr w:type="spellEnd"/>
            <w:r>
              <w:rPr>
                <w:lang w:val="en-US"/>
              </w:rPr>
              <w:t xml:space="preserve"> 81 </w:t>
            </w:r>
            <w:proofErr w:type="spellStart"/>
            <w:r>
              <w:rPr>
                <w:lang w:val="en-US"/>
              </w:rPr>
              <w:t>hospitalisierte</w:t>
            </w:r>
            <w:proofErr w:type="spellEnd"/>
            <w:r>
              <w:rPr>
                <w:lang w:val="en-US"/>
              </w:rPr>
              <w:t xml:space="preserve"> </w:t>
            </w:r>
            <w:proofErr w:type="spellStart"/>
            <w:r>
              <w:rPr>
                <w:lang w:val="en-US"/>
              </w:rPr>
              <w:t>Fälle</w:t>
            </w:r>
            <w:proofErr w:type="spellEnd"/>
            <w:r>
              <w:rPr>
                <w:lang w:val="en-US"/>
              </w:rPr>
              <w:t xml:space="preserve"> </w:t>
            </w:r>
          </w:p>
          <w:p>
            <w:pPr>
              <w:pStyle w:val="Liste2"/>
              <w:numPr>
                <w:ilvl w:val="0"/>
                <w:numId w:val="16"/>
              </w:numPr>
              <w:rPr>
                <w:lang w:val="en-US"/>
              </w:rPr>
            </w:pPr>
            <w:r>
              <w:rPr>
                <w:lang w:val="en-US"/>
              </w:rPr>
              <w:t xml:space="preserve">COVID-19/ UK / </w:t>
            </w:r>
            <w:proofErr w:type="spellStart"/>
            <w:r>
              <w:rPr>
                <w:lang w:val="en-US"/>
              </w:rPr>
              <w:t>Hospitalisierung</w:t>
            </w:r>
            <w:proofErr w:type="spellEnd"/>
            <w:r>
              <w:rPr>
                <w:lang w:val="en-US"/>
              </w:rPr>
              <w:t xml:space="preserve"> /Alter</w:t>
            </w:r>
          </w:p>
          <w:p>
            <w:pPr>
              <w:pStyle w:val="Liste2"/>
              <w:numPr>
                <w:ilvl w:val="1"/>
                <w:numId w:val="16"/>
              </w:numPr>
              <w:rPr>
                <w:lang w:val="de-DE"/>
              </w:rPr>
            </w:pPr>
            <w:r>
              <w:rPr>
                <w:lang w:val="de-DE"/>
              </w:rPr>
              <w:t xml:space="preserve">Datenquelle Office </w:t>
            </w:r>
            <w:proofErr w:type="spellStart"/>
            <w:r>
              <w:rPr>
                <w:lang w:val="de-DE"/>
              </w:rPr>
              <w:t>for</w:t>
            </w:r>
            <w:proofErr w:type="spellEnd"/>
            <w:r>
              <w:rPr>
                <w:lang w:val="de-DE"/>
              </w:rPr>
              <w:t xml:space="preserve"> National </w:t>
            </w:r>
            <w:proofErr w:type="spellStart"/>
            <w:r>
              <w:rPr>
                <w:lang w:val="de-DE"/>
              </w:rPr>
              <w:t>Statistics</w:t>
            </w:r>
            <w:proofErr w:type="spellEnd"/>
            <w:r>
              <w:rPr>
                <w:lang w:val="de-DE"/>
              </w:rPr>
              <w:t xml:space="preserve"> and PHE – Technical Briefing heute noch nicht veröffentlicht</w:t>
            </w:r>
          </w:p>
          <w:p>
            <w:pPr>
              <w:pStyle w:val="Liste2"/>
              <w:numPr>
                <w:ilvl w:val="1"/>
                <w:numId w:val="16"/>
              </w:numPr>
              <w:rPr>
                <w:lang w:val="de-DE"/>
              </w:rPr>
            </w:pPr>
            <w:r>
              <w:rPr>
                <w:lang w:val="de-DE"/>
              </w:rPr>
              <w:t>Infektionen: Dominanz Schuljahrgang 12 bis 24 Jahre</w:t>
            </w:r>
          </w:p>
          <w:p>
            <w:pPr>
              <w:pStyle w:val="Liste2"/>
              <w:numPr>
                <w:ilvl w:val="1"/>
                <w:numId w:val="16"/>
              </w:numPr>
              <w:rPr>
                <w:lang w:val="de-DE"/>
              </w:rPr>
            </w:pPr>
            <w:r>
              <w:rPr>
                <w:lang w:val="de-DE"/>
              </w:rPr>
              <w:t>Krankenhausaufnahmen: Dominanz &gt;85-Jährige</w:t>
            </w:r>
          </w:p>
          <w:p>
            <w:pPr>
              <w:pStyle w:val="Liste2"/>
              <w:numPr>
                <w:ilvl w:val="1"/>
                <w:numId w:val="16"/>
              </w:numPr>
              <w:rPr>
                <w:lang w:val="de-DE"/>
              </w:rPr>
            </w:pPr>
            <w:r>
              <w:rPr>
                <w:lang w:val="de-DE"/>
              </w:rPr>
              <w:t>Todesfälle: Dominanz älterer AG</w:t>
            </w:r>
          </w:p>
          <w:p>
            <w:pPr>
              <w:pStyle w:val="Liste2"/>
              <w:numPr>
                <w:ilvl w:val="1"/>
                <w:numId w:val="16"/>
              </w:numPr>
              <w:rPr>
                <w:lang w:val="de-DE"/>
              </w:rPr>
            </w:pPr>
            <w:r>
              <w:rPr>
                <w:lang w:val="de-DE"/>
              </w:rPr>
              <w:lastRenderedPageBreak/>
              <w:t>Anm.: Datengrundlage von UK ONS bis 11.07.</w:t>
            </w:r>
          </w:p>
          <w:p>
            <w:pPr>
              <w:pStyle w:val="Liste2"/>
              <w:numPr>
                <w:ilvl w:val="0"/>
                <w:numId w:val="16"/>
              </w:numPr>
              <w:rPr>
                <w:lang w:val="en-US"/>
              </w:rPr>
            </w:pPr>
            <w:r>
              <w:rPr>
                <w:lang w:val="en-US"/>
              </w:rPr>
              <w:t xml:space="preserve">Delta – </w:t>
            </w:r>
            <w:proofErr w:type="spellStart"/>
            <w:r>
              <w:rPr>
                <w:lang w:val="en-US"/>
              </w:rPr>
              <w:t>Variante</w:t>
            </w:r>
            <w:proofErr w:type="spellEnd"/>
            <w:r>
              <w:rPr>
                <w:lang w:val="en-US"/>
              </w:rPr>
              <w:t xml:space="preserve"> / </w:t>
            </w:r>
            <w:proofErr w:type="spellStart"/>
            <w:r>
              <w:rPr>
                <w:lang w:val="en-US"/>
              </w:rPr>
              <w:t>Krankheitsschwere</w:t>
            </w:r>
            <w:proofErr w:type="spellEnd"/>
          </w:p>
          <w:p>
            <w:pPr>
              <w:pStyle w:val="Liste2"/>
              <w:numPr>
                <w:ilvl w:val="1"/>
                <w:numId w:val="16"/>
              </w:numPr>
              <w:rPr>
                <w:lang w:val="de-DE"/>
              </w:rPr>
            </w:pPr>
            <w:r>
              <w:rPr>
                <w:lang w:val="de-DE"/>
              </w:rPr>
              <w:t xml:space="preserve">WHO-Einschätzung angepasst: in aktuellem </w:t>
            </w:r>
            <w:proofErr w:type="spellStart"/>
            <w:r>
              <w:rPr>
                <w:lang w:val="de-DE"/>
              </w:rPr>
              <w:t>SitRep</w:t>
            </w:r>
            <w:proofErr w:type="spellEnd"/>
            <w:r>
              <w:rPr>
                <w:lang w:val="de-DE"/>
              </w:rPr>
              <w:t xml:space="preserve"> erhöhtes Hospitalisierungsrisiko ausgewiesen, basierend auf zwei Publikationen (Preprint Kanada, aktuelles Technical Briefing)</w:t>
            </w:r>
          </w:p>
          <w:p>
            <w:pPr>
              <w:pStyle w:val="Liste2"/>
              <w:numPr>
                <w:ilvl w:val="0"/>
                <w:numId w:val="16"/>
              </w:numPr>
              <w:rPr>
                <w:lang w:val="de-DE"/>
              </w:rPr>
            </w:pPr>
            <w:r>
              <w:rPr>
                <w:lang w:val="de-DE"/>
              </w:rPr>
              <w:t xml:space="preserve">Montag Schaltung mit Staatskanzleien und Kabinett/BW </w:t>
            </w:r>
            <w:r>
              <w:rPr>
                <w:lang w:val="de-DE"/>
              </w:rPr>
              <w:sym w:font="Wingdings" w:char="F0E0"/>
            </w:r>
            <w:r>
              <w:rPr>
                <w:lang w:val="de-DE"/>
              </w:rPr>
              <w:t xml:space="preserve"> </w:t>
            </w:r>
            <w:proofErr w:type="spellStart"/>
            <w:r>
              <w:rPr>
                <w:lang w:val="de-DE"/>
              </w:rPr>
              <w:t>key</w:t>
            </w:r>
            <w:proofErr w:type="spellEnd"/>
            <w:r>
              <w:rPr>
                <w:lang w:val="de-DE"/>
              </w:rPr>
              <w:t xml:space="preserve"> </w:t>
            </w:r>
            <w:proofErr w:type="spellStart"/>
            <w:r>
              <w:rPr>
                <w:lang w:val="de-DE"/>
              </w:rPr>
              <w:t>message</w:t>
            </w:r>
            <w:proofErr w:type="spellEnd"/>
            <w:r>
              <w:rPr>
                <w:lang w:val="de-DE"/>
              </w:rPr>
              <w:t xml:space="preserve">: trotz hoher Impfraten nicht nur hohe </w:t>
            </w:r>
            <w:proofErr w:type="gramStart"/>
            <w:r>
              <w:rPr>
                <w:lang w:val="de-DE"/>
              </w:rPr>
              <w:t>Inzidenz</w:t>
            </w:r>
            <w:proofErr w:type="gramEnd"/>
            <w:r>
              <w:rPr>
                <w:lang w:val="de-DE"/>
              </w:rPr>
              <w:t xml:space="preserve"> sondern auch hohe Hospitalisierungsraten zu befürchten (siehe aktuell UK, NL, Spanien - Länder mit hoher </w:t>
            </w:r>
            <w:proofErr w:type="spellStart"/>
            <w:r>
              <w:rPr>
                <w:lang w:val="de-DE"/>
              </w:rPr>
              <w:t>Impfrate</w:t>
            </w:r>
            <w:proofErr w:type="spellEnd"/>
            <w:r>
              <w:rPr>
                <w:lang w:val="de-DE"/>
              </w:rPr>
              <w:t xml:space="preserve">; in Dänemark Hospitalisierungsraten ebenfalls </w:t>
            </w:r>
            <w:proofErr w:type="spellStart"/>
            <w:r>
              <w:rPr>
                <w:lang w:val="de-DE"/>
              </w:rPr>
              <w:t>stiegend</w:t>
            </w:r>
            <w:proofErr w:type="spellEnd"/>
            <w:r>
              <w:rPr>
                <w:lang w:val="de-DE"/>
              </w:rPr>
              <w:t xml:space="preserve">) </w:t>
            </w:r>
          </w:p>
          <w:p>
            <w:pPr>
              <w:pStyle w:val="Liste2"/>
              <w:numPr>
                <w:ilvl w:val="0"/>
                <w:numId w:val="16"/>
              </w:numPr>
              <w:rPr>
                <w:lang w:val="de-DE"/>
              </w:rPr>
            </w:pPr>
            <w:r>
              <w:rPr>
                <w:lang w:val="de-DE"/>
              </w:rPr>
              <w:t xml:space="preserve">Zahlen zu Libyen (hohe Inzidenz bei vergleichsweise niedriger Inzidenz in Nachbarländern): täglich 7 Tests/1.000 </w:t>
            </w:r>
            <w:proofErr w:type="spellStart"/>
            <w:r>
              <w:rPr>
                <w:lang w:val="de-DE"/>
              </w:rPr>
              <w:t>Einw</w:t>
            </w:r>
            <w:proofErr w:type="spellEnd"/>
            <w:r>
              <w:rPr>
                <w:lang w:val="de-DE"/>
              </w:rPr>
              <w:t xml:space="preserve">. und 33 % </w:t>
            </w:r>
            <w:proofErr w:type="spellStart"/>
            <w:r>
              <w:rPr>
                <w:lang w:val="de-DE"/>
              </w:rPr>
              <w:t>Positivenanteil</w:t>
            </w:r>
            <w:proofErr w:type="spellEnd"/>
            <w:r>
              <w:rPr>
                <w:lang w:val="de-DE"/>
              </w:rPr>
              <w:t xml:space="preserve">. Tunesien täglich 20 Tests/1.000 </w:t>
            </w:r>
            <w:proofErr w:type="spellStart"/>
            <w:r>
              <w:rPr>
                <w:lang w:val="de-DE"/>
              </w:rPr>
              <w:t>Einw</w:t>
            </w:r>
            <w:proofErr w:type="spellEnd"/>
            <w:r>
              <w:rPr>
                <w:lang w:val="de-DE"/>
              </w:rPr>
              <w:t xml:space="preserve">. und 22 % </w:t>
            </w:r>
            <w:proofErr w:type="spellStart"/>
            <w:r>
              <w:rPr>
                <w:lang w:val="de-DE"/>
              </w:rPr>
              <w:t>Positivenanteil</w:t>
            </w:r>
            <w:proofErr w:type="spellEnd"/>
            <w:r>
              <w:rPr>
                <w:lang w:val="de-DE"/>
              </w:rPr>
              <w:t xml:space="preserve"> (Datenstand 12.07.2021), </w:t>
            </w:r>
            <w:r>
              <w:rPr>
                <w:lang w:val="de-DE"/>
              </w:rPr>
              <w:t>siehe Dashboard WHO</w:t>
            </w:r>
          </w:p>
          <w:p>
            <w:pPr>
              <w:pStyle w:val="Liste2"/>
              <w:numPr>
                <w:ilvl w:val="0"/>
                <w:numId w:val="0"/>
              </w:numPr>
              <w:rPr>
                <w:lang w:val="de-DE"/>
              </w:rPr>
            </w:pPr>
          </w:p>
          <w:p>
            <w:pPr>
              <w:pStyle w:val="Liste2"/>
              <w:numPr>
                <w:ilvl w:val="0"/>
                <w:numId w:val="0"/>
              </w:numPr>
              <w:rPr>
                <w:lang w:val="de-DE"/>
              </w:rPr>
            </w:pPr>
          </w:p>
          <w:p>
            <w:pPr>
              <w:pStyle w:val="2"/>
              <w:rPr>
                <w:sz w:val="22"/>
                <w:szCs w:val="22"/>
              </w:rPr>
            </w:pPr>
            <w:r>
              <w:rPr>
                <w:sz w:val="22"/>
                <w:szCs w:val="22"/>
              </w:rPr>
              <w:t xml:space="preserve">National </w:t>
            </w:r>
          </w:p>
          <w:p>
            <w:pPr>
              <w:pStyle w:val="Liste1"/>
              <w:numPr>
                <w:ilvl w:val="0"/>
                <w:numId w:val="16"/>
              </w:numPr>
            </w:pPr>
            <w:r>
              <w:t xml:space="preserve">Fallzahlen, Todesfälle, Trend, Folien </w:t>
            </w:r>
            <w:hyperlink r:id="rId15" w:history="1">
              <w:r>
                <w:rPr>
                  <w:rStyle w:val="Hyperlink"/>
                </w:rPr>
                <w:t>hier</w:t>
              </w:r>
            </w:hyperlink>
          </w:p>
          <w:p>
            <w:pPr>
              <w:pStyle w:val="Liste2"/>
              <w:numPr>
                <w:ilvl w:val="1"/>
                <w:numId w:val="16"/>
              </w:numPr>
              <w:rPr>
                <w:lang w:val="de-DE"/>
              </w:rPr>
            </w:pPr>
            <w:proofErr w:type="spellStart"/>
            <w:r>
              <w:rPr>
                <w:lang w:val="de-DE"/>
              </w:rPr>
              <w:t>SurvNet</w:t>
            </w:r>
            <w:proofErr w:type="spellEnd"/>
            <w:r>
              <w:rPr>
                <w:lang w:val="de-DE"/>
              </w:rPr>
              <w:t xml:space="preserve"> übermittelt: 3.752.592 (+2.089), davon 91.492 (+34) Todesfälle </w:t>
            </w:r>
          </w:p>
          <w:p>
            <w:pPr>
              <w:pStyle w:val="Liste2"/>
              <w:numPr>
                <w:ilvl w:val="1"/>
                <w:numId w:val="16"/>
              </w:numPr>
              <w:rPr>
                <w:lang w:val="de-DE"/>
              </w:rPr>
            </w:pPr>
            <w:r>
              <w:rPr>
                <w:lang w:val="de-DE"/>
              </w:rPr>
              <w:t xml:space="preserve">7-Tage-Inzidenz:  13,2/100.000 </w:t>
            </w:r>
            <w:proofErr w:type="spellStart"/>
            <w:r>
              <w:rPr>
                <w:lang w:val="de-DE"/>
              </w:rPr>
              <w:t>Einw</w:t>
            </w:r>
            <w:proofErr w:type="spellEnd"/>
            <w:r>
              <w:rPr>
                <w:lang w:val="de-DE"/>
              </w:rPr>
              <w:t>.</w:t>
            </w:r>
          </w:p>
          <w:p>
            <w:pPr>
              <w:pStyle w:val="Liste2"/>
              <w:numPr>
                <w:ilvl w:val="1"/>
                <w:numId w:val="16"/>
              </w:numPr>
              <w:rPr>
                <w:lang w:val="de-DE"/>
              </w:rPr>
            </w:pPr>
            <w:proofErr w:type="spellStart"/>
            <w:r>
              <w:rPr>
                <w:lang w:val="de-DE"/>
              </w:rPr>
              <w:t>Impfmonitoring</w:t>
            </w:r>
            <w:proofErr w:type="spellEnd"/>
            <w:r>
              <w:rPr>
                <w:lang w:val="de-DE"/>
              </w:rPr>
              <w:t>: Geimpfte mit 1. Dosis 50.262.310 (60,4 %), mit vollständiger Impfung 39.896.523 (48 %)</w:t>
            </w:r>
          </w:p>
          <w:p>
            <w:pPr>
              <w:pStyle w:val="Liste2"/>
              <w:numPr>
                <w:ilvl w:val="0"/>
                <w:numId w:val="16"/>
              </w:numPr>
              <w:rPr>
                <w:lang w:val="de-DE"/>
              </w:rPr>
            </w:pPr>
            <w:r>
              <w:rPr>
                <w:lang w:val="de-DE"/>
              </w:rPr>
              <w:t>Verlauf der 7-Tage-Inzidenz der Bundesländer:</w:t>
            </w:r>
          </w:p>
          <w:p>
            <w:pPr>
              <w:pStyle w:val="Liste3"/>
              <w:numPr>
                <w:ilvl w:val="1"/>
                <w:numId w:val="16"/>
              </w:numPr>
            </w:pPr>
            <w:r>
              <w:t xml:space="preserve">Skala bis Inzidenz von 25, dennoch deutlich, wie Inzidenz in westlichen </w:t>
            </w:r>
            <w:proofErr w:type="spellStart"/>
            <w:r>
              <w:t>BuLä</w:t>
            </w:r>
            <w:proofErr w:type="spellEnd"/>
            <w:r>
              <w:t xml:space="preserve"> ansteigt, während sie in östlichen </w:t>
            </w:r>
            <w:proofErr w:type="spellStart"/>
            <w:r>
              <w:t>BuLä</w:t>
            </w:r>
            <w:proofErr w:type="spellEnd"/>
            <w:r>
              <w:t xml:space="preserve"> stagniert</w:t>
            </w:r>
          </w:p>
          <w:p>
            <w:pPr>
              <w:pStyle w:val="Liste3"/>
              <w:numPr>
                <w:ilvl w:val="1"/>
                <w:numId w:val="16"/>
              </w:numPr>
            </w:pPr>
            <w:r>
              <w:t xml:space="preserve">Saarland: nebst Delta-Variante auch P1 (Gamma) stark vertreten, sollte beobachtet werden, Anm.: P1 wird auf Lux zurückgeführt (singuläres Ereignis aufgrund eines Ausbruchs mit P1 durch Feiertag, keine Verdrängung der Delta-Variante) </w:t>
            </w:r>
          </w:p>
          <w:p>
            <w:pPr>
              <w:pStyle w:val="Liste3"/>
              <w:numPr>
                <w:ilvl w:val="1"/>
                <w:numId w:val="16"/>
              </w:numPr>
            </w:pPr>
            <w:r>
              <w:t>https://www.bib.bund.de/DE/Fakten/Fakt/B77-Bevoelkerungsdichte-Kreise.html</w:t>
            </w:r>
          </w:p>
          <w:p>
            <w:pPr>
              <w:pStyle w:val="Liste3"/>
              <w:numPr>
                <w:ilvl w:val="0"/>
                <w:numId w:val="16"/>
              </w:numPr>
            </w:pPr>
            <w:r>
              <w:t>Geografische Verteilung 7-Tage-Inzidenz nach Landkreis (LK)</w:t>
            </w:r>
          </w:p>
          <w:p>
            <w:pPr>
              <w:pStyle w:val="Liste3"/>
              <w:numPr>
                <w:ilvl w:val="1"/>
                <w:numId w:val="16"/>
              </w:numPr>
            </w:pPr>
            <w:r>
              <w:t>Zahl der LK ohne gemeldete Fälle rückläufig</w:t>
            </w:r>
          </w:p>
          <w:p>
            <w:pPr>
              <w:pStyle w:val="Liste3"/>
              <w:numPr>
                <w:ilvl w:val="1"/>
                <w:numId w:val="16"/>
              </w:numPr>
            </w:pPr>
            <w:r>
              <w:t xml:space="preserve">Hier ebenfalls höhere Fallzahlen in westlichen </w:t>
            </w:r>
            <w:proofErr w:type="spellStart"/>
            <w:r>
              <w:t>BuLä</w:t>
            </w:r>
            <w:proofErr w:type="spellEnd"/>
            <w:r>
              <w:t xml:space="preserve"> sichtbar (Populationsdichte, Industrie), v.a. Solingen (</w:t>
            </w:r>
            <w:proofErr w:type="spellStart"/>
            <w:r>
              <w:t>Inz</w:t>
            </w:r>
            <w:proofErr w:type="spellEnd"/>
            <w:r>
              <w:t>.: 67,8) und Kaiserslautern (57,0)</w:t>
            </w:r>
          </w:p>
          <w:p>
            <w:pPr>
              <w:pStyle w:val="Liste3"/>
              <w:numPr>
                <w:ilvl w:val="0"/>
                <w:numId w:val="16"/>
              </w:numPr>
            </w:pPr>
            <w:r>
              <w:t>Trend – Entwicklung der 7-Tage-Inzidenz</w:t>
            </w:r>
          </w:p>
          <w:p>
            <w:pPr>
              <w:pStyle w:val="Liste3"/>
              <w:numPr>
                <w:ilvl w:val="1"/>
                <w:numId w:val="16"/>
              </w:numPr>
            </w:pPr>
            <w:r>
              <w:t>Zunahme um &gt;Faktor 2 in Magenta, größerer Anstieg im Vgl. zur Vorwoche auch hier bspw. in Solingen (von 19 auf 108 Fälle)</w:t>
            </w:r>
          </w:p>
          <w:p>
            <w:pPr>
              <w:pStyle w:val="Liste3"/>
              <w:numPr>
                <w:ilvl w:val="0"/>
                <w:numId w:val="16"/>
              </w:numPr>
            </w:pPr>
            <w:r>
              <w:t>Wochenvergleich der 7-Tage Inzidenz</w:t>
            </w:r>
          </w:p>
          <w:p>
            <w:pPr>
              <w:pStyle w:val="Liste3"/>
              <w:numPr>
                <w:ilvl w:val="1"/>
                <w:numId w:val="16"/>
              </w:numPr>
            </w:pPr>
            <w:r>
              <w:t>Derzeit &gt; 10.000 Fälle, Zunahme um ca. 42 % im Vgl. zur Vorwoche</w:t>
            </w:r>
          </w:p>
          <w:p>
            <w:pPr>
              <w:pStyle w:val="Liste3"/>
              <w:numPr>
                <w:ilvl w:val="0"/>
                <w:numId w:val="16"/>
              </w:numPr>
            </w:pPr>
            <w:r>
              <w:t>Expositionsländer importierter Fälle</w:t>
            </w:r>
          </w:p>
          <w:p>
            <w:pPr>
              <w:pStyle w:val="Liste3"/>
              <w:numPr>
                <w:ilvl w:val="1"/>
                <w:numId w:val="16"/>
              </w:numPr>
            </w:pPr>
            <w:r>
              <w:t>Importzahlen auf letzte 14 Tage bezogen: v.a. aus Spanien (mit zunehmender Tendenz, derzeit 737 importiere Fälle), NL, Türkei, Griechenland, Kroatien</w:t>
            </w:r>
          </w:p>
          <w:p>
            <w:pPr>
              <w:pStyle w:val="Liste3"/>
              <w:numPr>
                <w:ilvl w:val="0"/>
                <w:numId w:val="16"/>
              </w:numPr>
            </w:pPr>
            <w:r>
              <w:lastRenderedPageBreak/>
              <w:t>Indikatorbericht für die Bundesländer: bereits kommuniziert</w:t>
            </w:r>
          </w:p>
          <w:p>
            <w:pPr>
              <w:pStyle w:val="Liste3"/>
              <w:numPr>
                <w:ilvl w:val="0"/>
                <w:numId w:val="16"/>
              </w:numPr>
            </w:pPr>
            <w:r>
              <w:t>Wöchentliche Sterbefallzahlen Deutschland</w:t>
            </w:r>
          </w:p>
          <w:p>
            <w:pPr>
              <w:pStyle w:val="Liste3"/>
              <w:numPr>
                <w:ilvl w:val="1"/>
                <w:numId w:val="16"/>
              </w:numPr>
            </w:pPr>
            <w:r>
              <w:t>Weiter rückläufig, derzeit im Rahmen üblicher Mortalität der Vorjahre</w:t>
            </w:r>
          </w:p>
          <w:p>
            <w:pPr>
              <w:pStyle w:val="Liste3"/>
              <w:numPr>
                <w:ilvl w:val="1"/>
                <w:numId w:val="16"/>
              </w:numPr>
            </w:pPr>
            <w:r>
              <w:t>Anmerkung: Berichtszeitraum bezieht nicht mehr 2020 mit ein</w:t>
            </w:r>
          </w:p>
          <w:p>
            <w:pPr>
              <w:pStyle w:val="Liste3"/>
              <w:numPr>
                <w:ilvl w:val="0"/>
                <w:numId w:val="16"/>
              </w:numPr>
            </w:pPr>
            <w:r>
              <w:t>7-Tage-Inzidenz pro AG nach Bundesländern (</w:t>
            </w:r>
            <w:proofErr w:type="spellStart"/>
            <w:r>
              <w:t>Heatmap</w:t>
            </w:r>
            <w:proofErr w:type="spellEnd"/>
            <w:r>
              <w:t xml:space="preserve">): in Berlin bei 20-25-Jährigen Inzidenz bereits im 60er-Bereich, auch in HH  und NRW deutlich höhere Inzidenz bei jungen Erwachsenen als im Bundesdurchschnitt, in </w:t>
            </w:r>
            <w:proofErr w:type="spellStart"/>
            <w:r>
              <w:t>BuLä</w:t>
            </w:r>
            <w:proofErr w:type="spellEnd"/>
            <w:r>
              <w:t xml:space="preserve"> mit geringen Fallzahlen wie Sachsen, Sachsen-Anhalt, Thüringen oder Brandenburg Inzidenz bei jungen Erwachsenen niedriger als im Bundesdurchschnitt</w:t>
            </w:r>
          </w:p>
          <w:p>
            <w:pPr>
              <w:pStyle w:val="Liste3"/>
              <w:numPr>
                <w:ilvl w:val="0"/>
                <w:numId w:val="16"/>
              </w:numPr>
            </w:pPr>
            <w:r>
              <w:t>7-Tage-Hospitalisierungs-Inzidenz pro AG (</w:t>
            </w:r>
            <w:proofErr w:type="spellStart"/>
            <w:r>
              <w:t>Heatmap</w:t>
            </w:r>
            <w:proofErr w:type="spellEnd"/>
            <w:r>
              <w:t>): erster Entwurf analog zur 7-Tages-Inzidenz: in zweiter Welle v.a. Hochaltrige betroffen, in dritter Welle durch Impfung abgefangen, momentan sehr niedrig</w:t>
            </w:r>
          </w:p>
          <w:p>
            <w:pPr>
              <w:pStyle w:val="Liste3"/>
              <w:numPr>
                <w:ilvl w:val="0"/>
                <w:numId w:val="16"/>
              </w:numPr>
            </w:pPr>
            <w:r>
              <w:t>7-Tage-Hospitalisierungs-Inzidenz pro AG (</w:t>
            </w:r>
            <w:proofErr w:type="spellStart"/>
            <w:r>
              <w:t>Heatmap</w:t>
            </w:r>
            <w:proofErr w:type="spellEnd"/>
            <w:r>
              <w:t xml:space="preserve">) nach Bundesland: in Bremen, HH, Niedersachsen geringere Hospitalisierungsraten verzeichnet, diese Länder zeigen jedoch geringste Vollständigkeit der Angaben zur Hospitalisierung (cave: Verzerrung somit nicht auszuschließen), sollte durch neue </w:t>
            </w:r>
            <w:proofErr w:type="spellStart"/>
            <w:r>
              <w:t>MeldeVO</w:t>
            </w:r>
            <w:proofErr w:type="spellEnd"/>
            <w:r>
              <w:t xml:space="preserve"> an Vollständigkeit zunehmen </w:t>
            </w:r>
          </w:p>
          <w:p>
            <w:pPr>
              <w:pStyle w:val="Liste3"/>
              <w:numPr>
                <w:ilvl w:val="0"/>
                <w:numId w:val="16"/>
              </w:numPr>
            </w:pPr>
            <w:r>
              <w:t xml:space="preserve">Diskussion: kann die vierte Welle bereits als begonnen definiert werden? </w:t>
            </w:r>
          </w:p>
          <w:p>
            <w:pPr>
              <w:pStyle w:val="Liste3"/>
              <w:numPr>
                <w:ilvl w:val="1"/>
                <w:numId w:val="16"/>
              </w:numPr>
            </w:pPr>
            <w:r>
              <w:t>Grundsätzliche Zustimmung</w:t>
            </w:r>
          </w:p>
          <w:p>
            <w:pPr>
              <w:pStyle w:val="Liste3"/>
              <w:numPr>
                <w:ilvl w:val="1"/>
                <w:numId w:val="16"/>
              </w:numPr>
            </w:pPr>
            <w:r>
              <w:t>Sollte allerdings ggf. mit Einschränkung kommuniziert werden („am Beginn“), aber: Verzug zu Beachten (Zeitpunkt Ansteckung bis Meldung / Meldeverzug, bei derzeitiger Verdopplungsrate in praxi weitaus höher als ausgewiesen)</w:t>
            </w:r>
          </w:p>
          <w:p>
            <w:pPr>
              <w:pStyle w:val="Liste3"/>
              <w:numPr>
                <w:ilvl w:val="1"/>
                <w:numId w:val="16"/>
              </w:numPr>
            </w:pPr>
            <w:r>
              <w:t>Alte Zielstellung „</w:t>
            </w:r>
            <w:proofErr w:type="spellStart"/>
            <w:r>
              <w:t>flatten</w:t>
            </w:r>
            <w:proofErr w:type="spellEnd"/>
            <w:r>
              <w:t xml:space="preserve"> </w:t>
            </w:r>
            <w:proofErr w:type="spellStart"/>
            <w:r>
              <w:t>the</w:t>
            </w:r>
            <w:proofErr w:type="spellEnd"/>
            <w:r>
              <w:t xml:space="preserve"> </w:t>
            </w:r>
            <w:proofErr w:type="spellStart"/>
            <w:r>
              <w:t>curve</w:t>
            </w:r>
            <w:proofErr w:type="spellEnd"/>
            <w:r>
              <w:t>“ zu kommunizieren, auch mit Blick auf Entwicklung in der UK</w:t>
            </w:r>
          </w:p>
          <w:p>
            <w:pPr>
              <w:pStyle w:val="Liste3"/>
              <w:numPr>
                <w:ilvl w:val="0"/>
                <w:numId w:val="0"/>
              </w:numPr>
              <w:ind w:left="1080" w:hanging="360"/>
            </w:pPr>
          </w:p>
          <w:p>
            <w:pPr>
              <w:pStyle w:val="2"/>
              <w:rPr>
                <w:sz w:val="22"/>
                <w:szCs w:val="22"/>
              </w:rPr>
            </w:pPr>
            <w:r>
              <w:rPr>
                <w:sz w:val="22"/>
                <w:szCs w:val="22"/>
              </w:rPr>
              <w:t xml:space="preserve">Modellierungen </w:t>
            </w:r>
          </w:p>
          <w:p>
            <w:pPr>
              <w:pStyle w:val="Liste3"/>
              <w:numPr>
                <w:ilvl w:val="0"/>
                <w:numId w:val="17"/>
              </w:numPr>
            </w:pPr>
            <w:r>
              <w:t>Nicht berichtet</w:t>
            </w:r>
          </w:p>
        </w:tc>
        <w:tc>
          <w:tcPr>
            <w:tcW w:w="1463" w:type="dxa"/>
          </w:tcPr>
          <w:p>
            <w:pPr>
              <w:rPr>
                <w:sz w:val="22"/>
                <w:szCs w:val="22"/>
              </w:rPr>
            </w:pPr>
          </w:p>
          <w:p>
            <w:pPr>
              <w:rPr>
                <w:sz w:val="22"/>
                <w:szCs w:val="22"/>
              </w:rPr>
            </w:pPr>
          </w:p>
          <w:p>
            <w:pPr>
              <w:rPr>
                <w:sz w:val="22"/>
                <w:szCs w:val="22"/>
              </w:rPr>
            </w:pPr>
            <w:r>
              <w:rPr>
                <w:sz w:val="22"/>
                <w:szCs w:val="22"/>
              </w:rPr>
              <w:t xml:space="preserve">ZIG1 </w:t>
            </w:r>
          </w:p>
          <w:p>
            <w:pPr>
              <w:rPr>
                <w:sz w:val="22"/>
                <w:szCs w:val="22"/>
              </w:rPr>
            </w:pPr>
            <w:r>
              <w:rPr>
                <w:sz w:val="22"/>
                <w:szCs w:val="22"/>
              </w:rPr>
              <w:t>(Rohde)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w:t>
            </w:r>
          </w:p>
          <w:p>
            <w:pPr>
              <w:rPr>
                <w:sz w:val="22"/>
                <w:szCs w:val="22"/>
              </w:rPr>
            </w:pPr>
            <w:r>
              <w:rPr>
                <w:sz w:val="22"/>
                <w:szCs w:val="22"/>
              </w:rPr>
              <w:t>(</w:t>
            </w:r>
            <w:proofErr w:type="spellStart"/>
            <w:r>
              <w:rPr>
                <w:sz w:val="22"/>
                <w:szCs w:val="22"/>
              </w:rPr>
              <w:t>Hamouda</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spacing w:line="276" w:lineRule="auto"/>
              <w:rPr>
                <w:b/>
                <w:i/>
                <w:color w:val="8DB3E2" w:themeColor="text2" w:themeTint="66"/>
                <w:sz w:val="22"/>
                <w:szCs w:val="22"/>
              </w:rPr>
            </w:pPr>
          </w:p>
          <w:p>
            <w:pPr>
              <w:pStyle w:val="Liste3"/>
              <w:numPr>
                <w:ilvl w:val="0"/>
                <w:numId w:val="0"/>
              </w:numPr>
              <w:rPr>
                <w:b/>
              </w:rPr>
            </w:pPr>
            <w:r>
              <w:rPr>
                <w:b/>
              </w:rPr>
              <w:t xml:space="preserve">Neue </w:t>
            </w:r>
            <w:proofErr w:type="spellStart"/>
            <w:r>
              <w:rPr>
                <w:b/>
              </w:rPr>
              <w:t>EinreiseVO</w:t>
            </w:r>
            <w:proofErr w:type="spellEnd"/>
            <w:r>
              <w:rPr>
                <w:b/>
              </w:rPr>
              <w:t xml:space="preserve"> </w:t>
            </w:r>
          </w:p>
          <w:p>
            <w:pPr>
              <w:pStyle w:val="Liste3"/>
              <w:numPr>
                <w:ilvl w:val="0"/>
                <w:numId w:val="0"/>
              </w:numPr>
              <w:rPr>
                <w:b/>
              </w:rPr>
            </w:pPr>
          </w:p>
          <w:p>
            <w:pPr>
              <w:pStyle w:val="Liste3"/>
              <w:numPr>
                <w:ilvl w:val="0"/>
                <w:numId w:val="16"/>
              </w:numPr>
            </w:pPr>
            <w:r>
              <w:t>Gestern veröffentlicht worden</w:t>
            </w:r>
          </w:p>
          <w:p>
            <w:pPr>
              <w:pStyle w:val="Liste3"/>
              <w:numPr>
                <w:ilvl w:val="0"/>
                <w:numId w:val="16"/>
              </w:numPr>
            </w:pPr>
            <w:r>
              <w:t>U.a. war der zweite Teil ausführlich kommentiert worden</w:t>
            </w:r>
          </w:p>
          <w:p>
            <w:pPr>
              <w:pStyle w:val="Liste3"/>
              <w:numPr>
                <w:ilvl w:val="0"/>
                <w:numId w:val="16"/>
              </w:numPr>
            </w:pPr>
            <w:r>
              <w:t>Vereinfachung des Systems / Entfallen der Risikogebiete ist nicht akzeptiert worden</w:t>
            </w:r>
          </w:p>
          <w:p>
            <w:pPr>
              <w:pStyle w:val="Liste3"/>
              <w:numPr>
                <w:ilvl w:val="0"/>
                <w:numId w:val="16"/>
              </w:numPr>
            </w:pPr>
            <w:r>
              <w:t xml:space="preserve">Vielmehr handelt es sich um eine Verlängerung der bisherigen </w:t>
            </w:r>
            <w:proofErr w:type="spellStart"/>
            <w:r>
              <w:t>EinreiseVO</w:t>
            </w:r>
            <w:proofErr w:type="spellEnd"/>
            <w:r>
              <w:t xml:space="preserve"> </w:t>
            </w:r>
          </w:p>
          <w:p>
            <w:pPr>
              <w:pStyle w:val="Liste3"/>
              <w:numPr>
                <w:ilvl w:val="0"/>
                <w:numId w:val="16"/>
              </w:numPr>
            </w:pPr>
            <w:r>
              <w:t>Dreispurige Aufteilung (Risiko-, Hochinzidenz- und Virusvarianten-Gebiet) ist beibehalten worden</w:t>
            </w:r>
          </w:p>
          <w:p>
            <w:pPr>
              <w:pStyle w:val="Liste3"/>
              <w:numPr>
                <w:ilvl w:val="0"/>
                <w:numId w:val="16"/>
              </w:numPr>
            </w:pPr>
            <w:proofErr w:type="spellStart"/>
            <w:r>
              <w:t>Entlistung</w:t>
            </w:r>
            <w:proofErr w:type="spellEnd"/>
            <w:r>
              <w:t xml:space="preserve"> von Ländern Südafrikas als Virusvariantengebiet kommende Woche angestrebt aufgrund der großflächigen </w:t>
            </w:r>
            <w:r>
              <w:lastRenderedPageBreak/>
              <w:t xml:space="preserve">Ausbreitung der Delta-Variante (epidemiologischer Anstieg auf Ausbreitung der Delta-Variante zurückzuführen)  </w:t>
            </w:r>
          </w:p>
          <w:p>
            <w:pPr>
              <w:pStyle w:val="Liste3"/>
              <w:numPr>
                <w:ilvl w:val="0"/>
                <w:numId w:val="16"/>
              </w:numPr>
            </w:pPr>
            <w:proofErr w:type="spellStart"/>
            <w:r>
              <w:t>Entlistung</w:t>
            </w:r>
            <w:proofErr w:type="spellEnd"/>
            <w:r>
              <w:t xml:space="preserve"> auch für humanitäre Einsätze aufgrund von Quarantänezeiten von Relevanz: derzeit Hilfeersuchen aus Namibia weiter in Bearbeitung sowie ein Einsatz in Ruanda in Diskussion</w:t>
            </w:r>
          </w:p>
          <w:p>
            <w:pPr>
              <w:pStyle w:val="Liste3"/>
              <w:numPr>
                <w:ilvl w:val="0"/>
                <w:numId w:val="16"/>
              </w:numPr>
            </w:pPr>
            <w:r>
              <w:t>In Südamerika wächst politischer Druck aufgrund der Reisebeschränkungen durch Ausweisung als Risikovariantengebiet (</w:t>
            </w:r>
            <w:r>
              <w:t>Verbreitung der Gamma-Variante</w:t>
            </w:r>
            <w:r>
              <w:t>)</w:t>
            </w:r>
          </w:p>
          <w:p>
            <w:pPr>
              <w:pStyle w:val="Liste3"/>
              <w:numPr>
                <w:ilvl w:val="0"/>
                <w:numId w:val="16"/>
              </w:numPr>
            </w:pPr>
            <w:r>
              <w:t xml:space="preserve">Anmerkung in </w:t>
            </w:r>
            <w:proofErr w:type="spellStart"/>
            <w:r>
              <w:t>EinreiseVO</w:t>
            </w:r>
            <w:proofErr w:type="spellEnd"/>
            <w:r>
              <w:t xml:space="preserve"> vorhanden, dass das RKI auf der Website ausweist, welche Virusvarianten Immune Escape-Potential besitzen</w:t>
            </w:r>
          </w:p>
          <w:p>
            <w:pPr>
              <w:pStyle w:val="Liste3"/>
              <w:numPr>
                <w:ilvl w:val="1"/>
                <w:numId w:val="16"/>
              </w:numPr>
            </w:pPr>
            <w:r>
              <w:t>Austausch dazu mit BMG erfolgt, BMG wünscht Aussage dazu, ob Beta- und Gamma-Variante Immune Escape-Potential besitzen</w:t>
            </w:r>
          </w:p>
          <w:p>
            <w:pPr>
              <w:pStyle w:val="Liste3"/>
              <w:numPr>
                <w:ilvl w:val="1"/>
                <w:numId w:val="16"/>
              </w:numPr>
            </w:pPr>
            <w:r>
              <w:t>Evidenzlage ändert sich laufend, Ausweisung wäre mit sehr viel Aufwand und Kontroversen verbunden</w:t>
            </w:r>
          </w:p>
          <w:p>
            <w:pPr>
              <w:pStyle w:val="Liste3"/>
              <w:numPr>
                <w:ilvl w:val="1"/>
                <w:numId w:val="16"/>
              </w:numPr>
            </w:pPr>
            <w:r>
              <w:t>Es ist nicht Aufgabe des RKI, Impfstoffwirkungen bzw. Escape-Varianten für Impfstoffe auszuweisen bzw. eine eigene Einschätzung dazu vorzunehmen, welcher Impfstoff gegen welche Variante wirksam ist</w:t>
            </w:r>
          </w:p>
          <w:p>
            <w:pPr>
              <w:pStyle w:val="Liste3"/>
              <w:numPr>
                <w:ilvl w:val="1"/>
                <w:numId w:val="16"/>
              </w:numPr>
            </w:pPr>
            <w:r>
              <w:t>Auftrag ist in kleinerer Runde mit FG17 und FG33 zu besprechen (Vorschlag, Montag mit Herrn Wichmann einen Vorschlag zu diskutieren)</w:t>
            </w:r>
          </w:p>
          <w:p>
            <w:pPr>
              <w:pStyle w:val="Liste3"/>
              <w:numPr>
                <w:ilvl w:val="1"/>
                <w:numId w:val="16"/>
              </w:numPr>
              <w:rPr>
                <w:lang w:val="en-US"/>
              </w:rPr>
            </w:pPr>
            <w:r>
              <w:rPr>
                <w:lang w:val="en-US"/>
              </w:rPr>
              <w:t>ECDC-</w:t>
            </w:r>
            <w:proofErr w:type="spellStart"/>
            <w:r>
              <w:rPr>
                <w:lang w:val="en-US"/>
              </w:rPr>
              <w:t>Tabelle</w:t>
            </w:r>
            <w:proofErr w:type="spellEnd"/>
            <w:r>
              <w:rPr>
                <w:lang w:val="en-US"/>
              </w:rPr>
              <w:t xml:space="preserve">: </w:t>
            </w:r>
            <w:proofErr w:type="spellStart"/>
            <w:r>
              <w:rPr>
                <w:lang w:val="en-US"/>
              </w:rPr>
              <w:t>Spalte</w:t>
            </w:r>
            <w:proofErr w:type="spellEnd"/>
            <w:r>
              <w:rPr>
                <w:lang w:val="en-US"/>
              </w:rPr>
              <w:t xml:space="preserve"> „Evidence for impact on </w:t>
            </w:r>
            <w:proofErr w:type="gramStart"/>
            <w:r>
              <w:rPr>
                <w:lang w:val="en-US"/>
              </w:rPr>
              <w:t>immunity“ in</w:t>
            </w:r>
            <w:proofErr w:type="gramEnd"/>
            <w:r>
              <w:rPr>
                <w:lang w:val="en-US"/>
              </w:rPr>
              <w:t xml:space="preserve"> der </w:t>
            </w:r>
            <w:proofErr w:type="spellStart"/>
            <w:r>
              <w:rPr>
                <w:lang w:val="en-US"/>
              </w:rPr>
              <w:t>Variantentabelle</w:t>
            </w:r>
            <w:proofErr w:type="spellEnd"/>
          </w:p>
          <w:p>
            <w:pPr>
              <w:pStyle w:val="Liste3"/>
              <w:numPr>
                <w:ilvl w:val="1"/>
                <w:numId w:val="16"/>
              </w:numPr>
            </w:pPr>
            <w:r>
              <w:t>Bei Pressestelle bereits erste Bürgeranfragen dazu, wo diese Daten zu finden seien</w:t>
            </w:r>
          </w:p>
          <w:p>
            <w:pPr>
              <w:pStyle w:val="Liste3"/>
              <w:numPr>
                <w:ilvl w:val="0"/>
                <w:numId w:val="0"/>
              </w:numPr>
              <w:ind w:left="360"/>
            </w:pPr>
          </w:p>
        </w:tc>
        <w:tc>
          <w:tcPr>
            <w:tcW w:w="1463" w:type="dxa"/>
          </w:tcPr>
          <w:p>
            <w:pPr>
              <w:rPr>
                <w:sz w:val="22"/>
                <w:szCs w:val="22"/>
              </w:rPr>
            </w:pPr>
          </w:p>
          <w:p>
            <w:pPr>
              <w:rPr>
                <w:sz w:val="22"/>
                <w:szCs w:val="22"/>
              </w:rPr>
            </w:pPr>
          </w:p>
          <w:p>
            <w:pPr>
              <w:rPr>
                <w:sz w:val="22"/>
                <w:szCs w:val="22"/>
              </w:rPr>
            </w:pPr>
            <w:r>
              <w:rPr>
                <w:sz w:val="22"/>
                <w:szCs w:val="22"/>
              </w:rPr>
              <w:t>ZIG (</w:t>
            </w:r>
            <w:proofErr w:type="spellStart"/>
            <w:r>
              <w:rPr>
                <w:sz w:val="22"/>
                <w:szCs w:val="22"/>
              </w:rPr>
              <w:t>Hanefeld</w:t>
            </w:r>
            <w:proofErr w:type="spellEnd"/>
            <w:r>
              <w:rPr>
                <w:sz w:val="22"/>
                <w:szCs w:val="22"/>
              </w:rPr>
              <w:t>)</w:t>
            </w:r>
          </w:p>
          <w:p>
            <w:pPr>
              <w:rPr>
                <w:sz w:val="22"/>
                <w:szCs w:val="22"/>
              </w:rPr>
            </w:pPr>
          </w:p>
          <w:p>
            <w:pPr>
              <w:rPr>
                <w:sz w:val="22"/>
                <w:szCs w:val="22"/>
              </w:rPr>
            </w:pP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FrZchn"/>
              </w:rPr>
              <w:t>(nur freitags)</w:t>
            </w:r>
          </w:p>
          <w:p>
            <w:pPr>
              <w:pStyle w:val="Liste1"/>
            </w:pPr>
            <w:r>
              <w:t xml:space="preserve">Synergien zwischen Projekten wie CWA und </w:t>
            </w:r>
            <w:proofErr w:type="spellStart"/>
            <w:r>
              <w:t>CovPass</w:t>
            </w:r>
            <w:proofErr w:type="spellEnd"/>
            <w:r>
              <w:t xml:space="preserve"> weiten sich aus</w:t>
            </w:r>
          </w:p>
          <w:p>
            <w:pPr>
              <w:pStyle w:val="Liste1"/>
            </w:pPr>
            <w:r>
              <w:t xml:space="preserve">Volumen aktueller Projekte (u.a. CWA, </w:t>
            </w:r>
            <w:proofErr w:type="spellStart"/>
            <w:r>
              <w:t>CovPass</w:t>
            </w:r>
            <w:proofErr w:type="spellEnd"/>
            <w:r>
              <w:t xml:space="preserve">, SORMAS, DEMIS) zu hoch </w:t>
            </w:r>
          </w:p>
          <w:p>
            <w:pPr>
              <w:pStyle w:val="Liste1"/>
            </w:pPr>
            <w:r>
              <w:t xml:space="preserve">DEA: Beauftragung der Jülich Company seitens BMG zu Kompatibilitätsfragestellung, führt zu vielen Hürden (Datenbefugnisse fraglich etc.) </w:t>
            </w:r>
          </w:p>
          <w:p>
            <w:pPr>
              <w:pStyle w:val="Liste1"/>
            </w:pPr>
            <w:r>
              <w:t xml:space="preserve">Umsetzung der Handhabung von Genesenen in </w:t>
            </w:r>
            <w:proofErr w:type="spellStart"/>
            <w:r>
              <w:t>CovPass</w:t>
            </w:r>
            <w:proofErr w:type="spellEnd"/>
            <w:r>
              <w:t xml:space="preserve"> und Abbildung der Varianten in CWA mit Herausforderungen verbunden</w:t>
            </w:r>
          </w:p>
          <w:p>
            <w:pPr>
              <w:pStyle w:val="Liste1"/>
            </w:pPr>
            <w:r>
              <w:t xml:space="preserve">Impfzertifikatausstellung durch Apotheken </w:t>
            </w:r>
            <w:r>
              <w:t>aufgrund zweier Vorfälle der Erschleichung von Zertifikaten</w:t>
            </w:r>
            <w:r>
              <w:t xml:space="preserve"> gestoppt, Aufklärung soweit erfolgt, Wiederaufnahmezeitpunkt der Ausstellung jedoch unklar </w:t>
            </w:r>
            <w:r>
              <w:sym w:font="Wingdings" w:char="F0E0"/>
            </w:r>
            <w:r>
              <w:t xml:space="preserve"> </w:t>
            </w:r>
            <w:proofErr w:type="spellStart"/>
            <w:r>
              <w:t>CovPass</w:t>
            </w:r>
            <w:proofErr w:type="spellEnd"/>
            <w:r>
              <w:t xml:space="preserve"> durch IBM ausgestellt, Hürden in der Zusammenarbeit</w:t>
            </w:r>
          </w:p>
          <w:p>
            <w:pPr>
              <w:pStyle w:val="Liste1"/>
            </w:pPr>
            <w:r>
              <w:t xml:space="preserve">Digitale Impfzertifikate bereits häufig für digitale Einreiseanmeldung </w:t>
            </w:r>
            <w:r>
              <w:t xml:space="preserve">erforderlich </w:t>
            </w:r>
            <w:r>
              <w:t xml:space="preserve">(Impfpass-Foto-Upload nicht fälschungssicher, daher </w:t>
            </w:r>
            <w:r>
              <w:t>durch einige Gesundheitsämter</w:t>
            </w:r>
            <w:r>
              <w:t xml:space="preserve"> </w:t>
            </w:r>
            <w:r>
              <w:t>ausschließlich</w:t>
            </w:r>
            <w:r>
              <w:t xml:space="preserve"> Akzeptanz des QR-Codes)</w:t>
            </w:r>
          </w:p>
          <w:p>
            <w:pPr>
              <w:pStyle w:val="Liste1"/>
            </w:pPr>
            <w:r>
              <w:t>Für die baldige Impfung durch ca. 400 Gesundheitsämter sind auch die Zertifikate und die CWA- / IT-Strukturen anzupassen</w:t>
            </w:r>
          </w:p>
          <w:p>
            <w:pPr>
              <w:pStyle w:val="Liste1"/>
            </w:pPr>
            <w:r>
              <w:lastRenderedPageBreak/>
              <w:t>DEMIS und weitere digitale Projekte rücken langsam in de Fokus der öffentlichen Wahrnehmung, Erwartungen steigen, Unterstützung von außen zur Umsetzung</w:t>
            </w:r>
          </w:p>
          <w:p>
            <w:pPr>
              <w:pStyle w:val="Liste1"/>
            </w:pPr>
            <w:r>
              <w:t>Gesundheitsämter und digitale Projekte = Schlüsselfunktionen der Zukunft</w:t>
            </w:r>
          </w:p>
          <w:p>
            <w:pPr>
              <w:pStyle w:val="Liste1"/>
            </w:pPr>
            <w:r>
              <w:t xml:space="preserve">Herr Wieler hatte Abteilungsleitender aufgefordert, allen FG-Leitungen die neue, bereits beschiedene Struktur von MFI darzulegen - zwei Unterabteilungen: FG IT und ein FG für Management digitaler Projekte, zwecks Ressourcenbündelung schließen sich Herr Wieler, Herr </w:t>
            </w:r>
            <w:proofErr w:type="spellStart"/>
            <w:r>
              <w:t>Hamouda</w:t>
            </w:r>
            <w:proofErr w:type="spellEnd"/>
            <w:r>
              <w:t xml:space="preserve"> und Herr </w:t>
            </w:r>
            <w:proofErr w:type="spellStart"/>
            <w:r>
              <w:t>Schmich</w:t>
            </w:r>
            <w:proofErr w:type="spellEnd"/>
            <w:r>
              <w:t xml:space="preserve"> kurz</w:t>
            </w:r>
          </w:p>
          <w:p>
            <w:pPr>
              <w:pStyle w:val="Liste1"/>
              <w:numPr>
                <w:ilvl w:val="0"/>
                <w:numId w:val="0"/>
              </w:numPr>
              <w:ind w:left="360"/>
              <w:rPr>
                <w:highlight w:val="yellow"/>
              </w:rPr>
            </w:pPr>
          </w:p>
        </w:tc>
        <w:tc>
          <w:tcPr>
            <w:tcW w:w="1463" w:type="dxa"/>
          </w:tcPr>
          <w:p>
            <w:pPr>
              <w:rPr>
                <w:sz w:val="22"/>
                <w:szCs w:val="22"/>
              </w:rPr>
            </w:pPr>
          </w:p>
          <w:p>
            <w:pPr>
              <w:rPr>
                <w:sz w:val="22"/>
                <w:szCs w:val="22"/>
              </w:rPr>
            </w:pPr>
          </w:p>
          <w:p>
            <w:pPr>
              <w:rPr>
                <w:sz w:val="22"/>
                <w:szCs w:val="22"/>
              </w:rPr>
            </w:pPr>
            <w:r>
              <w:rPr>
                <w:sz w:val="22"/>
                <w:szCs w:val="22"/>
              </w:rPr>
              <w:t>FG21</w:t>
            </w:r>
          </w:p>
          <w:p>
            <w:pPr>
              <w:rPr>
                <w:sz w:val="22"/>
                <w:szCs w:val="22"/>
              </w:rPr>
            </w:pPr>
            <w:r>
              <w:rPr>
                <w:sz w:val="22"/>
                <w:szCs w:val="22"/>
              </w:rPr>
              <w:t>(</w:t>
            </w:r>
            <w:proofErr w:type="spellStart"/>
            <w:r>
              <w:rPr>
                <w:sz w:val="22"/>
                <w:szCs w:val="22"/>
              </w:rPr>
              <w:t>Schmich</w:t>
            </w:r>
            <w:proofErr w:type="spellEnd"/>
            <w:r>
              <w:rPr>
                <w:sz w:val="22"/>
                <w:szCs w:val="22"/>
              </w:rPr>
              <w:t>)</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Nicht berichtet</w:t>
            </w:r>
            <w:r>
              <w:br/>
            </w:r>
          </w:p>
        </w:tc>
        <w:tc>
          <w:tcPr>
            <w:tcW w:w="1463" w:type="dxa"/>
          </w:tcPr>
          <w:p>
            <w:pPr>
              <w:rPr>
                <w:sz w:val="22"/>
                <w:szCs w:val="22"/>
              </w:rPr>
            </w:pPr>
          </w:p>
          <w:p>
            <w:pPr>
              <w:rPr>
                <w:sz w:val="22"/>
                <w:szCs w:val="22"/>
              </w:rPr>
            </w:pP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Veröffentlichung des TV-Spots zum Impfen: heute zunächst auf digitalen Kanälen und privaten Sendern, ggf. auch über öffentlich-rechtliche Sender als politisches Signal</w:t>
            </w:r>
          </w:p>
          <w:p>
            <w:pPr>
              <w:pStyle w:val="Liste1"/>
            </w:pPr>
            <w:hyperlink r:id="rId16" w:history="1">
              <w:r>
                <w:rPr>
                  <w:rStyle w:val="Hyperlink"/>
                </w:rPr>
                <w:t>https://www.youtube.com/watch?v=tC0wkfwVUS0</w:t>
              </w:r>
            </w:hyperlink>
          </w:p>
          <w:p>
            <w:pPr>
              <w:pStyle w:val="Liste1"/>
            </w:pPr>
            <w:r>
              <w:t xml:space="preserve">360° Agile Kommunikationskonzeption (15/ 30 /60 sec für verschiedene Formate, geobasiert auf </w:t>
            </w:r>
            <w:proofErr w:type="spellStart"/>
            <w:r>
              <w:t>Social</w:t>
            </w:r>
            <w:proofErr w:type="spellEnd"/>
            <w:r>
              <w:t xml:space="preserve"> Media zur Verbreitung)</w:t>
            </w:r>
          </w:p>
          <w:p>
            <w:pPr>
              <w:pStyle w:val="Liste1"/>
            </w:pPr>
            <w:r>
              <w:t xml:space="preserve">Mittwoch: Termin mit Migrationsbeauftragten zur Impfakzeptanz </w:t>
            </w:r>
            <w:r>
              <w:sym w:font="Wingdings" w:char="F0E0"/>
            </w:r>
            <w:r>
              <w:t xml:space="preserve"> Bereitstellung digitaler Pakete für die Länder mit speziell auf diese Personenkreise zugeschnitten Formaten (Sprache, Detailgrad, Medienplattformen: differenzierte Betrachtung erforderlich) </w:t>
            </w:r>
            <w:r>
              <w:sym w:font="Wingdings" w:char="F0E0"/>
            </w:r>
            <w:r>
              <w:t xml:space="preserve"> Verbreitung auf Landesebene</w:t>
            </w:r>
          </w:p>
          <w:p>
            <w:pPr>
              <w:pStyle w:val="Liste1"/>
            </w:pPr>
            <w:r>
              <w:t xml:space="preserve">Zentrale Aspekte: Vertrauen und Risikowahrnehmung </w:t>
            </w:r>
          </w:p>
          <w:p>
            <w:pPr>
              <w:pStyle w:val="Liste1"/>
            </w:pPr>
            <w:r>
              <w:t>Schulferienende: zentrale Informationsangebote für Schulen werden vorbereitet unabhängig der landesspezifischen Konzepte</w:t>
            </w:r>
          </w:p>
          <w:p>
            <w:pPr>
              <w:pStyle w:val="Liste1"/>
            </w:pPr>
            <w:r>
              <w:t xml:space="preserve">Betroffenendokumentationen (v.a. auch von jüngeren Bevölkerungsgruppen) könnten erneut zirkuliert und auf Bevölkerungsgruppen mit Migrationshintergrund zugeschnitten werden, um das Risikobewusstsein zu fördern </w:t>
            </w:r>
          </w:p>
          <w:p>
            <w:pPr>
              <w:pStyle w:val="2"/>
            </w:pPr>
            <w:r>
              <w:t>Presse</w:t>
            </w:r>
          </w:p>
          <w:p>
            <w:pPr>
              <w:pStyle w:val="Liste1"/>
            </w:pPr>
            <w:r>
              <w:t>Nicht berichtet bzw. siehe TOP 6, RKI-intern</w:t>
            </w:r>
          </w:p>
          <w:p>
            <w:pPr>
              <w:pStyle w:val="2"/>
            </w:pPr>
            <w:r>
              <w:t>P1</w:t>
            </w:r>
          </w:p>
          <w:p>
            <w:pPr>
              <w:pStyle w:val="Liste1"/>
              <w:rPr>
                <w:i/>
              </w:rPr>
            </w:pPr>
            <w:r>
              <w:t>Nicht berichtet</w:t>
            </w:r>
            <w:r>
              <w:br/>
            </w: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BZgA </w:t>
            </w:r>
          </w:p>
          <w:p>
            <w:pPr>
              <w:rPr>
                <w:sz w:val="22"/>
                <w:szCs w:val="22"/>
              </w:rPr>
            </w:pPr>
            <w:r>
              <w:rPr>
                <w:sz w:val="22"/>
                <w:szCs w:val="22"/>
              </w:rPr>
              <w:t>(Dietrich)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Presse </w:t>
            </w:r>
          </w:p>
          <w:p>
            <w:pPr>
              <w:rPr>
                <w:sz w:val="22"/>
                <w:szCs w:val="22"/>
              </w:rPr>
            </w:pPr>
            <w:r>
              <w:rPr>
                <w:sz w:val="22"/>
                <w:szCs w:val="22"/>
              </w:rPr>
              <w:t>(</w:t>
            </w:r>
            <w:proofErr w:type="spellStart"/>
            <w:r>
              <w:rPr>
                <w:sz w:val="22"/>
                <w:szCs w:val="22"/>
              </w:rPr>
              <w:t>Wenchel</w:t>
            </w:r>
            <w:proofErr w:type="spellEnd"/>
            <w:r>
              <w:rPr>
                <w:sz w:val="22"/>
                <w:szCs w:val="22"/>
              </w:rPr>
              <w:t>)</w:t>
            </w:r>
            <w:r>
              <w:rPr>
                <w:sz w:val="22"/>
                <w:szCs w:val="22"/>
              </w:rPr>
              <w:br/>
            </w:r>
          </w:p>
          <w:p>
            <w:pPr>
              <w:rPr>
                <w:sz w:val="22"/>
                <w:szCs w:val="22"/>
              </w:rPr>
            </w:pPr>
          </w:p>
          <w:p>
            <w:pPr>
              <w:rPr>
                <w:sz w:val="22"/>
                <w:szCs w:val="22"/>
              </w:rPr>
            </w:pPr>
            <w:r>
              <w:rPr>
                <w:sz w:val="22"/>
                <w:szCs w:val="22"/>
              </w:rPr>
              <w:t>P1</w:t>
            </w:r>
          </w:p>
          <w:p>
            <w:pPr>
              <w:rPr>
                <w:sz w:val="22"/>
                <w:szCs w:val="22"/>
              </w:rPr>
            </w:pPr>
            <w:r>
              <w:rPr>
                <w:sz w:val="22"/>
                <w:szCs w:val="22"/>
              </w:rPr>
              <w:t>(Lein)</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t>Allgemein</w:t>
            </w:r>
          </w:p>
          <w:p>
            <w:pPr>
              <w:pStyle w:val="NurText"/>
              <w:rPr>
                <w:rFonts w:asciiTheme="minorHAnsi" w:hAnsiTheme="minorHAnsi"/>
              </w:rPr>
            </w:pPr>
            <w:r>
              <w:rPr>
                <w:rFonts w:asciiTheme="minorHAnsi" w:hAnsiTheme="minorHAnsi"/>
              </w:rPr>
              <w:t xml:space="preserve">Indikatoren </w:t>
            </w:r>
            <w:proofErr w:type="spellStart"/>
            <w:r>
              <w:rPr>
                <w:rFonts w:asciiTheme="minorHAnsi" w:hAnsiTheme="minorHAnsi"/>
              </w:rPr>
              <w:t>ControlCOVID</w:t>
            </w:r>
            <w:proofErr w:type="spellEnd"/>
            <w:r>
              <w:rPr>
                <w:rFonts w:asciiTheme="minorHAnsi" w:hAnsiTheme="minorHAnsi"/>
              </w:rPr>
              <w:t xml:space="preserve"> mit Schwellenwerten</w:t>
            </w:r>
          </w:p>
          <w:p>
            <w:pPr>
              <w:pStyle w:val="Liste1"/>
            </w:pPr>
            <w:r>
              <w:t>Hospitalisierung (Meldepflicht) – siehe unten</w:t>
            </w:r>
          </w:p>
          <w:p>
            <w:pPr>
              <w:pStyle w:val="Liste1"/>
            </w:pPr>
            <w:r>
              <w:lastRenderedPageBreak/>
              <w:t xml:space="preserve">Schwellenwert für Anzahl Menschen auf Großveranstaltungen: bleibt bei Schwellenwert des </w:t>
            </w:r>
            <w:proofErr w:type="spellStart"/>
            <w:r>
              <w:t>ControlCovid</w:t>
            </w:r>
            <w:proofErr w:type="spellEnd"/>
            <w:r>
              <w:t>-Papiers</w:t>
            </w:r>
          </w:p>
          <w:p>
            <w:pPr>
              <w:pStyle w:val="Liste1"/>
            </w:pPr>
            <w:r>
              <w:t>Schwellenwert für Anzahl Menschen bei privaten Zusammenkünften</w:t>
            </w:r>
          </w:p>
          <w:p>
            <w:pPr>
              <w:pStyle w:val="Liste1"/>
            </w:pPr>
            <w:r>
              <w:t>Schwellenwert CO2 in geschlossenen Räumen: 1000 ppm</w:t>
            </w:r>
          </w:p>
          <w:p>
            <w:pPr>
              <w:pStyle w:val="NurText"/>
              <w:ind w:left="360"/>
            </w:pPr>
          </w:p>
          <w:p>
            <w:pPr>
              <w:pStyle w:val="Liste1"/>
            </w:pPr>
            <w:r>
              <w:t xml:space="preserve">Erlass von gestern, bis 30.07. zu bearbeiten: Einordnung der Aussagekraft der Inzidenzen und Hospitalisierungsraten bei steigenden Impfquoten </w:t>
            </w:r>
            <w:r>
              <w:sym w:font="Wingdings" w:char="F0E0"/>
            </w:r>
            <w:r>
              <w:t xml:space="preserve"> Maße der Einschätzung erforderlich</w:t>
            </w:r>
          </w:p>
          <w:p>
            <w:pPr>
              <w:pStyle w:val="Liste1"/>
            </w:pPr>
            <w:r>
              <w:t xml:space="preserve">Tagung Untergruppe AGI zu Strategiewechsel vergangenen Dienstag, Austausch mit Herrn Rottmann und </w:t>
            </w:r>
            <w:proofErr w:type="spellStart"/>
            <w:r>
              <w:t>Holtherm</w:t>
            </w:r>
            <w:proofErr w:type="spellEnd"/>
            <w:r>
              <w:t xml:space="preserve"> sowie Herrn Haas und Frau Buda</w:t>
            </w:r>
          </w:p>
          <w:p>
            <w:pPr>
              <w:pStyle w:val="Liste1"/>
            </w:pPr>
            <w:proofErr w:type="spellStart"/>
            <w:r>
              <w:t>ControlCovid</w:t>
            </w:r>
            <w:proofErr w:type="spellEnd"/>
            <w:r>
              <w:t xml:space="preserve"> war Evidenz-basiert, Evidenz für Delta-Variante noch nicht ausreichend vorhanden  </w:t>
            </w:r>
          </w:p>
          <w:p>
            <w:pPr>
              <w:pStyle w:val="Liste1"/>
            </w:pPr>
            <w:r>
              <w:t xml:space="preserve">Schwierigkeit, dass Länder klare, justiziable Indikatoren wünschen, während lokale Gegebenheiten einen erheblichen Einfluss besitzen </w:t>
            </w:r>
            <w:r>
              <w:sym w:font="Wingdings" w:char="F0E0"/>
            </w:r>
            <w:r>
              <w:t xml:space="preserve"> Grenzwertfestlegung schwierig </w:t>
            </w:r>
            <w:r>
              <w:sym w:font="Wingdings" w:char="F0E0"/>
            </w:r>
            <w:r>
              <w:t xml:space="preserve"> neuer Rahmen </w:t>
            </w:r>
            <w:r>
              <w:t xml:space="preserve">auf Basis des </w:t>
            </w:r>
            <w:proofErr w:type="spellStart"/>
            <w:r>
              <w:t>ControlCovid</w:t>
            </w:r>
            <w:proofErr w:type="spellEnd"/>
            <w:r>
              <w:t>-Papiers</w:t>
            </w:r>
            <w:r>
              <w:t xml:space="preserve"> erarbeitet, da diese Indikatoren weiterhin - auch </w:t>
            </w:r>
            <w:r>
              <w:t>unabhängig der Impfung</w:t>
            </w:r>
            <w:r>
              <w:t xml:space="preserve"> - gültig sind</w:t>
            </w:r>
          </w:p>
          <w:p>
            <w:pPr>
              <w:pStyle w:val="Liste3"/>
            </w:pPr>
            <w:r>
              <w:t>Leitindikatoren:</w:t>
            </w:r>
          </w:p>
          <w:p>
            <w:pPr>
              <w:pStyle w:val="Listenabsatz"/>
              <w:numPr>
                <w:ilvl w:val="2"/>
                <w:numId w:val="7"/>
              </w:numPr>
              <w:rPr>
                <w:sz w:val="22"/>
                <w:szCs w:val="22"/>
              </w:rPr>
            </w:pPr>
            <w:r>
              <w:rPr>
                <w:sz w:val="22"/>
                <w:szCs w:val="22"/>
              </w:rPr>
              <w:t>7-Tages-Inzidenz als Maß für Ausbreitungsgeschwindigkeit</w:t>
            </w:r>
          </w:p>
          <w:p>
            <w:pPr>
              <w:pStyle w:val="Listenabsatz"/>
              <w:numPr>
                <w:ilvl w:val="2"/>
                <w:numId w:val="7"/>
              </w:numPr>
              <w:rPr>
                <w:sz w:val="22"/>
                <w:szCs w:val="22"/>
              </w:rPr>
            </w:pPr>
            <w:r>
              <w:rPr>
                <w:sz w:val="22"/>
                <w:szCs w:val="22"/>
              </w:rPr>
              <w:t>Hospitalisierungsrate der AG &gt; 60 als Maß für Krankheitsschwere</w:t>
            </w:r>
          </w:p>
          <w:p>
            <w:pPr>
              <w:pStyle w:val="Listenabsatz"/>
              <w:numPr>
                <w:ilvl w:val="2"/>
                <w:numId w:val="7"/>
              </w:numPr>
              <w:rPr>
                <w:sz w:val="22"/>
                <w:szCs w:val="22"/>
              </w:rPr>
            </w:pPr>
            <w:r>
              <w:rPr>
                <w:sz w:val="22"/>
                <w:szCs w:val="22"/>
              </w:rPr>
              <w:t xml:space="preserve">Anteil </w:t>
            </w:r>
            <w:proofErr w:type="spellStart"/>
            <w:r>
              <w:rPr>
                <w:sz w:val="22"/>
                <w:szCs w:val="22"/>
              </w:rPr>
              <w:t>Covid</w:t>
            </w:r>
            <w:proofErr w:type="spellEnd"/>
            <w:r>
              <w:rPr>
                <w:sz w:val="22"/>
                <w:szCs w:val="22"/>
              </w:rPr>
              <w:t>-Fälle an allen ITS-Fällen als Maß für Krankenhausversorgung/Auslastung</w:t>
            </w:r>
          </w:p>
          <w:p>
            <w:pPr>
              <w:pStyle w:val="Liste3"/>
            </w:pPr>
            <w:r>
              <w:t>Wechsel der Warnstufe nur dann, wenn mind. zwei der drei Leitindikatoren festgelegte Kriterien erfüllen</w:t>
            </w:r>
          </w:p>
          <w:p>
            <w:pPr>
              <w:pStyle w:val="Liste3"/>
            </w:pPr>
            <w:r>
              <w:t>Unabhängig von den verschiedenen Stufen sind Präventionsmaßnahmen einzuhalten bzw. anzustreben: vollständige Immunisierung, AHA-Regeln etc.</w:t>
            </w:r>
          </w:p>
          <w:p>
            <w:pPr>
              <w:pStyle w:val="Liste3"/>
            </w:pPr>
            <w:r>
              <w:t>Grafische Ausarbeitung mit P1 geplant</w:t>
            </w:r>
          </w:p>
          <w:p>
            <w:pPr>
              <w:pStyle w:val="Liste1"/>
            </w:pPr>
            <w:r>
              <w:t>RKI weist die Anzahl der asymptomatischen und symptomatischen COVID-19 Fälle mit abgeschlossener Impfserie und einem Mindestabstand von 14 Tagen zwischen Erkrankungsbeginn bzw. Diagnose nach der letzten Impfung aus (Wochenbericht S.18 erste Zeile Covid-19 Fälle mit vollständiger Impfung – auch alle asymptomatischen Fälle, in der Zeile darunter werden symptomatische Fälle/Impfdurchbrüche ausgewiesen)</w:t>
            </w:r>
          </w:p>
          <w:p>
            <w:pPr>
              <w:pStyle w:val="Liste1"/>
            </w:pPr>
            <w:r>
              <w:t xml:space="preserve">Altersspezifische Umsetzung von Inzidenzen nicht umsetzbar (zu geringe Datenlage, zu viele Variablen) </w:t>
            </w:r>
          </w:p>
          <w:p>
            <w:pPr>
              <w:pStyle w:val="Liste1"/>
            </w:pPr>
            <w:r>
              <w:t xml:space="preserve">Geschwindigkeit der Ausbreitung, Schwere der Belastung des Gesundheitssystems und Grenzen der KP-Nachverfolgung als Parameter der Belastung der Gesundheitsämter </w:t>
            </w:r>
            <w:r>
              <w:sym w:font="Wingdings" w:char="F0E0"/>
            </w:r>
            <w:r>
              <w:t xml:space="preserve"> Basis für lokale Behörden, lokale Maßnahmen zu beschließen</w:t>
            </w:r>
          </w:p>
          <w:p>
            <w:pPr>
              <w:pStyle w:val="Liste1"/>
            </w:pPr>
            <w:r>
              <w:t>Hospitalisierung der AG &gt; 60 Jahre sensitiverer Indikator trotz Impfung v.a. auch dieser AG und Verschiebung der Inzidenzen und Hospitalisierungsraten hin zu jüngeren AG</w:t>
            </w:r>
          </w:p>
          <w:p>
            <w:pPr>
              <w:pStyle w:val="Liste1"/>
            </w:pPr>
            <w:r>
              <w:t xml:space="preserve">Laut Modellierung ist diese AG weiterhin bei steigender Inzidenz die AG, die am häufigsten hospitalisiert würde, ein geringerer Wert für Hospitalisierung  insgesamt muss berücksichtigt werden, daher ist dieser Indikator weiterhin sinnvoll und somit ggf. </w:t>
            </w:r>
            <w:r>
              <w:lastRenderedPageBreak/>
              <w:t>sensitiver, zudem werden beide (Gesamtbevölkerungsinzidenz und Inzidenz AG 60 +) im Lagebericht ausgewiesen</w:t>
            </w:r>
          </w:p>
          <w:p>
            <w:pPr>
              <w:pStyle w:val="Liste1"/>
            </w:pPr>
            <w:r>
              <w:t xml:space="preserve">Nachtrag: Infektionen nach Impfung in UK: Prozent Positive nach vollständiger Impfung bei AZ 0,1 % und bei </w:t>
            </w:r>
            <w:proofErr w:type="spellStart"/>
            <w:r>
              <w:t>Biontech</w:t>
            </w:r>
            <w:proofErr w:type="spellEnd"/>
            <w:r>
              <w:t xml:space="preserve"> 0.1 %; Analyse der Daten Dezember 2020 - Ende Mai 2021 (Delta dominant) </w:t>
            </w:r>
            <w:hyperlink r:id="rId17" w:history="1">
              <w:r>
                <w:rPr>
                  <w:rStyle w:val="Hyperlink"/>
                </w:rPr>
                <w:t>https://www.ons.gov.uk/peoplepopulationandcommunity/healthandsocialcare/conditionsanddiseases/articles/coronaviruscovid19infectionsurveytechnicalarticleanalysisofpositivityaftervaccination/june2021</w:t>
              </w:r>
            </w:hyperlink>
            <w:r>
              <w:rPr>
                <w:highlight w:val="yellow"/>
              </w:rPr>
              <w:t xml:space="preserve"> </w:t>
            </w:r>
          </w:p>
          <w:p/>
          <w:p>
            <w:pPr>
              <w:pStyle w:val="2"/>
              <w:rPr>
                <w:i/>
              </w:rPr>
            </w:pPr>
            <w:r>
              <w:t>RKI-intern</w:t>
            </w:r>
          </w:p>
          <w:p>
            <w:pPr>
              <w:pStyle w:val="Liste1"/>
              <w:numPr>
                <w:ilvl w:val="0"/>
                <w:numId w:val="0"/>
              </w:numPr>
              <w:ind w:left="54"/>
            </w:pPr>
            <w:r>
              <w:t>Anfragen an Fachgebiete durch Presse/Fachöffentlichkeit – wie sind diese zu reduzieren</w:t>
            </w:r>
          </w:p>
          <w:p>
            <w:pPr>
              <w:pStyle w:val="Liste1"/>
            </w:pPr>
            <w:r>
              <w:t xml:space="preserve">FG33: bei bestimmten Anfragetypen Verwendung von Standardschreiben </w:t>
            </w:r>
          </w:p>
          <w:p>
            <w:pPr>
              <w:pStyle w:val="Liste1"/>
            </w:pPr>
            <w:r>
              <w:t>Zirkulieren der Standardschreiben wenig sinnvoll, da schnell veraltet und in großer Zahl vorhanden</w:t>
            </w:r>
          </w:p>
          <w:p>
            <w:pPr>
              <w:pStyle w:val="Liste1"/>
            </w:pPr>
            <w:r>
              <w:t xml:space="preserve">IBBS: </w:t>
            </w:r>
          </w:p>
          <w:p>
            <w:pPr>
              <w:pStyle w:val="Liste3"/>
            </w:pPr>
            <w:r>
              <w:t xml:space="preserve">Therapieanfragen </w:t>
            </w:r>
            <w:r>
              <w:sym w:font="Wingdings" w:char="F0E0"/>
            </w:r>
            <w:r>
              <w:t xml:space="preserve"> Gründung „Beratungsnetzwerk“ (Anfragen erheblich gesunken, regelmäßig bis zu 300 Teilnehmende); </w:t>
            </w:r>
          </w:p>
          <w:p>
            <w:pPr>
              <w:pStyle w:val="Liste3"/>
            </w:pPr>
            <w:r>
              <w:t xml:space="preserve">Austausch mit Fachgesellschaften </w:t>
            </w:r>
            <w:r>
              <w:sym w:font="Wingdings" w:char="F0E0"/>
            </w:r>
            <w:r>
              <w:t xml:space="preserve"> konzertiert in wöchentlichen Telefonkonferenzen; </w:t>
            </w:r>
          </w:p>
          <w:p>
            <w:pPr>
              <w:pStyle w:val="Liste3"/>
            </w:pPr>
            <w:r>
              <w:t xml:space="preserve">Einzelfallanfragen </w:t>
            </w:r>
            <w:r>
              <w:sym w:font="Wingdings" w:char="F0E0"/>
            </w:r>
            <w:r>
              <w:t xml:space="preserve"> „Praxisberichte von Klinikern für Kliniker“ zusätzlich zu Übersichtsberichten</w:t>
            </w:r>
          </w:p>
          <w:p>
            <w:pPr>
              <w:pStyle w:val="Liste1"/>
            </w:pPr>
            <w:r>
              <w:t>Presse und Rechtsreferat: standardisierte Antworten sollten an frühe Stelle gesetzt werden</w:t>
            </w:r>
          </w:p>
          <w:p>
            <w:pPr>
              <w:pStyle w:val="Liste1"/>
            </w:pPr>
            <w:r>
              <w:t xml:space="preserve">Antworten auf einzelne medizinische oder statistische Anfragen nicht umsetzbar, dazu viele als IFG-Anfragen getarnte Recherche-Aufträge </w:t>
            </w:r>
            <w:r>
              <w:sym w:font="Wingdings" w:char="F0E0"/>
            </w:r>
            <w:r>
              <w:t xml:space="preserve"> über L zurück an Lagezentrum und Presse</w:t>
            </w:r>
          </w:p>
          <w:p>
            <w:pPr>
              <w:pStyle w:val="Liste1"/>
            </w:pPr>
            <w:r>
              <w:t>Anfragen, die bei einzelnen OEs eintreffen, können ggf. an Presse zurückgeschickt werden mit der Bitte um freundliche Absage</w:t>
            </w:r>
          </w:p>
          <w:p>
            <w:pPr>
              <w:pStyle w:val="Liste1"/>
            </w:pPr>
            <w:r>
              <w:t xml:space="preserve">Es wird darum gebeten, daran zu denken, dass jede Abbildung, die rausgeschickt wird, zu weiteren Anfragen führt, bspw. nach Rohdaten (viele Abbildungen sind mit Verweis auf das Dashboard zu finden) </w:t>
            </w:r>
          </w:p>
          <w:p>
            <w:pPr>
              <w:pStyle w:val="Liste1"/>
            </w:pPr>
            <w:r>
              <w:t>Es sollte</w:t>
            </w:r>
            <w:r>
              <w:t>, wenn möglich,</w:t>
            </w:r>
            <w:r>
              <w:t xml:space="preserve"> insgesamt vermehrt auf das Dashboard verwiesen werden</w:t>
            </w:r>
          </w:p>
          <w:p>
            <w:pPr>
              <w:pStyle w:val="Liste1"/>
            </w:pPr>
            <w:r>
              <w:t xml:space="preserve">Diskussion der Übereinstimmung des internen RKI-Hygienekonzeptes mit externem Konzept gesondert oder kommenden Mittwoch zu führen (Bspw. AHA plus L-Regel; MNS in geschlossen Räumen bei ausschließlicher Anwesenheit Geimpfter nicht erforderlich) </w:t>
            </w:r>
          </w:p>
          <w:p>
            <w:pPr>
              <w:pStyle w:val="Liste1"/>
              <w:numPr>
                <w:ilvl w:val="0"/>
                <w:numId w:val="0"/>
              </w:numPr>
              <w:ind w:left="360"/>
            </w:pPr>
          </w:p>
        </w:tc>
        <w:tc>
          <w:tcPr>
            <w:tcW w:w="1463" w:type="dxa"/>
          </w:tcPr>
          <w:p>
            <w:pPr>
              <w:rPr>
                <w:sz w:val="22"/>
                <w:szCs w:val="22"/>
              </w:rPr>
            </w:pPr>
          </w:p>
          <w:p>
            <w:pPr>
              <w:rPr>
                <w:sz w:val="22"/>
                <w:szCs w:val="22"/>
              </w:rPr>
            </w:pPr>
          </w:p>
          <w:p>
            <w:pPr>
              <w:rPr>
                <w:sz w:val="22"/>
                <w:szCs w:val="22"/>
              </w:rPr>
            </w:pPr>
          </w:p>
          <w:p>
            <w:pPr>
              <w:rPr>
                <w:sz w:val="22"/>
                <w:szCs w:val="22"/>
                <w:lang w:val="en-GB"/>
              </w:rPr>
            </w:pPr>
            <w:r>
              <w:rPr>
                <w:sz w:val="22"/>
                <w:szCs w:val="22"/>
                <w:lang w:val="en-GB"/>
              </w:rPr>
              <w:t>FG38 (</w:t>
            </w:r>
            <w:proofErr w:type="spellStart"/>
            <w:r>
              <w:rPr>
                <w:sz w:val="22"/>
                <w:szCs w:val="22"/>
                <w:lang w:val="en-GB"/>
              </w:rPr>
              <w:t>Hamouda</w:t>
            </w:r>
            <w:proofErr w:type="spellEnd"/>
            <w:r>
              <w:rPr>
                <w:sz w:val="22"/>
                <w:szCs w:val="22"/>
                <w:lang w:val="en-GB"/>
              </w:rPr>
              <w:t>)</w:t>
            </w:r>
          </w:p>
          <w:p>
            <w:pPr>
              <w:rPr>
                <w:sz w:val="22"/>
                <w:szCs w:val="22"/>
                <w:lang w:val="en-GB"/>
              </w:rPr>
            </w:pPr>
          </w:p>
        </w:tc>
      </w:tr>
      <w:tr>
        <w:tc>
          <w:tcPr>
            <w:tcW w:w="684" w:type="dxa"/>
          </w:tcPr>
          <w:p>
            <w:pPr>
              <w:rPr>
                <w:b/>
              </w:rPr>
            </w:pPr>
            <w:r>
              <w:rPr>
                <w:b/>
              </w:rPr>
              <w:lastRenderedPageBreak/>
              <w:t>7</w:t>
            </w:r>
          </w:p>
        </w:tc>
        <w:tc>
          <w:tcPr>
            <w:tcW w:w="6824" w:type="dxa"/>
          </w:tcPr>
          <w:p>
            <w:pPr>
              <w:spacing w:line="276" w:lineRule="auto"/>
              <w:rPr>
                <w:b/>
                <w:sz w:val="28"/>
              </w:rPr>
            </w:pPr>
            <w:r>
              <w:rPr>
                <w:b/>
                <w:sz w:val="28"/>
              </w:rPr>
              <w:t xml:space="preserve">Dokumente </w:t>
            </w:r>
            <w:r>
              <w:rPr>
                <w:rStyle w:val="TagFrZchn"/>
              </w:rPr>
              <w:t>(nur freitags)</w:t>
            </w:r>
          </w:p>
          <w:p>
            <w:pPr>
              <w:pStyle w:val="Liste1"/>
            </w:pPr>
            <w:r>
              <w:t>Nicht berichtet</w:t>
            </w:r>
          </w:p>
          <w:p>
            <w:pPr>
              <w:pStyle w:val="Liste1"/>
              <w:numPr>
                <w:ilvl w:val="0"/>
                <w:numId w:val="0"/>
              </w:numPr>
              <w:ind w:left="473" w:hanging="360"/>
              <w:rPr>
                <w:i/>
              </w:rPr>
            </w:pPr>
          </w:p>
          <w:p>
            <w:pPr>
              <w:pStyle w:val="Liste1"/>
              <w:numPr>
                <w:ilvl w:val="0"/>
                <w:numId w:val="0"/>
              </w:numPr>
              <w:ind w:left="473" w:hanging="360"/>
              <w:rPr>
                <w:i/>
              </w:rPr>
            </w:pP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spacing w:line="276" w:lineRule="auto"/>
              <w:rPr>
                <w:rStyle w:val="TagFrZchn"/>
              </w:rPr>
            </w:pPr>
          </w:p>
          <w:p>
            <w:pPr>
              <w:pStyle w:val="Listenabsatz"/>
              <w:numPr>
                <w:ilvl w:val="0"/>
                <w:numId w:val="21"/>
              </w:numPr>
              <w:rPr>
                <w:rStyle w:val="TagFrZchn"/>
                <w:b w:val="0"/>
                <w:i w:val="0"/>
                <w:color w:val="auto"/>
              </w:rPr>
            </w:pPr>
            <w:r>
              <w:rPr>
                <w:rStyle w:val="TagFrZchn"/>
                <w:b w:val="0"/>
                <w:i w:val="0"/>
                <w:color w:val="auto"/>
              </w:rPr>
              <w:t>STIKO-Beratung zur Impfung der 12-17-Jährigen am Mittwoch erfolgt, erneut am folgenden Mittwoch zu Modellierungen ihres möglichen Impacts auf den Pandemieverlauf</w:t>
            </w:r>
          </w:p>
          <w:p>
            <w:pPr>
              <w:pStyle w:val="Listenabsatz"/>
              <w:numPr>
                <w:ilvl w:val="0"/>
                <w:numId w:val="21"/>
              </w:numPr>
              <w:rPr>
                <w:rStyle w:val="TagFrZchn"/>
                <w:b w:val="0"/>
                <w:i w:val="0"/>
                <w:color w:val="auto"/>
              </w:rPr>
            </w:pPr>
            <w:r>
              <w:rPr>
                <w:rStyle w:val="TagFrZchn"/>
                <w:b w:val="0"/>
                <w:i w:val="0"/>
                <w:color w:val="auto"/>
              </w:rPr>
              <w:t xml:space="preserve">Zulassung von </w:t>
            </w:r>
            <w:proofErr w:type="spellStart"/>
            <w:r>
              <w:rPr>
                <w:rStyle w:val="TagFrZchn"/>
                <w:b w:val="0"/>
                <w:i w:val="0"/>
                <w:color w:val="auto"/>
              </w:rPr>
              <w:t>Moderna</w:t>
            </w:r>
            <w:proofErr w:type="spellEnd"/>
            <w:r>
              <w:rPr>
                <w:rStyle w:val="TagFrZchn"/>
                <w:b w:val="0"/>
                <w:i w:val="0"/>
                <w:color w:val="auto"/>
              </w:rPr>
              <w:t xml:space="preserve"> für 12-17-Jährige für heute oder Montag erwartet, nach </w:t>
            </w:r>
            <w:proofErr w:type="spellStart"/>
            <w:r>
              <w:rPr>
                <w:rStyle w:val="TagFrZchn"/>
                <w:b w:val="0"/>
                <w:i w:val="0"/>
                <w:color w:val="auto"/>
              </w:rPr>
              <w:t>BioNTech</w:t>
            </w:r>
            <w:proofErr w:type="spellEnd"/>
            <w:r>
              <w:rPr>
                <w:rStyle w:val="TagFrZchn"/>
                <w:b w:val="0"/>
                <w:i w:val="0"/>
                <w:color w:val="auto"/>
              </w:rPr>
              <w:t>/Pfizer zweite Zulassung</w:t>
            </w:r>
          </w:p>
          <w:p>
            <w:pPr>
              <w:pStyle w:val="Listenabsatz"/>
              <w:numPr>
                <w:ilvl w:val="0"/>
                <w:numId w:val="21"/>
              </w:numPr>
              <w:rPr>
                <w:rStyle w:val="TagFrZchn"/>
                <w:b w:val="0"/>
                <w:i w:val="0"/>
                <w:color w:val="auto"/>
              </w:rPr>
            </w:pPr>
            <w:r>
              <w:rPr>
                <w:rStyle w:val="TagFrZchn"/>
                <w:b w:val="0"/>
                <w:i w:val="0"/>
                <w:color w:val="auto"/>
              </w:rPr>
              <w:t xml:space="preserve">Genauere Beobachtung der Impfdurchbrüche bei Jansen, derzeit unauffällig und keine Hinweise auf </w:t>
            </w:r>
            <w:proofErr w:type="spellStart"/>
            <w:r>
              <w:rPr>
                <w:rStyle w:val="TagFrZchn"/>
                <w:b w:val="0"/>
                <w:i w:val="0"/>
                <w:color w:val="auto"/>
              </w:rPr>
              <w:t>Waning</w:t>
            </w:r>
            <w:proofErr w:type="spellEnd"/>
            <w:r>
              <w:rPr>
                <w:rStyle w:val="TagFrZchn"/>
                <w:b w:val="0"/>
                <w:i w:val="0"/>
                <w:color w:val="auto"/>
              </w:rPr>
              <w:t xml:space="preserve">, Kontakt zu PEI und Rückmeldung bei Veränderung </w:t>
            </w:r>
          </w:p>
          <w:p>
            <w:pPr>
              <w:pStyle w:val="Listenabsatz"/>
              <w:numPr>
                <w:ilvl w:val="0"/>
                <w:numId w:val="21"/>
              </w:numPr>
              <w:rPr>
                <w:sz w:val="22"/>
                <w:szCs w:val="22"/>
              </w:rPr>
            </w:pPr>
            <w:r>
              <w:rPr>
                <w:sz w:val="22"/>
                <w:szCs w:val="22"/>
              </w:rPr>
              <w:t xml:space="preserve">Anm.: </w:t>
            </w:r>
            <w:proofErr w:type="spellStart"/>
            <w:r>
              <w:rPr>
                <w:sz w:val="22"/>
                <w:szCs w:val="22"/>
              </w:rPr>
              <w:t>Waning</w:t>
            </w:r>
            <w:proofErr w:type="spellEnd"/>
            <w:r>
              <w:rPr>
                <w:sz w:val="22"/>
                <w:szCs w:val="22"/>
              </w:rPr>
              <w:t xml:space="preserve"> der Immunität in Modellierung ggf. zu berücksichtigen, da neutralisierende AK mehr Schutz vor Transmission vermitteln als T-Zellen; STIKO-Modellierung allerdings basierend auf Evidenz aus klinischen Studien, daher noch kein </w:t>
            </w:r>
            <w:proofErr w:type="spellStart"/>
            <w:r>
              <w:rPr>
                <w:sz w:val="22"/>
                <w:szCs w:val="22"/>
              </w:rPr>
              <w:t>Waning</w:t>
            </w:r>
            <w:proofErr w:type="spellEnd"/>
            <w:r>
              <w:rPr>
                <w:sz w:val="22"/>
                <w:szCs w:val="22"/>
              </w:rPr>
              <w:t xml:space="preserve"> berücksichtigt</w:t>
            </w:r>
          </w:p>
          <w:p>
            <w:pPr>
              <w:pStyle w:val="Liste1"/>
              <w:numPr>
                <w:ilvl w:val="0"/>
                <w:numId w:val="0"/>
              </w:numPr>
              <w:ind w:left="360"/>
              <w:rPr>
                <w:highlight w:val="yellow"/>
              </w:rPr>
            </w:pPr>
          </w:p>
        </w:tc>
        <w:tc>
          <w:tcPr>
            <w:tcW w:w="1463" w:type="dxa"/>
          </w:tcPr>
          <w:p>
            <w:pPr>
              <w:rPr>
                <w:sz w:val="22"/>
                <w:szCs w:val="22"/>
              </w:rPr>
            </w:pPr>
          </w:p>
          <w:p>
            <w:pPr>
              <w:rPr>
                <w:sz w:val="22"/>
                <w:szCs w:val="22"/>
              </w:rPr>
            </w:pPr>
          </w:p>
          <w:p>
            <w:pPr>
              <w:rPr>
                <w:sz w:val="22"/>
                <w:szCs w:val="22"/>
              </w:rPr>
            </w:pPr>
            <w:r>
              <w:rPr>
                <w:sz w:val="22"/>
                <w:szCs w:val="22"/>
              </w:rPr>
              <w:lastRenderedPageBreak/>
              <w:t xml:space="preserve">FG33 </w:t>
            </w:r>
          </w:p>
          <w:p>
            <w:pPr>
              <w:rPr>
                <w:sz w:val="22"/>
                <w:szCs w:val="22"/>
              </w:rPr>
            </w:pPr>
            <w:r>
              <w:rPr>
                <w:sz w:val="22"/>
                <w:szCs w:val="22"/>
              </w:rPr>
              <w:t>(Harder)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9</w:t>
            </w:r>
          </w:p>
        </w:tc>
        <w:tc>
          <w:tcPr>
            <w:tcW w:w="6824" w:type="dxa"/>
          </w:tcPr>
          <w:p>
            <w:pPr>
              <w:pStyle w:val="1"/>
            </w:pPr>
            <w:r>
              <w:t xml:space="preserve">Labordiagnostik </w:t>
            </w:r>
            <w:r>
              <w:rPr>
                <w:rStyle w:val="TagFrZchn"/>
                <w:b/>
              </w:rPr>
              <w:t>(nur freitags)</w:t>
            </w:r>
          </w:p>
          <w:p>
            <w:pPr>
              <w:pStyle w:val="2"/>
            </w:pPr>
            <w:r>
              <w:t>FG17</w:t>
            </w:r>
          </w:p>
          <w:p>
            <w:pPr>
              <w:pStyle w:val="Liste1"/>
            </w:pPr>
            <w:r>
              <w:t xml:space="preserve">Mittwoch ausführlich berichtet, derzeit v.a. </w:t>
            </w:r>
            <w:proofErr w:type="spellStart"/>
            <w:r>
              <w:t>Rhinoviren</w:t>
            </w:r>
            <w:proofErr w:type="spellEnd"/>
            <w:r>
              <w:t xml:space="preserve"> und Parainfluenzaviren im Sentinel</w:t>
            </w:r>
          </w:p>
          <w:p>
            <w:pPr>
              <w:pStyle w:val="Liste1"/>
              <w:numPr>
                <w:ilvl w:val="0"/>
                <w:numId w:val="0"/>
              </w:numPr>
              <w:ind w:left="360"/>
            </w:pPr>
          </w:p>
          <w:p>
            <w:pPr>
              <w:pStyle w:val="2"/>
            </w:pPr>
            <w:r>
              <w:t>ZBS1</w:t>
            </w:r>
          </w:p>
          <w:p>
            <w:pPr>
              <w:pStyle w:val="Liste1"/>
            </w:pPr>
            <w:r>
              <w:t>Von 149 Fällen 77 positiv (ca. 52 %), bei allen Positivproben Hinweise auf das Vorliegen der Delta-Variante</w:t>
            </w:r>
          </w:p>
          <w:p>
            <w:pPr>
              <w:pStyle w:val="Liste1"/>
            </w:pPr>
            <w:r>
              <w:t>Bislang 323 Proben von Impfdurchbrüchen, seit Anfang/Mitte Juni hier fast ausschließliches Vorliegen der Delta-Variante</w:t>
            </w:r>
          </w:p>
          <w:p>
            <w:pPr>
              <w:pStyle w:val="Liste1"/>
              <w:numPr>
                <w:ilvl w:val="0"/>
                <w:numId w:val="0"/>
              </w:numPr>
            </w:pPr>
          </w:p>
        </w:tc>
        <w:tc>
          <w:tcPr>
            <w:tcW w:w="1463" w:type="dxa"/>
          </w:tcPr>
          <w:p>
            <w:pPr>
              <w:rPr>
                <w:sz w:val="22"/>
                <w:szCs w:val="22"/>
              </w:rPr>
            </w:pPr>
          </w:p>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r>
              <w:rPr>
                <w:sz w:val="22"/>
                <w:szCs w:val="22"/>
              </w:rPr>
              <w:t>(Michel)</w:t>
            </w:r>
            <w:r>
              <w:rPr>
                <w:sz w:val="22"/>
                <w:szCs w:val="22"/>
              </w:rPr>
              <w:br/>
            </w: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1"/>
            </w:pPr>
            <w:r>
              <w:rPr>
                <w:i/>
                <w:color w:val="95B3D7" w:themeColor="accent1" w:themeTint="99"/>
                <w:sz w:val="20"/>
              </w:rPr>
              <w:t>(nur freitags)</w:t>
            </w:r>
          </w:p>
          <w:p>
            <w:pPr>
              <w:pStyle w:val="3"/>
              <w:rPr>
                <w:b w:val="0"/>
              </w:rPr>
            </w:pPr>
            <w:r>
              <w:rPr>
                <w:b w:val="0"/>
              </w:rPr>
              <w:t>Nicht berichtet</w:t>
            </w:r>
          </w:p>
        </w:tc>
        <w:tc>
          <w:tcPr>
            <w:tcW w:w="1463" w:type="dxa"/>
          </w:tcPr>
          <w:p>
            <w:pPr>
              <w:rPr>
                <w:sz w:val="22"/>
                <w:szCs w:val="22"/>
              </w:rPr>
            </w:pPr>
          </w:p>
          <w:p>
            <w:pPr>
              <w:rPr>
                <w:sz w:val="22"/>
                <w:szCs w:val="22"/>
              </w:rPr>
            </w:pPr>
            <w:r>
              <w:rPr>
                <w:sz w:val="22"/>
                <w:szCs w:val="22"/>
              </w:rPr>
              <w:t>IBBS (Herzog)</w:t>
            </w:r>
            <w:r>
              <w:rPr>
                <w:sz w:val="22"/>
                <w:szCs w:val="22"/>
              </w:rPr>
              <w:br/>
            </w:r>
          </w:p>
          <w:p>
            <w:pPr>
              <w:rPr>
                <w:sz w:val="22"/>
                <w:szCs w:val="22"/>
              </w:rPr>
            </w:pPr>
          </w:p>
        </w:tc>
      </w:tr>
      <w:tr>
        <w:tc>
          <w:tcPr>
            <w:tcW w:w="684" w:type="dxa"/>
          </w:tcPr>
          <w:p>
            <w:pPr>
              <w:rPr>
                <w:b/>
              </w:rPr>
            </w:pPr>
            <w:r>
              <w:rPr>
                <w:b/>
              </w:rPr>
              <w:t>11</w:t>
            </w:r>
          </w:p>
        </w:tc>
        <w:tc>
          <w:tcPr>
            <w:tcW w:w="6824" w:type="dxa"/>
          </w:tcPr>
          <w:p>
            <w:pPr>
              <w:pStyle w:val="1"/>
            </w:pPr>
            <w:r>
              <w:t xml:space="preserve">Maßnahmen zum Infektionsschutz </w:t>
            </w:r>
            <w:r>
              <w:rPr>
                <w:i/>
                <w:color w:val="95B3D7" w:themeColor="accent1" w:themeTint="99"/>
                <w:sz w:val="20"/>
              </w:rPr>
              <w:t>(nur freitags)</w:t>
            </w:r>
          </w:p>
          <w:p>
            <w:pPr>
              <w:pStyle w:val="Liste1"/>
              <w:rPr>
                <w:i/>
              </w:rPr>
            </w:pPr>
            <w:r>
              <w:t>Nicht berichtet</w:t>
            </w:r>
          </w:p>
          <w:p>
            <w:pPr>
              <w:pStyle w:val="Liste1"/>
              <w:numPr>
                <w:ilvl w:val="0"/>
                <w:numId w:val="0"/>
              </w:numPr>
              <w:ind w:left="360"/>
              <w:rPr>
                <w:i/>
              </w:rPr>
            </w:pP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12</w:t>
            </w:r>
          </w:p>
        </w:tc>
        <w:tc>
          <w:tcPr>
            <w:tcW w:w="6824" w:type="dxa"/>
          </w:tcPr>
          <w:p>
            <w:pPr>
              <w:pStyle w:val="1"/>
              <w:rPr>
                <w:sz w:val="22"/>
              </w:rPr>
            </w:pPr>
            <w:r>
              <w:t xml:space="preserve">Surveillance </w:t>
            </w:r>
            <w:r>
              <w:rPr>
                <w:i/>
                <w:color w:val="95B3D7" w:themeColor="accent1" w:themeTint="99"/>
                <w:sz w:val="20"/>
              </w:rPr>
              <w:t>(nur freitags)</w:t>
            </w:r>
          </w:p>
          <w:p>
            <w:pPr>
              <w:pStyle w:val="Liste1"/>
            </w:pPr>
            <w:r>
              <w:t>Nicht berichtet</w:t>
            </w:r>
          </w:p>
          <w:p>
            <w:pPr>
              <w:pStyle w:val="Liste1"/>
              <w:numPr>
                <w:ilvl w:val="0"/>
                <w:numId w:val="0"/>
              </w:numPr>
            </w:pPr>
          </w:p>
        </w:tc>
        <w:tc>
          <w:tcPr>
            <w:tcW w:w="1463" w:type="dxa"/>
          </w:tcPr>
          <w:p>
            <w:pPr>
              <w:rPr>
                <w:sz w:val="22"/>
                <w:szCs w:val="22"/>
              </w:rPr>
            </w:pPr>
          </w:p>
          <w:p>
            <w:pPr>
              <w:rPr>
                <w:sz w:val="22"/>
                <w:szCs w:val="22"/>
              </w:rPr>
            </w:pPr>
            <w:r>
              <w:rPr>
                <w:sz w:val="22"/>
                <w:szCs w:val="22"/>
              </w:rPr>
              <w:t>FG32</w:t>
            </w:r>
          </w:p>
          <w:p>
            <w:pPr>
              <w:rPr>
                <w:sz w:val="22"/>
                <w:szCs w:val="22"/>
              </w:rPr>
            </w:pP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 xml:space="preserve">Desinfektion von Flugzeugen nach IATA Direktive (ZIKA-Erfahrung, Desinfektion nach 7 Tagen, Einflug nicht ohne Desinfektionsbescheinigung möglich), Diskussion </w:t>
            </w:r>
            <w:bookmarkStart w:id="0" w:name="_GoBack"/>
            <w:bookmarkEnd w:id="0"/>
            <w:r>
              <w:t>anberaumt</w:t>
            </w:r>
          </w:p>
          <w:p>
            <w:pPr>
              <w:pStyle w:val="Liste1"/>
              <w:numPr>
                <w:ilvl w:val="0"/>
                <w:numId w:val="0"/>
              </w:numPr>
            </w:pPr>
          </w:p>
        </w:tc>
        <w:tc>
          <w:tcPr>
            <w:tcW w:w="1463" w:type="dxa"/>
          </w:tcPr>
          <w:p>
            <w:pPr>
              <w:rPr>
                <w:sz w:val="22"/>
                <w:szCs w:val="22"/>
              </w:rPr>
            </w:pPr>
          </w:p>
          <w:p>
            <w:pPr>
              <w:rPr>
                <w:sz w:val="22"/>
                <w:szCs w:val="22"/>
              </w:rPr>
            </w:pPr>
            <w:r>
              <w:rPr>
                <w:sz w:val="22"/>
                <w:szCs w:val="22"/>
              </w:rPr>
              <w:t xml:space="preserve">FG38 </w:t>
            </w:r>
          </w:p>
          <w:p>
            <w:pPr>
              <w:rPr>
                <w:sz w:val="22"/>
                <w:szCs w:val="22"/>
              </w:rPr>
            </w:pPr>
            <w:r>
              <w:rPr>
                <w:sz w:val="22"/>
                <w:szCs w:val="22"/>
              </w:rPr>
              <w:t>(</w:t>
            </w:r>
            <w:proofErr w:type="gramStart"/>
            <w:r>
              <w:rPr>
                <w:sz w:val="22"/>
                <w:szCs w:val="22"/>
              </w:rPr>
              <w:t>an der Heiden</w:t>
            </w:r>
            <w:proofErr w:type="gramEnd"/>
            <w:r>
              <w:rPr>
                <w:sz w:val="22"/>
                <w:szCs w:val="22"/>
              </w:rPr>
              <w:t>)</w:t>
            </w:r>
            <w:r>
              <w:rPr>
                <w:sz w:val="22"/>
                <w:szCs w:val="22"/>
              </w:rPr>
              <w:br/>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Internationale Kommunikation weiterhin sehr auslastend trotz Priorisierungsanstrengungen</w:t>
            </w:r>
          </w:p>
          <w:p>
            <w:pPr>
              <w:pStyle w:val="Liste1"/>
              <w:numPr>
                <w:ilvl w:val="0"/>
                <w:numId w:val="0"/>
              </w:numPr>
              <w:ind w:left="360"/>
            </w:pPr>
          </w:p>
          <w:p>
            <w:pPr>
              <w:pStyle w:val="Liste1"/>
            </w:pPr>
            <w:r>
              <w:lastRenderedPageBreak/>
              <w:t xml:space="preserve">Wochenbericht von gestern wurde sehr gut angenommen, vielfach zitiert, viele Berichte zu neuer Strategie </w:t>
            </w:r>
          </w:p>
          <w:p>
            <w:pPr>
              <w:pStyle w:val="Liste1"/>
              <w:numPr>
                <w:ilvl w:val="0"/>
                <w:numId w:val="0"/>
              </w:numPr>
              <w:ind w:left="360"/>
            </w:pPr>
          </w:p>
        </w:tc>
        <w:tc>
          <w:tcPr>
            <w:tcW w:w="1463" w:type="dxa"/>
          </w:tcPr>
          <w:p>
            <w:pPr>
              <w:rPr>
                <w:sz w:val="22"/>
                <w:szCs w:val="22"/>
              </w:rPr>
            </w:pPr>
          </w:p>
          <w:p>
            <w:pPr>
              <w:rPr>
                <w:sz w:val="22"/>
                <w:szCs w:val="22"/>
              </w:rPr>
            </w:pPr>
            <w:r>
              <w:rPr>
                <w:sz w:val="22"/>
                <w:szCs w:val="22"/>
              </w:rPr>
              <w:t>FG38</w:t>
            </w:r>
            <w:r>
              <w:rPr>
                <w:sz w:val="22"/>
                <w:szCs w:val="22"/>
              </w:rPr>
              <w:br/>
              <w:t>(</w:t>
            </w:r>
            <w:proofErr w:type="gramStart"/>
            <w:r>
              <w:rPr>
                <w:sz w:val="22"/>
                <w:szCs w:val="22"/>
              </w:rPr>
              <w:t>an der Heiden</w:t>
            </w:r>
            <w:proofErr w:type="gramEnd"/>
            <w:r>
              <w:rPr>
                <w:sz w:val="22"/>
                <w:szCs w:val="22"/>
              </w:rPr>
              <w:t>)</w:t>
            </w:r>
          </w:p>
          <w:p>
            <w:pPr>
              <w:rPr>
                <w:sz w:val="22"/>
                <w:szCs w:val="22"/>
              </w:rPr>
            </w:pPr>
          </w:p>
          <w:p>
            <w:pPr>
              <w:rPr>
                <w:sz w:val="22"/>
                <w:szCs w:val="22"/>
              </w:rPr>
            </w:pPr>
            <w:r>
              <w:rPr>
                <w:sz w:val="22"/>
                <w:szCs w:val="22"/>
              </w:rPr>
              <w:lastRenderedPageBreak/>
              <w:t>Presse (</w:t>
            </w:r>
            <w:proofErr w:type="spellStart"/>
            <w:r>
              <w:rPr>
                <w:sz w:val="22"/>
                <w:szCs w:val="22"/>
              </w:rPr>
              <w:t>Wenchel</w:t>
            </w:r>
            <w:proofErr w:type="spellEnd"/>
            <w:r>
              <w:rPr>
                <w:sz w:val="22"/>
                <w:szCs w:val="22"/>
              </w:rPr>
              <w:t>)</w:t>
            </w:r>
          </w:p>
        </w:tc>
      </w:tr>
      <w:tr>
        <w:tc>
          <w:tcPr>
            <w:tcW w:w="684" w:type="dxa"/>
          </w:tcPr>
          <w:p>
            <w:pPr>
              <w:rPr>
                <w:b/>
              </w:rPr>
            </w:pPr>
            <w:r>
              <w:rPr>
                <w:b/>
              </w:rPr>
              <w:lastRenderedPageBreak/>
              <w:t>15</w:t>
            </w:r>
          </w:p>
        </w:tc>
        <w:tc>
          <w:tcPr>
            <w:tcW w:w="6824" w:type="dxa"/>
          </w:tcPr>
          <w:p>
            <w:pPr>
              <w:pStyle w:val="1"/>
            </w:pPr>
            <w:r>
              <w:t>Wichtige Termine</w:t>
            </w:r>
          </w:p>
          <w:p>
            <w:pPr>
              <w:pStyle w:val="Liste1"/>
            </w:pPr>
            <w:r>
              <w:t>Keine</w:t>
            </w:r>
          </w:p>
          <w:p>
            <w:pPr>
              <w:pStyle w:val="Liste1"/>
              <w:numPr>
                <w:ilvl w:val="0"/>
                <w:numId w:val="0"/>
              </w:numPr>
              <w:ind w:left="360"/>
            </w:pP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Mittwoch, 28.07.2021,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13:19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E1D3B"/>
    <w:multiLevelType w:val="hybridMultilevel"/>
    <w:tmpl w:val="C0947408"/>
    <w:lvl w:ilvl="0" w:tplc="535688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090D13"/>
    <w:multiLevelType w:val="hybridMultilevel"/>
    <w:tmpl w:val="BD6EA4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AC5A26"/>
    <w:multiLevelType w:val="hybridMultilevel"/>
    <w:tmpl w:val="09AC5BF0"/>
    <w:lvl w:ilvl="0" w:tplc="EB4451E8">
      <w:start w:val="1"/>
      <w:numFmt w:val="bullet"/>
      <w:pStyle w:val="Liste1"/>
      <w:lvlText w:val=""/>
      <w:lvlJc w:val="left"/>
      <w:pPr>
        <w:ind w:left="360" w:hanging="360"/>
      </w:pPr>
      <w:rPr>
        <w:rFonts w:ascii="Symbol" w:hAnsi="Symbol" w:hint="default"/>
      </w:rPr>
    </w:lvl>
    <w:lvl w:ilvl="1" w:tplc="3EEEC43C">
      <w:start w:val="1"/>
      <w:numFmt w:val="bullet"/>
      <w:pStyle w:val="Liste3"/>
      <w:lvlText w:val=""/>
      <w:lvlJc w:val="left"/>
      <w:pPr>
        <w:ind w:left="1080" w:hanging="360"/>
      </w:pPr>
      <w:rPr>
        <w:rFonts w:ascii="Wingdings" w:hAnsi="Wingdings"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7897C3C"/>
    <w:multiLevelType w:val="hybridMultilevel"/>
    <w:tmpl w:val="DA8A85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9167C04"/>
    <w:multiLevelType w:val="hybridMultilevel"/>
    <w:tmpl w:val="53A2CEDC"/>
    <w:lvl w:ilvl="0" w:tplc="7436BCFA">
      <w:start w:val="1"/>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7" w15:restartNumberingAfterBreak="0">
    <w:nsid w:val="2B397807"/>
    <w:multiLevelType w:val="hybridMultilevel"/>
    <w:tmpl w:val="4DC03620"/>
    <w:lvl w:ilvl="0" w:tplc="D49CFACC">
      <w:start w:val="1"/>
      <w:numFmt w:val="bullet"/>
      <w:pStyle w:val="3"/>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E8C6729E">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3003269A"/>
    <w:multiLevelType w:val="hybridMultilevel"/>
    <w:tmpl w:val="23F248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30C078C"/>
    <w:multiLevelType w:val="hybridMultilevel"/>
    <w:tmpl w:val="74D809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77416A2"/>
    <w:multiLevelType w:val="hybridMultilevel"/>
    <w:tmpl w:val="ED3A75E4"/>
    <w:lvl w:ilvl="0" w:tplc="04070001">
      <w:start w:val="1"/>
      <w:numFmt w:val="bullet"/>
      <w:lvlText w:val=""/>
      <w:lvlJc w:val="left"/>
      <w:pPr>
        <w:ind w:left="1553" w:hanging="360"/>
      </w:pPr>
      <w:rPr>
        <w:rFonts w:ascii="Symbol" w:hAnsi="Symbol"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F24889"/>
    <w:multiLevelType w:val="hybridMultilevel"/>
    <w:tmpl w:val="E662FADC"/>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4827C9E"/>
    <w:multiLevelType w:val="hybridMultilevel"/>
    <w:tmpl w:val="F042A1E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6" w15:restartNumberingAfterBreak="0">
    <w:nsid w:val="48CB6064"/>
    <w:multiLevelType w:val="hybridMultilevel"/>
    <w:tmpl w:val="AAA63452"/>
    <w:lvl w:ilvl="0" w:tplc="4A58784E">
      <w:start w:val="1"/>
      <w:numFmt w:val="decimal"/>
      <w:lvlText w:val="%1."/>
      <w:lvlJc w:val="left"/>
      <w:pPr>
        <w:ind w:left="1126" w:hanging="360"/>
      </w:pPr>
      <w:rPr>
        <w:rFonts w:hint="default"/>
      </w:rPr>
    </w:lvl>
    <w:lvl w:ilvl="1" w:tplc="04070019" w:tentative="1">
      <w:start w:val="1"/>
      <w:numFmt w:val="lowerLetter"/>
      <w:lvlText w:val="%2."/>
      <w:lvlJc w:val="left"/>
      <w:pPr>
        <w:ind w:left="1846" w:hanging="360"/>
      </w:pPr>
    </w:lvl>
    <w:lvl w:ilvl="2" w:tplc="0407001B" w:tentative="1">
      <w:start w:val="1"/>
      <w:numFmt w:val="lowerRoman"/>
      <w:lvlText w:val="%3."/>
      <w:lvlJc w:val="right"/>
      <w:pPr>
        <w:ind w:left="2566" w:hanging="180"/>
      </w:pPr>
    </w:lvl>
    <w:lvl w:ilvl="3" w:tplc="0407000F" w:tentative="1">
      <w:start w:val="1"/>
      <w:numFmt w:val="decimal"/>
      <w:lvlText w:val="%4."/>
      <w:lvlJc w:val="left"/>
      <w:pPr>
        <w:ind w:left="3286" w:hanging="360"/>
      </w:pPr>
    </w:lvl>
    <w:lvl w:ilvl="4" w:tplc="04070019" w:tentative="1">
      <w:start w:val="1"/>
      <w:numFmt w:val="lowerLetter"/>
      <w:lvlText w:val="%5."/>
      <w:lvlJc w:val="left"/>
      <w:pPr>
        <w:ind w:left="4006" w:hanging="360"/>
      </w:pPr>
    </w:lvl>
    <w:lvl w:ilvl="5" w:tplc="0407001B" w:tentative="1">
      <w:start w:val="1"/>
      <w:numFmt w:val="lowerRoman"/>
      <w:lvlText w:val="%6."/>
      <w:lvlJc w:val="right"/>
      <w:pPr>
        <w:ind w:left="4726" w:hanging="180"/>
      </w:pPr>
    </w:lvl>
    <w:lvl w:ilvl="6" w:tplc="0407000F" w:tentative="1">
      <w:start w:val="1"/>
      <w:numFmt w:val="decimal"/>
      <w:lvlText w:val="%7."/>
      <w:lvlJc w:val="left"/>
      <w:pPr>
        <w:ind w:left="5446" w:hanging="360"/>
      </w:pPr>
    </w:lvl>
    <w:lvl w:ilvl="7" w:tplc="04070019" w:tentative="1">
      <w:start w:val="1"/>
      <w:numFmt w:val="lowerLetter"/>
      <w:lvlText w:val="%8."/>
      <w:lvlJc w:val="left"/>
      <w:pPr>
        <w:ind w:left="6166" w:hanging="360"/>
      </w:pPr>
    </w:lvl>
    <w:lvl w:ilvl="8" w:tplc="0407001B" w:tentative="1">
      <w:start w:val="1"/>
      <w:numFmt w:val="lowerRoman"/>
      <w:lvlText w:val="%9."/>
      <w:lvlJc w:val="right"/>
      <w:pPr>
        <w:ind w:left="6886"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A1632D"/>
    <w:multiLevelType w:val="hybridMultilevel"/>
    <w:tmpl w:val="DE6C85CA"/>
    <w:lvl w:ilvl="0" w:tplc="EB4451E8">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5D666766"/>
    <w:multiLevelType w:val="hybridMultilevel"/>
    <w:tmpl w:val="0C0A241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0" w15:restartNumberingAfterBreak="0">
    <w:nsid w:val="6BBD0365"/>
    <w:multiLevelType w:val="hybridMultilevel"/>
    <w:tmpl w:val="D1B485F2"/>
    <w:lvl w:ilvl="0" w:tplc="EB4451E8">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72D07176"/>
    <w:multiLevelType w:val="hybridMultilevel"/>
    <w:tmpl w:val="2010562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33165C5"/>
    <w:multiLevelType w:val="hybridMultilevel"/>
    <w:tmpl w:val="39980C1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7FA06885"/>
    <w:multiLevelType w:val="hybridMultilevel"/>
    <w:tmpl w:val="9C24A81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1"/>
  </w:num>
  <w:num w:numId="2">
    <w:abstractNumId w:val="2"/>
  </w:num>
  <w:num w:numId="3">
    <w:abstractNumId w:val="1"/>
  </w:num>
  <w:num w:numId="4">
    <w:abstractNumId w:val="17"/>
  </w:num>
  <w:num w:numId="5">
    <w:abstractNumId w:val="7"/>
  </w:num>
  <w:num w:numId="6">
    <w:abstractNumId w:val="14"/>
  </w:num>
  <w:num w:numId="7">
    <w:abstractNumId w:val="4"/>
  </w:num>
  <w:num w:numId="8">
    <w:abstractNumId w:val="15"/>
  </w:num>
  <w:num w:numId="9">
    <w:abstractNumId w:val="22"/>
  </w:num>
  <w:num w:numId="10">
    <w:abstractNumId w:val="3"/>
  </w:num>
  <w:num w:numId="11">
    <w:abstractNumId w:val="6"/>
  </w:num>
  <w:num w:numId="12">
    <w:abstractNumId w:val="10"/>
  </w:num>
  <w:num w:numId="13">
    <w:abstractNumId w:val="0"/>
  </w:num>
  <w:num w:numId="14">
    <w:abstractNumId w:val="19"/>
  </w:num>
  <w:num w:numId="15">
    <w:abstractNumId w:val="16"/>
  </w:num>
  <w:num w:numId="16">
    <w:abstractNumId w:val="21"/>
  </w:num>
  <w:num w:numId="17">
    <w:abstractNumId w:val="8"/>
  </w:num>
  <w:num w:numId="18">
    <w:abstractNumId w:val="12"/>
  </w:num>
  <w:num w:numId="19">
    <w:abstractNumId w:val="13"/>
  </w:num>
  <w:num w:numId="20">
    <w:abstractNumId w:val="5"/>
  </w:num>
  <w:num w:numId="21">
    <w:abstractNumId w:val="23"/>
  </w:num>
  <w:num w:numId="22">
    <w:abstractNumId w:val="9"/>
  </w:num>
  <w:num w:numId="23">
    <w:abstractNumId w:val="20"/>
  </w:num>
  <w:num w:numId="24">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7"/>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8"/>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7"/>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570069561">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ons.gov.uk/peoplepopulationandcommunity/healthandsocialcare/conditionsanddiseases/articles/coronaviruscovid19infectionsurveytechnicalarticleanalysisofpositivityaftervaccination/june2021" TargetMode="External"/><Relationship Id="rId2" Type="http://schemas.openxmlformats.org/officeDocument/2006/relationships/numbering" Target="numbering.xml"/><Relationship Id="rId16" Type="http://schemas.openxmlformats.org/officeDocument/2006/relationships/hyperlink" Target="https://www.youtube.com/watch?v=tC0wkfwVUS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7-23_Lage_AG\LageNational_2021-07-23.pptx"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7-23_Lage_AG\COVID-19_internat.%20Lage_2021-07-23.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54AED-7025-41A5-ACE8-7B459F24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2590</Words>
  <Characters>16319</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Erickson, Nancy</cp:lastModifiedBy>
  <cp:revision>50</cp:revision>
  <cp:lastPrinted>2020-05-06T16:43:00Z</cp:lastPrinted>
  <dcterms:created xsi:type="dcterms:W3CDTF">2021-07-16T11:04:00Z</dcterms:created>
  <dcterms:modified xsi:type="dcterms:W3CDTF">2021-07-23T22:15:00Z</dcterms:modified>
</cp:coreProperties>
</file>