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28.07.2021,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color w:val="000000" w:themeColor="text1"/>
          <w:sz w:val="22"/>
          <w:szCs w:val="22"/>
        </w:rPr>
      </w:pPr>
      <w:r>
        <w:rPr>
          <w:color w:val="000000" w:themeColor="text1"/>
          <w:sz w:val="22"/>
          <w:szCs w:val="22"/>
        </w:rPr>
        <w:t>Abt. 1</w:t>
      </w:r>
    </w:p>
    <w:p>
      <w:pPr>
        <w:pStyle w:val="Listenabsatz"/>
        <w:numPr>
          <w:ilvl w:val="1"/>
          <w:numId w:val="2"/>
        </w:numPr>
        <w:spacing w:after="0" w:line="233" w:lineRule="auto"/>
        <w:contextualSpacing w:val="0"/>
        <w:rPr>
          <w:color w:val="000000" w:themeColor="text1"/>
          <w:sz w:val="22"/>
          <w:szCs w:val="22"/>
        </w:rPr>
      </w:pPr>
      <w:r>
        <w:rPr>
          <w:color w:val="000000" w:themeColor="text1"/>
          <w:sz w:val="22"/>
          <w:szCs w:val="22"/>
        </w:rPr>
        <w:t>Martin Mielke</w:t>
      </w:r>
    </w:p>
    <w:p>
      <w:pPr>
        <w:pStyle w:val="Listenabsatz"/>
        <w:numPr>
          <w:ilvl w:val="0"/>
          <w:numId w:val="2"/>
        </w:numPr>
        <w:spacing w:after="0" w:line="233" w:lineRule="auto"/>
        <w:ind w:hanging="357"/>
        <w:contextualSpacing w:val="0"/>
        <w:rPr>
          <w:color w:val="000000" w:themeColor="text1"/>
          <w:sz w:val="22"/>
          <w:szCs w:val="22"/>
        </w:rPr>
      </w:pPr>
      <w:r>
        <w:rPr>
          <w:color w:val="000000" w:themeColor="text1"/>
          <w:sz w:val="22"/>
          <w:szCs w:val="22"/>
        </w:rPr>
        <w:t>Abt. 3</w:t>
      </w:r>
    </w:p>
    <w:p>
      <w:pPr>
        <w:pStyle w:val="Listenabsatz"/>
        <w:numPr>
          <w:ilvl w:val="1"/>
          <w:numId w:val="2"/>
        </w:numPr>
        <w:spacing w:after="0"/>
        <w:contextualSpacing w:val="0"/>
        <w:rPr>
          <w:color w:val="000000" w:themeColor="text1"/>
          <w:sz w:val="22"/>
          <w:szCs w:val="22"/>
        </w:rPr>
      </w:pPr>
      <w:r>
        <w:rPr>
          <w:color w:val="000000" w:themeColor="text1"/>
          <w:sz w:val="22"/>
          <w:szCs w:val="22"/>
        </w:rPr>
        <w:t>Janna Seifried</w:t>
      </w:r>
    </w:p>
    <w:p>
      <w:pPr>
        <w:pStyle w:val="Listenabsatz"/>
        <w:numPr>
          <w:ilvl w:val="1"/>
          <w:numId w:val="2"/>
        </w:numPr>
        <w:spacing w:after="0"/>
        <w:contextualSpacing w:val="0"/>
        <w:rPr>
          <w:color w:val="000000" w:themeColor="text1"/>
          <w:sz w:val="22"/>
          <w:szCs w:val="22"/>
        </w:rPr>
      </w:pPr>
      <w:r>
        <w:rPr>
          <w:color w:val="000000" w:themeColor="text1"/>
          <w:sz w:val="22"/>
          <w:szCs w:val="22"/>
        </w:rPr>
        <w:t>Nadine Litzba</w:t>
      </w:r>
    </w:p>
    <w:p>
      <w:pPr>
        <w:pStyle w:val="Listenabsatz"/>
        <w:numPr>
          <w:ilvl w:val="0"/>
          <w:numId w:val="2"/>
        </w:numPr>
        <w:spacing w:after="0"/>
        <w:contextualSpacing w:val="0"/>
        <w:rPr>
          <w:color w:val="000000" w:themeColor="text1"/>
          <w:sz w:val="22"/>
          <w:szCs w:val="22"/>
        </w:rPr>
      </w:pPr>
      <w:r>
        <w:rPr>
          <w:color w:val="000000" w:themeColor="text1"/>
          <w:sz w:val="22"/>
          <w:szCs w:val="22"/>
        </w:rPr>
        <w:t>FG12</w:t>
      </w:r>
    </w:p>
    <w:p>
      <w:pPr>
        <w:pStyle w:val="Listenabsatz"/>
        <w:numPr>
          <w:ilvl w:val="1"/>
          <w:numId w:val="2"/>
        </w:numPr>
        <w:spacing w:after="0" w:line="233" w:lineRule="auto"/>
        <w:contextualSpacing w:val="0"/>
        <w:rPr>
          <w:color w:val="000000" w:themeColor="text1"/>
          <w:sz w:val="22"/>
          <w:szCs w:val="22"/>
        </w:rPr>
      </w:pPr>
      <w:r>
        <w:rPr>
          <w:color w:val="000000" w:themeColor="text1"/>
          <w:sz w:val="22"/>
          <w:szCs w:val="22"/>
        </w:rPr>
        <w:t>Annette Mankertz</w:t>
      </w:r>
    </w:p>
    <w:p>
      <w:pPr>
        <w:pStyle w:val="Listenabsatz"/>
        <w:numPr>
          <w:ilvl w:val="0"/>
          <w:numId w:val="2"/>
        </w:numPr>
        <w:spacing w:after="0"/>
        <w:contextualSpacing w:val="0"/>
        <w:rPr>
          <w:color w:val="000000" w:themeColor="text1"/>
          <w:sz w:val="22"/>
          <w:szCs w:val="22"/>
        </w:rPr>
      </w:pPr>
      <w:r>
        <w:rPr>
          <w:color w:val="000000" w:themeColor="text1"/>
          <w:sz w:val="22"/>
          <w:szCs w:val="22"/>
        </w:rPr>
        <w:t>FG14</w:t>
      </w:r>
    </w:p>
    <w:p>
      <w:pPr>
        <w:pStyle w:val="Listenabsatz"/>
        <w:numPr>
          <w:ilvl w:val="1"/>
          <w:numId w:val="2"/>
        </w:numPr>
        <w:spacing w:after="0"/>
        <w:contextualSpacing w:val="0"/>
        <w:rPr>
          <w:color w:val="000000" w:themeColor="text1"/>
          <w:sz w:val="22"/>
          <w:szCs w:val="22"/>
        </w:rPr>
      </w:pPr>
      <w:r>
        <w:rPr>
          <w:color w:val="000000" w:themeColor="text1"/>
          <w:sz w:val="22"/>
          <w:szCs w:val="22"/>
        </w:rPr>
        <w:t>Mardjan Arvand</w:t>
      </w:r>
    </w:p>
    <w:p>
      <w:pPr>
        <w:pStyle w:val="Listenabsatz"/>
        <w:numPr>
          <w:ilvl w:val="1"/>
          <w:numId w:val="2"/>
        </w:numPr>
        <w:spacing w:after="0"/>
        <w:contextualSpacing w:val="0"/>
        <w:rPr>
          <w:color w:val="000000" w:themeColor="text1"/>
          <w:sz w:val="22"/>
          <w:szCs w:val="22"/>
        </w:rPr>
      </w:pPr>
      <w:r>
        <w:rPr>
          <w:color w:val="000000" w:themeColor="text1"/>
          <w:sz w:val="22"/>
          <w:szCs w:val="22"/>
        </w:rPr>
        <w:t>Melanie Brunke</w:t>
      </w:r>
    </w:p>
    <w:p>
      <w:pPr>
        <w:pStyle w:val="Listenabsatz"/>
        <w:numPr>
          <w:ilvl w:val="0"/>
          <w:numId w:val="3"/>
        </w:numPr>
        <w:spacing w:after="0"/>
        <w:contextualSpacing w:val="0"/>
        <w:rPr>
          <w:color w:val="000000" w:themeColor="text1"/>
          <w:sz w:val="22"/>
          <w:szCs w:val="22"/>
        </w:rPr>
      </w:pPr>
      <w:r>
        <w:rPr>
          <w:color w:val="000000" w:themeColor="text1"/>
          <w:sz w:val="22"/>
          <w:szCs w:val="22"/>
        </w:rPr>
        <w:t>FG17</w:t>
      </w:r>
    </w:p>
    <w:p>
      <w:pPr>
        <w:pStyle w:val="Listenabsatz"/>
        <w:numPr>
          <w:ilvl w:val="1"/>
          <w:numId w:val="2"/>
        </w:numPr>
        <w:spacing w:after="0"/>
        <w:contextualSpacing w:val="0"/>
        <w:rPr>
          <w:color w:val="000000" w:themeColor="text1"/>
          <w:sz w:val="22"/>
          <w:szCs w:val="22"/>
        </w:rPr>
      </w:pPr>
      <w:proofErr w:type="spellStart"/>
      <w:r>
        <w:rPr>
          <w:color w:val="000000" w:themeColor="text1"/>
          <w:sz w:val="22"/>
          <w:szCs w:val="22"/>
        </w:rPr>
        <w:t>Djin-Ye</w:t>
      </w:r>
      <w:proofErr w:type="spellEnd"/>
      <w:r>
        <w:rPr>
          <w:color w:val="000000" w:themeColor="text1"/>
          <w:sz w:val="22"/>
          <w:szCs w:val="22"/>
        </w:rPr>
        <w:t xml:space="preserve"> Oh</w:t>
      </w:r>
    </w:p>
    <w:p>
      <w:pPr>
        <w:pStyle w:val="Listenabsatz"/>
        <w:numPr>
          <w:ilvl w:val="1"/>
          <w:numId w:val="2"/>
        </w:numPr>
        <w:spacing w:after="0"/>
        <w:contextualSpacing w:val="0"/>
        <w:rPr>
          <w:color w:val="000000" w:themeColor="text1"/>
          <w:sz w:val="22"/>
          <w:szCs w:val="22"/>
        </w:rPr>
      </w:pPr>
      <w:r>
        <w:rPr>
          <w:color w:val="000000" w:themeColor="text1"/>
          <w:sz w:val="22"/>
          <w:szCs w:val="22"/>
        </w:rPr>
        <w:t>Ralf Dürrwald</w:t>
      </w:r>
    </w:p>
    <w:p>
      <w:pPr>
        <w:pStyle w:val="Listenabsatz"/>
        <w:numPr>
          <w:ilvl w:val="0"/>
          <w:numId w:val="3"/>
        </w:numPr>
        <w:spacing w:after="0"/>
        <w:contextualSpacing w:val="0"/>
        <w:rPr>
          <w:color w:val="000000" w:themeColor="text1"/>
          <w:sz w:val="22"/>
          <w:szCs w:val="22"/>
        </w:rPr>
      </w:pPr>
      <w:r>
        <w:rPr>
          <w:color w:val="000000" w:themeColor="text1"/>
          <w:sz w:val="22"/>
          <w:szCs w:val="22"/>
        </w:rPr>
        <w:t xml:space="preserve">FG21 </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Wolfgang </w:t>
      </w:r>
      <w:r>
        <w:rPr>
          <w:rStyle w:val="highlight"/>
          <w:color w:val="000000" w:themeColor="text1"/>
          <w:sz w:val="22"/>
          <w:szCs w:val="22"/>
        </w:rPr>
        <w:t>Scheida</w:t>
      </w:r>
    </w:p>
    <w:p>
      <w:pPr>
        <w:pStyle w:val="Listenabsatz"/>
        <w:numPr>
          <w:ilvl w:val="0"/>
          <w:numId w:val="2"/>
        </w:numPr>
        <w:spacing w:after="0"/>
        <w:contextualSpacing w:val="0"/>
        <w:rPr>
          <w:color w:val="000000" w:themeColor="text1"/>
          <w:sz w:val="22"/>
        </w:rPr>
      </w:pPr>
      <w:r>
        <w:rPr>
          <w:color w:val="000000" w:themeColor="text1"/>
          <w:sz w:val="22"/>
        </w:rPr>
        <w:t xml:space="preserve">FG25 </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Christa </w:t>
      </w:r>
      <w:r>
        <w:rPr>
          <w:rStyle w:val="highlight"/>
          <w:color w:val="000000" w:themeColor="text1"/>
          <w:sz w:val="22"/>
          <w:szCs w:val="22"/>
        </w:rPr>
        <w:t>Scheid</w:t>
      </w:r>
      <w:r>
        <w:rPr>
          <w:color w:val="000000" w:themeColor="text1"/>
          <w:sz w:val="22"/>
          <w:szCs w:val="22"/>
        </w:rPr>
        <w:t>t-</w:t>
      </w:r>
      <w:r>
        <w:rPr>
          <w:rStyle w:val="highlight"/>
          <w:color w:val="000000" w:themeColor="text1"/>
          <w:sz w:val="22"/>
          <w:szCs w:val="22"/>
        </w:rPr>
        <w:t>Nave</w:t>
      </w:r>
    </w:p>
    <w:p>
      <w:pPr>
        <w:pStyle w:val="Listenabsatz"/>
        <w:numPr>
          <w:ilvl w:val="0"/>
          <w:numId w:val="4"/>
        </w:numPr>
        <w:spacing w:after="0"/>
        <w:contextualSpacing w:val="0"/>
        <w:rPr>
          <w:color w:val="000000" w:themeColor="text1"/>
          <w:sz w:val="22"/>
          <w:szCs w:val="22"/>
        </w:rPr>
      </w:pPr>
      <w:r>
        <w:rPr>
          <w:color w:val="000000" w:themeColor="text1"/>
          <w:sz w:val="22"/>
          <w:szCs w:val="22"/>
        </w:rPr>
        <w:t>FG32</w:t>
      </w:r>
    </w:p>
    <w:p>
      <w:pPr>
        <w:pStyle w:val="Listenabsatz"/>
        <w:numPr>
          <w:ilvl w:val="1"/>
          <w:numId w:val="2"/>
        </w:numPr>
        <w:spacing w:after="0"/>
        <w:contextualSpacing w:val="0"/>
        <w:rPr>
          <w:color w:val="000000" w:themeColor="text1"/>
          <w:sz w:val="22"/>
          <w:szCs w:val="22"/>
        </w:rPr>
      </w:pPr>
      <w:r>
        <w:rPr>
          <w:color w:val="000000" w:themeColor="text1"/>
          <w:sz w:val="22"/>
          <w:szCs w:val="22"/>
        </w:rPr>
        <w:t>Michaela Diercke</w:t>
      </w:r>
    </w:p>
    <w:p>
      <w:pPr>
        <w:pStyle w:val="Listenabsatz"/>
        <w:numPr>
          <w:ilvl w:val="1"/>
          <w:numId w:val="2"/>
        </w:numPr>
        <w:spacing w:after="0"/>
        <w:contextualSpacing w:val="0"/>
        <w:rPr>
          <w:color w:val="000000" w:themeColor="text1"/>
          <w:sz w:val="22"/>
          <w:szCs w:val="22"/>
        </w:rPr>
      </w:pPr>
      <w:r>
        <w:rPr>
          <w:color w:val="000000" w:themeColor="text1"/>
          <w:sz w:val="22"/>
          <w:szCs w:val="22"/>
        </w:rPr>
        <w:t>Claudia Sievers</w:t>
      </w:r>
    </w:p>
    <w:p>
      <w:pPr>
        <w:pStyle w:val="Listenabsatz"/>
        <w:numPr>
          <w:ilvl w:val="0"/>
          <w:numId w:val="2"/>
        </w:numPr>
        <w:spacing w:after="0"/>
        <w:contextualSpacing w:val="0"/>
        <w:rPr>
          <w:color w:val="000000" w:themeColor="text1"/>
          <w:sz w:val="22"/>
          <w:szCs w:val="22"/>
          <w:highlight w:val="yellow"/>
        </w:rPr>
      </w:pPr>
      <w:r>
        <w:rPr>
          <w:color w:val="000000" w:themeColor="text1"/>
          <w:sz w:val="22"/>
          <w:szCs w:val="22"/>
          <w:highlight w:val="yellow"/>
        </w:rPr>
        <w:t>FG33</w:t>
      </w:r>
    </w:p>
    <w:p>
      <w:pPr>
        <w:pStyle w:val="Listenabsatz"/>
        <w:numPr>
          <w:ilvl w:val="1"/>
          <w:numId w:val="2"/>
        </w:numPr>
        <w:spacing w:after="0"/>
        <w:contextualSpacing w:val="0"/>
        <w:rPr>
          <w:color w:val="000000" w:themeColor="text1"/>
          <w:sz w:val="22"/>
          <w:szCs w:val="22"/>
        </w:rPr>
      </w:pPr>
      <w:r>
        <w:rPr>
          <w:color w:val="000000" w:themeColor="text1"/>
          <w:sz w:val="22"/>
          <w:szCs w:val="22"/>
        </w:rPr>
        <w:t>Thomas Harder</w:t>
      </w:r>
    </w:p>
    <w:p>
      <w:pPr>
        <w:pStyle w:val="Listenabsatz"/>
        <w:numPr>
          <w:ilvl w:val="1"/>
          <w:numId w:val="2"/>
        </w:numPr>
        <w:spacing w:after="0"/>
        <w:contextualSpacing w:val="0"/>
        <w:rPr>
          <w:color w:val="000000" w:themeColor="text1"/>
          <w:sz w:val="22"/>
          <w:szCs w:val="22"/>
        </w:rPr>
      </w:pPr>
    </w:p>
    <w:p>
      <w:pPr>
        <w:pStyle w:val="Listenabsatz"/>
        <w:numPr>
          <w:ilvl w:val="0"/>
          <w:numId w:val="48"/>
        </w:numPr>
        <w:spacing w:after="0"/>
        <w:rPr>
          <w:color w:val="000000" w:themeColor="text1"/>
          <w:sz w:val="22"/>
          <w:szCs w:val="22"/>
        </w:rPr>
      </w:pPr>
      <w:r>
        <w:rPr>
          <w:color w:val="000000" w:themeColor="text1"/>
          <w:sz w:val="22"/>
          <w:szCs w:val="22"/>
        </w:rPr>
        <w:t>FG34</w:t>
      </w:r>
    </w:p>
    <w:p>
      <w:pPr>
        <w:pStyle w:val="Listenabsatz"/>
        <w:numPr>
          <w:ilvl w:val="1"/>
          <w:numId w:val="48"/>
        </w:numPr>
        <w:spacing w:after="0"/>
        <w:rPr>
          <w:color w:val="000000" w:themeColor="text1"/>
          <w:sz w:val="22"/>
          <w:szCs w:val="22"/>
        </w:rPr>
      </w:pPr>
      <w:r>
        <w:rPr>
          <w:color w:val="000000" w:themeColor="text1"/>
          <w:sz w:val="22"/>
          <w:szCs w:val="22"/>
        </w:rPr>
        <w:t>Viviane Bremer</w:t>
      </w:r>
    </w:p>
    <w:p>
      <w:pPr>
        <w:pStyle w:val="Listenabsatz"/>
        <w:numPr>
          <w:ilvl w:val="0"/>
          <w:numId w:val="2"/>
        </w:numPr>
        <w:spacing w:after="0"/>
        <w:contextualSpacing w:val="0"/>
        <w:rPr>
          <w:color w:val="000000" w:themeColor="text1"/>
          <w:sz w:val="22"/>
          <w:szCs w:val="22"/>
        </w:rPr>
      </w:pPr>
      <w:r>
        <w:rPr>
          <w:color w:val="000000" w:themeColor="text1"/>
          <w:sz w:val="22"/>
          <w:szCs w:val="22"/>
        </w:rPr>
        <w:t>FG36</w:t>
      </w:r>
    </w:p>
    <w:p>
      <w:pPr>
        <w:numPr>
          <w:ilvl w:val="1"/>
          <w:numId w:val="2"/>
        </w:numPr>
        <w:spacing w:after="0"/>
        <w:rPr>
          <w:color w:val="000000" w:themeColor="text1"/>
          <w:sz w:val="22"/>
          <w:szCs w:val="22"/>
        </w:rPr>
      </w:pPr>
      <w:r>
        <w:rPr>
          <w:color w:val="000000" w:themeColor="text1"/>
          <w:sz w:val="22"/>
          <w:szCs w:val="22"/>
        </w:rPr>
        <w:t>Walter Haas</w:t>
      </w:r>
    </w:p>
    <w:p>
      <w:pPr>
        <w:numPr>
          <w:ilvl w:val="1"/>
          <w:numId w:val="2"/>
        </w:numPr>
        <w:spacing w:after="0"/>
        <w:rPr>
          <w:color w:val="000000" w:themeColor="text1"/>
          <w:sz w:val="22"/>
          <w:szCs w:val="22"/>
        </w:rPr>
      </w:pPr>
      <w:r>
        <w:rPr>
          <w:color w:val="000000" w:themeColor="text1"/>
          <w:sz w:val="22"/>
          <w:szCs w:val="22"/>
        </w:rPr>
        <w:t>Silke Buda</w:t>
      </w:r>
    </w:p>
    <w:p>
      <w:pPr>
        <w:numPr>
          <w:ilvl w:val="1"/>
          <w:numId w:val="2"/>
        </w:numPr>
        <w:spacing w:after="0"/>
        <w:rPr>
          <w:color w:val="000000" w:themeColor="text1"/>
          <w:sz w:val="22"/>
          <w:szCs w:val="22"/>
        </w:rPr>
      </w:pPr>
      <w:r>
        <w:rPr>
          <w:color w:val="000000" w:themeColor="text1"/>
          <w:sz w:val="22"/>
          <w:szCs w:val="22"/>
        </w:rPr>
        <w:t>Kristin Tolksdorf</w:t>
      </w:r>
    </w:p>
    <w:p>
      <w:pPr>
        <w:pStyle w:val="Listenabsatz"/>
        <w:numPr>
          <w:ilvl w:val="0"/>
          <w:numId w:val="2"/>
        </w:numPr>
        <w:spacing w:after="0"/>
        <w:contextualSpacing w:val="0"/>
        <w:rPr>
          <w:color w:val="000000" w:themeColor="text1"/>
          <w:sz w:val="22"/>
          <w:szCs w:val="22"/>
        </w:rPr>
      </w:pPr>
      <w:r>
        <w:rPr>
          <w:color w:val="000000" w:themeColor="text1"/>
          <w:sz w:val="22"/>
          <w:szCs w:val="22"/>
        </w:rPr>
        <w:t>FG37</w:t>
      </w:r>
    </w:p>
    <w:p>
      <w:pPr>
        <w:pStyle w:val="Listenabsatz"/>
        <w:numPr>
          <w:ilvl w:val="1"/>
          <w:numId w:val="2"/>
        </w:numPr>
        <w:spacing w:after="0"/>
        <w:contextualSpacing w:val="0"/>
        <w:rPr>
          <w:color w:val="000000" w:themeColor="text1"/>
          <w:sz w:val="22"/>
          <w:szCs w:val="22"/>
        </w:rPr>
      </w:pPr>
      <w:r>
        <w:rPr>
          <w:color w:val="000000" w:themeColor="text1"/>
          <w:sz w:val="22"/>
          <w:szCs w:val="22"/>
        </w:rPr>
        <w:t>Muna Abu Sin</w:t>
      </w:r>
    </w:p>
    <w:p>
      <w:pPr>
        <w:pStyle w:val="Listenabsatz"/>
        <w:numPr>
          <w:ilvl w:val="0"/>
          <w:numId w:val="4"/>
        </w:numPr>
        <w:spacing w:after="0"/>
        <w:contextualSpacing w:val="0"/>
        <w:rPr>
          <w:color w:val="000000" w:themeColor="text1"/>
          <w:sz w:val="22"/>
          <w:szCs w:val="22"/>
        </w:rPr>
      </w:pPr>
      <w:r>
        <w:rPr>
          <w:color w:val="000000" w:themeColor="text1"/>
          <w:sz w:val="22"/>
          <w:szCs w:val="22"/>
        </w:rPr>
        <w:t>FG38</w:t>
      </w:r>
    </w:p>
    <w:p>
      <w:pPr>
        <w:pStyle w:val="Listenabsatz"/>
        <w:numPr>
          <w:ilvl w:val="1"/>
          <w:numId w:val="2"/>
        </w:numPr>
        <w:spacing w:after="0"/>
        <w:contextualSpacing w:val="0"/>
        <w:rPr>
          <w:color w:val="000000" w:themeColor="text1"/>
          <w:sz w:val="22"/>
          <w:szCs w:val="22"/>
        </w:rPr>
      </w:pPr>
      <w:r>
        <w:rPr>
          <w:color w:val="000000" w:themeColor="text1"/>
          <w:sz w:val="22"/>
          <w:szCs w:val="22"/>
        </w:rPr>
        <w:t>Ute Rexroth</w:t>
      </w:r>
    </w:p>
    <w:p>
      <w:pPr>
        <w:pStyle w:val="Listenabsatz"/>
        <w:numPr>
          <w:ilvl w:val="0"/>
          <w:numId w:val="4"/>
        </w:numPr>
        <w:spacing w:after="0"/>
        <w:rPr>
          <w:color w:val="000000" w:themeColor="text1"/>
          <w:sz w:val="22"/>
          <w:szCs w:val="22"/>
        </w:rPr>
      </w:pPr>
      <w:r>
        <w:rPr>
          <w:color w:val="000000" w:themeColor="text1"/>
          <w:sz w:val="22"/>
          <w:szCs w:val="22"/>
        </w:rPr>
        <w:t>MF4</w:t>
      </w:r>
    </w:p>
    <w:p>
      <w:pPr>
        <w:pStyle w:val="Listenabsatz"/>
        <w:numPr>
          <w:ilvl w:val="1"/>
          <w:numId w:val="4"/>
        </w:numPr>
        <w:spacing w:after="0"/>
        <w:rPr>
          <w:color w:val="000000" w:themeColor="text1"/>
          <w:sz w:val="22"/>
          <w:szCs w:val="22"/>
        </w:rPr>
      </w:pPr>
      <w:r>
        <w:rPr>
          <w:color w:val="000000" w:themeColor="text1"/>
          <w:sz w:val="22"/>
          <w:szCs w:val="22"/>
        </w:rPr>
        <w:t xml:space="preserve">Martina Fischer </w:t>
      </w:r>
    </w:p>
    <w:p>
      <w:pPr>
        <w:pStyle w:val="Listenabsatz"/>
        <w:numPr>
          <w:ilvl w:val="0"/>
          <w:numId w:val="3"/>
        </w:numPr>
        <w:spacing w:after="0"/>
        <w:contextualSpacing w:val="0"/>
        <w:rPr>
          <w:color w:val="000000" w:themeColor="text1"/>
          <w:sz w:val="22"/>
          <w:szCs w:val="22"/>
        </w:rPr>
      </w:pPr>
      <w:r>
        <w:rPr>
          <w:color w:val="000000" w:themeColor="text1"/>
          <w:sz w:val="22"/>
          <w:szCs w:val="22"/>
        </w:rPr>
        <w:t>ZBS7</w:t>
      </w:r>
    </w:p>
    <w:p>
      <w:pPr>
        <w:pStyle w:val="Listenabsatz"/>
        <w:numPr>
          <w:ilvl w:val="1"/>
          <w:numId w:val="3"/>
        </w:numPr>
        <w:spacing w:after="0"/>
        <w:contextualSpacing w:val="0"/>
        <w:rPr>
          <w:color w:val="000000" w:themeColor="text1"/>
          <w:sz w:val="22"/>
          <w:szCs w:val="22"/>
        </w:rPr>
      </w:pPr>
      <w:r>
        <w:rPr>
          <w:color w:val="000000" w:themeColor="text1"/>
          <w:sz w:val="22"/>
          <w:szCs w:val="22"/>
        </w:rPr>
        <w:t xml:space="preserve">Michaela </w:t>
      </w:r>
      <w:proofErr w:type="spellStart"/>
      <w:r>
        <w:rPr>
          <w:color w:val="000000" w:themeColor="text1"/>
          <w:sz w:val="22"/>
          <w:szCs w:val="22"/>
        </w:rPr>
        <w:t>Niebank</w:t>
      </w:r>
      <w:proofErr w:type="spellEnd"/>
    </w:p>
    <w:p>
      <w:pPr>
        <w:pStyle w:val="Listenabsatz"/>
        <w:numPr>
          <w:ilvl w:val="0"/>
          <w:numId w:val="3"/>
        </w:numPr>
        <w:spacing w:after="0"/>
        <w:contextualSpacing w:val="0"/>
        <w:rPr>
          <w:color w:val="000000" w:themeColor="text1"/>
          <w:sz w:val="22"/>
          <w:szCs w:val="22"/>
        </w:rPr>
      </w:pPr>
      <w:r>
        <w:rPr>
          <w:color w:val="000000" w:themeColor="text1"/>
          <w:sz w:val="22"/>
          <w:szCs w:val="22"/>
        </w:rPr>
        <w:t>P1</w:t>
      </w:r>
    </w:p>
    <w:p>
      <w:pPr>
        <w:pStyle w:val="Listenabsatz"/>
        <w:numPr>
          <w:ilvl w:val="1"/>
          <w:numId w:val="3"/>
        </w:numPr>
        <w:spacing w:after="0"/>
        <w:contextualSpacing w:val="0"/>
        <w:rPr>
          <w:color w:val="000000" w:themeColor="text1"/>
          <w:sz w:val="22"/>
          <w:szCs w:val="22"/>
        </w:rPr>
      </w:pPr>
      <w:r>
        <w:rPr>
          <w:color w:val="000000" w:themeColor="text1"/>
          <w:sz w:val="22"/>
          <w:szCs w:val="22"/>
        </w:rPr>
        <w:t xml:space="preserve">John </w:t>
      </w:r>
      <w:proofErr w:type="spellStart"/>
      <w:r>
        <w:rPr>
          <w:color w:val="000000" w:themeColor="text1"/>
          <w:sz w:val="22"/>
          <w:szCs w:val="22"/>
        </w:rPr>
        <w:t>Gubernath</w:t>
      </w:r>
      <w:proofErr w:type="spellEnd"/>
    </w:p>
    <w:p>
      <w:pPr>
        <w:pStyle w:val="Listenabsatz"/>
        <w:numPr>
          <w:ilvl w:val="0"/>
          <w:numId w:val="3"/>
        </w:numPr>
        <w:spacing w:after="0"/>
        <w:contextualSpacing w:val="0"/>
        <w:rPr>
          <w:color w:val="000000" w:themeColor="text1"/>
          <w:sz w:val="22"/>
          <w:szCs w:val="22"/>
        </w:rPr>
      </w:pPr>
      <w:r>
        <w:rPr>
          <w:color w:val="000000" w:themeColor="text1"/>
          <w:sz w:val="22"/>
          <w:szCs w:val="22"/>
        </w:rPr>
        <w:t>P4</w:t>
      </w:r>
    </w:p>
    <w:p>
      <w:pPr>
        <w:pStyle w:val="Listenabsatz"/>
        <w:numPr>
          <w:ilvl w:val="1"/>
          <w:numId w:val="3"/>
        </w:numPr>
        <w:spacing w:after="0"/>
        <w:contextualSpacing w:val="0"/>
        <w:rPr>
          <w:color w:val="000000" w:themeColor="text1"/>
          <w:sz w:val="22"/>
          <w:szCs w:val="22"/>
        </w:rPr>
      </w:pPr>
      <w:r>
        <w:rPr>
          <w:color w:val="000000" w:themeColor="text1"/>
          <w:sz w:val="22"/>
          <w:szCs w:val="22"/>
        </w:rPr>
        <w:t>Susi Gottwald</w:t>
      </w:r>
    </w:p>
    <w:p>
      <w:pPr>
        <w:pStyle w:val="Listenabsatz"/>
        <w:numPr>
          <w:ilvl w:val="0"/>
          <w:numId w:val="3"/>
        </w:numPr>
        <w:spacing w:after="0"/>
        <w:contextualSpacing w:val="0"/>
        <w:rPr>
          <w:color w:val="000000" w:themeColor="text1"/>
          <w:sz w:val="22"/>
          <w:szCs w:val="22"/>
        </w:rPr>
      </w:pPr>
      <w:r>
        <w:rPr>
          <w:color w:val="000000" w:themeColor="text1"/>
          <w:sz w:val="22"/>
          <w:szCs w:val="22"/>
        </w:rPr>
        <w:t>Presse</w:t>
      </w:r>
    </w:p>
    <w:p>
      <w:pPr>
        <w:pStyle w:val="Listenabsatz"/>
        <w:numPr>
          <w:ilvl w:val="1"/>
          <w:numId w:val="3"/>
        </w:numPr>
        <w:rPr>
          <w:color w:val="000000" w:themeColor="text1"/>
          <w:sz w:val="22"/>
          <w:szCs w:val="22"/>
        </w:rPr>
      </w:pPr>
      <w:r>
        <w:rPr>
          <w:color w:val="000000" w:themeColor="text1"/>
          <w:sz w:val="22"/>
          <w:szCs w:val="22"/>
        </w:rPr>
        <w:t>Marieke Degen</w:t>
      </w:r>
    </w:p>
    <w:p>
      <w:pPr>
        <w:pStyle w:val="Listenabsatz"/>
        <w:numPr>
          <w:ilvl w:val="1"/>
          <w:numId w:val="3"/>
        </w:numPr>
        <w:rPr>
          <w:color w:val="000000" w:themeColor="text1"/>
          <w:sz w:val="22"/>
          <w:szCs w:val="22"/>
        </w:rPr>
      </w:pPr>
      <w:r>
        <w:rPr>
          <w:color w:val="000000" w:themeColor="text1"/>
          <w:sz w:val="22"/>
          <w:szCs w:val="22"/>
        </w:rPr>
        <w:t>Ronja Wenchel</w:t>
      </w:r>
    </w:p>
    <w:p>
      <w:pPr>
        <w:pStyle w:val="Listenabsatz"/>
        <w:numPr>
          <w:ilvl w:val="0"/>
          <w:numId w:val="47"/>
        </w:numPr>
        <w:rPr>
          <w:color w:val="000000" w:themeColor="text1"/>
          <w:sz w:val="22"/>
          <w:szCs w:val="22"/>
        </w:rPr>
      </w:pPr>
      <w:r>
        <w:rPr>
          <w:color w:val="000000" w:themeColor="text1"/>
          <w:sz w:val="22"/>
          <w:szCs w:val="22"/>
        </w:rPr>
        <w:t>ZIG</w:t>
      </w:r>
    </w:p>
    <w:p>
      <w:pPr>
        <w:pStyle w:val="Listenabsatz"/>
        <w:numPr>
          <w:ilvl w:val="1"/>
          <w:numId w:val="47"/>
        </w:numPr>
        <w:rPr>
          <w:color w:val="000000" w:themeColor="text1"/>
          <w:sz w:val="22"/>
          <w:szCs w:val="22"/>
        </w:rPr>
      </w:pPr>
      <w:r>
        <w:rPr>
          <w:color w:val="000000" w:themeColor="text1"/>
          <w:sz w:val="22"/>
          <w:szCs w:val="22"/>
        </w:rPr>
        <w:t xml:space="preserve">Eugenia </w:t>
      </w:r>
      <w:proofErr w:type="spellStart"/>
      <w:r>
        <w:rPr>
          <w:color w:val="000000" w:themeColor="text1"/>
          <w:sz w:val="22"/>
          <w:szCs w:val="22"/>
        </w:rPr>
        <w:t>Romo</w:t>
      </w:r>
      <w:proofErr w:type="spellEnd"/>
      <w:r>
        <w:rPr>
          <w:color w:val="000000" w:themeColor="text1"/>
          <w:sz w:val="22"/>
          <w:szCs w:val="22"/>
        </w:rPr>
        <w:t xml:space="preserve"> Ventura</w:t>
      </w:r>
    </w:p>
    <w:p>
      <w:pPr>
        <w:pStyle w:val="Listenabsatz"/>
        <w:numPr>
          <w:ilvl w:val="0"/>
          <w:numId w:val="2"/>
        </w:numPr>
        <w:spacing w:after="0"/>
        <w:contextualSpacing w:val="0"/>
        <w:rPr>
          <w:color w:val="000000" w:themeColor="text1"/>
          <w:sz w:val="22"/>
          <w:szCs w:val="22"/>
        </w:rPr>
      </w:pPr>
      <w:r>
        <w:rPr>
          <w:color w:val="000000" w:themeColor="text1"/>
          <w:sz w:val="22"/>
          <w:szCs w:val="22"/>
        </w:rPr>
        <w:t xml:space="preserve">BZgA </w:t>
      </w:r>
    </w:p>
    <w:p>
      <w:pPr>
        <w:pStyle w:val="Listenabsatz"/>
        <w:numPr>
          <w:ilvl w:val="1"/>
          <w:numId w:val="2"/>
        </w:numPr>
        <w:spacing w:after="0"/>
        <w:rPr>
          <w:color w:val="000000" w:themeColor="text1"/>
          <w:sz w:val="22"/>
        </w:rPr>
      </w:pPr>
      <w:r>
        <w:rPr>
          <w:color w:val="000000" w:themeColor="text1"/>
          <w:sz w:val="22"/>
        </w:rPr>
        <w:t>Christoph Peter</w:t>
      </w:r>
    </w:p>
    <w:p>
      <w:pPr>
        <w:spacing w:after="0"/>
        <w:ind w:left="360"/>
        <w:rPr>
          <w:color w:val="000000" w:themeColor="text1"/>
          <w:sz w:val="22"/>
          <w:szCs w:val="22"/>
        </w:rPr>
      </w:pPr>
    </w:p>
    <w:p>
      <w:pPr>
        <w:spacing w:after="0"/>
        <w:ind w:left="360"/>
        <w:rPr>
          <w:color w:val="000000" w:themeColor="text1"/>
          <w:sz w:val="22"/>
          <w:szCs w:val="22"/>
        </w:rPr>
      </w:pPr>
      <w:r>
        <w:rPr>
          <w:color w:val="000000" w:themeColor="text1"/>
          <w:sz w:val="22"/>
          <w:szCs w:val="22"/>
        </w:rPr>
        <w:t>Protokoll:</w:t>
      </w:r>
    </w:p>
    <w:p>
      <w:pPr>
        <w:spacing w:after="0"/>
        <w:ind w:left="360"/>
        <w:rPr>
          <w:color w:val="000000" w:themeColor="text1"/>
          <w:sz w:val="22"/>
          <w:szCs w:val="22"/>
        </w:rPr>
      </w:pPr>
      <w:r>
        <w:rPr>
          <w:color w:val="000000" w:themeColor="text1"/>
          <w:sz w:val="22"/>
        </w:rPr>
        <w:t xml:space="preserve">Maren Imhoff, </w:t>
      </w:r>
      <w:proofErr w:type="spellStart"/>
      <w:r>
        <w:rPr>
          <w:color w:val="000000" w:themeColor="text1"/>
          <w:sz w:val="22"/>
        </w:rPr>
        <w:t>ZfKD</w:t>
      </w:r>
      <w:proofErr w:type="spellEnd"/>
      <w:r>
        <w:rPr>
          <w:color w:val="000000" w:themeColor="text1"/>
          <w:sz w:val="22"/>
        </w:rPr>
        <w:t>/FG38</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r>
              <w:rPr>
                <w:i/>
              </w:rPr>
              <w:t xml:space="preserve"> </w:t>
            </w:r>
          </w:p>
          <w:p>
            <w:pPr>
              <w:pStyle w:val="2"/>
            </w:pPr>
            <w:r>
              <w:t xml:space="preserve">National </w:t>
            </w:r>
          </w:p>
          <w:p>
            <w:pPr>
              <w:pStyle w:val="Liste1"/>
            </w:pPr>
            <w:r>
              <w:rPr>
                <w:b/>
              </w:rPr>
              <w:t>Fallzahlen, Todesfälle, Trend</w:t>
            </w:r>
            <w:r>
              <w:t xml:space="preserve">, (Folien </w:t>
            </w:r>
            <w:hyperlink r:id="rId11" w:history="1">
              <w:r>
                <w:rPr>
                  <w:rStyle w:val="Hyperlink"/>
                </w:rPr>
                <w:t>hier</w:t>
              </w:r>
            </w:hyperlink>
            <w:r>
              <w:t>)</w:t>
            </w:r>
          </w:p>
          <w:p>
            <w:pPr>
              <w:pStyle w:val="Liste2"/>
              <w:rPr>
                <w:color w:val="000000" w:themeColor="text1"/>
                <w:lang w:val="de-DE"/>
              </w:rPr>
            </w:pPr>
            <w:proofErr w:type="spellStart"/>
            <w:r>
              <w:rPr>
                <w:color w:val="000000" w:themeColor="text1"/>
                <w:lang w:val="de-DE"/>
              </w:rPr>
              <w:t>SurvNet</w:t>
            </w:r>
            <w:proofErr w:type="spellEnd"/>
            <w:r>
              <w:rPr>
                <w:color w:val="000000" w:themeColor="text1"/>
                <w:lang w:val="de-DE"/>
              </w:rPr>
              <w:t xml:space="preserve"> übermittelt: 3.761.169 (+2.768) Fälle, davon 91.586 (+21) Todesfälle</w:t>
            </w:r>
          </w:p>
          <w:p>
            <w:pPr>
              <w:pStyle w:val="Liste2"/>
              <w:rPr>
                <w:color w:val="000000" w:themeColor="text1"/>
                <w:lang w:val="de-DE"/>
              </w:rPr>
            </w:pPr>
            <w:r>
              <w:rPr>
                <w:color w:val="000000" w:themeColor="text1"/>
                <w:lang w:val="de-DE"/>
              </w:rPr>
              <w:t>Zunahme hat sich verlangsamt (s. Wochenvergleich)</w:t>
            </w:r>
          </w:p>
          <w:p>
            <w:pPr>
              <w:pStyle w:val="Liste2"/>
              <w:rPr>
                <w:color w:val="000000" w:themeColor="text1"/>
                <w:lang w:val="de-DE"/>
              </w:rPr>
            </w:pPr>
            <w:r>
              <w:rPr>
                <w:color w:val="000000" w:themeColor="text1"/>
                <w:lang w:val="de-DE"/>
              </w:rPr>
              <w:t>7-Tage-R-Wert = 1,07</w:t>
            </w:r>
          </w:p>
          <w:p>
            <w:pPr>
              <w:pStyle w:val="Liste2"/>
              <w:rPr>
                <w:color w:val="000000" w:themeColor="text1"/>
                <w:lang w:val="de-DE"/>
              </w:rPr>
            </w:pPr>
            <w:r>
              <w:rPr>
                <w:color w:val="000000" w:themeColor="text1"/>
                <w:lang w:val="de-DE"/>
              </w:rPr>
              <w:t>Verlauf der 7-Tage-Inzidenz der Bundesländer:</w:t>
            </w:r>
          </w:p>
          <w:p>
            <w:pPr>
              <w:pStyle w:val="Liste2"/>
              <w:numPr>
                <w:ilvl w:val="0"/>
                <w:numId w:val="0"/>
              </w:numPr>
              <w:ind w:left="833"/>
              <w:rPr>
                <w:color w:val="A6A6A6" w:themeColor="background1" w:themeShade="A6"/>
                <w:lang w:val="de-DE"/>
              </w:rPr>
            </w:pPr>
            <w:r>
              <w:rPr>
                <w:color w:val="000000" w:themeColor="text1"/>
                <w:lang w:val="de-DE"/>
              </w:rPr>
              <w:t>Aufspaltung alte/neue BL: Anstieg in neuen BL auf niedrigem Niveau; BL mit höchsten Inzidenzen: HH, BE, HB, SL</w:t>
            </w:r>
          </w:p>
          <w:p>
            <w:pPr>
              <w:pStyle w:val="Liste2"/>
              <w:rPr>
                <w:color w:val="000000" w:themeColor="text1"/>
                <w:lang w:val="de-DE"/>
              </w:rPr>
            </w:pPr>
            <w:r>
              <w:rPr>
                <w:color w:val="000000" w:themeColor="text1"/>
                <w:lang w:val="de-DE"/>
              </w:rPr>
              <w:t>Geografische Verteilung 7-Tage-Inzidenz:</w:t>
            </w:r>
          </w:p>
          <w:p>
            <w:pPr>
              <w:pStyle w:val="Liste3"/>
              <w:numPr>
                <w:ilvl w:val="0"/>
                <w:numId w:val="0"/>
              </w:numPr>
              <w:ind w:left="905"/>
              <w:rPr>
                <w:color w:val="000000" w:themeColor="text1" w:themeShade="A6"/>
              </w:rPr>
            </w:pPr>
            <w:r>
              <w:rPr>
                <w:color w:val="000000" w:themeColor="text1" w:themeShade="A6"/>
              </w:rPr>
              <w:t>Anteil Kreise mit niedriger Inzidenz sinkt;</w:t>
            </w:r>
            <w:r>
              <w:rPr>
                <w:color w:val="000000" w:themeColor="text1"/>
              </w:rPr>
              <w:t xml:space="preserve"> ca. 10 % &gt; 25/100.000; 2 Kreise (LK Lüneburg, SK Solingen) &gt; 50/100.000</w:t>
            </w:r>
          </w:p>
          <w:p>
            <w:pPr>
              <w:pStyle w:val="Liste2"/>
              <w:rPr>
                <w:color w:val="000000" w:themeColor="text1"/>
                <w:lang w:val="de-DE"/>
              </w:rPr>
            </w:pPr>
            <w:r>
              <w:rPr>
                <w:color w:val="000000" w:themeColor="text1"/>
                <w:lang w:val="de-DE"/>
              </w:rPr>
              <w:t>Trend-Entwicklung der 7-Tage-Inzidenz:</w:t>
            </w:r>
          </w:p>
          <w:p>
            <w:pPr>
              <w:pStyle w:val="Liste2"/>
              <w:numPr>
                <w:ilvl w:val="0"/>
                <w:numId w:val="0"/>
              </w:numPr>
              <w:ind w:left="833"/>
              <w:rPr>
                <w:color w:val="000000" w:themeColor="text1"/>
                <w:lang w:val="de-DE"/>
              </w:rPr>
            </w:pPr>
            <w:r>
              <w:rPr>
                <w:color w:val="000000" w:themeColor="text1"/>
                <w:lang w:val="de-DE"/>
              </w:rPr>
              <w:t>Inzidenzanstieg gegenüber Vorwoche teilweise um Faktor 5 und höher (LK Mecklenburgische Seenplatte: Faktor 21,0; LK Miltenberg: Faktor 8,3); Kreise mit bedeutendem Inzidenzanstieg über gesamtes Bundesgebiet verteilt; Küste mit deutlichem relativem Anstieg, absolute Fallzahlen gering</w:t>
            </w:r>
          </w:p>
          <w:p>
            <w:pPr>
              <w:pStyle w:val="Liste2"/>
              <w:rPr>
                <w:color w:val="000000" w:themeColor="text1"/>
                <w:lang w:val="de-DE"/>
              </w:rPr>
            </w:pPr>
            <w:r>
              <w:rPr>
                <w:color w:val="000000" w:themeColor="text1"/>
                <w:lang w:val="de-DE"/>
              </w:rPr>
              <w:t>Wochenvergleich der 7-Tage-Inzidenz:</w:t>
            </w:r>
          </w:p>
          <w:p>
            <w:pPr>
              <w:pStyle w:val="Liste2"/>
              <w:numPr>
                <w:ilvl w:val="0"/>
                <w:numId w:val="0"/>
              </w:numPr>
              <w:ind w:left="833"/>
              <w:rPr>
                <w:color w:val="000000" w:themeColor="text1"/>
                <w:lang w:val="de-DE"/>
              </w:rPr>
            </w:pPr>
            <w:r>
              <w:rPr>
                <w:color w:val="000000" w:themeColor="text1"/>
                <w:lang w:val="de-DE"/>
              </w:rPr>
              <w:t>Zunahme um 21 % (aktuelle Woche: 15/100.000, Vorwoche: 12,4/100.000); Anstieg hat sich verlangsamt</w:t>
            </w:r>
          </w:p>
          <w:p>
            <w:pPr>
              <w:pStyle w:val="Liste2"/>
              <w:ind w:left="766" w:hanging="293"/>
              <w:rPr>
                <w:color w:val="000000" w:themeColor="text1"/>
                <w:lang w:val="de-DE"/>
              </w:rPr>
            </w:pPr>
            <w:r>
              <w:rPr>
                <w:color w:val="000000" w:themeColor="text1"/>
                <w:lang w:val="de-DE"/>
              </w:rPr>
              <w:t>Todesfälle während der letzten 14 Tage nach Landkreis:</w:t>
            </w:r>
          </w:p>
          <w:p>
            <w:pPr>
              <w:pStyle w:val="Liste2"/>
              <w:numPr>
                <w:ilvl w:val="0"/>
                <w:numId w:val="0"/>
              </w:numPr>
              <w:ind w:left="766"/>
              <w:rPr>
                <w:color w:val="000000" w:themeColor="text1"/>
                <w:lang w:val="de-DE"/>
              </w:rPr>
            </w:pPr>
            <w:r>
              <w:rPr>
                <w:color w:val="000000" w:themeColor="text1"/>
                <w:lang w:val="de-DE"/>
              </w:rPr>
              <w:t>Todesfälle weiter auf niedrigem Niveau, ca. 150/Woche</w:t>
            </w:r>
          </w:p>
          <w:p>
            <w:pPr>
              <w:pStyle w:val="Liste2"/>
              <w:rPr>
                <w:color w:val="000000" w:themeColor="text1"/>
                <w:lang w:val="de-DE"/>
              </w:rPr>
            </w:pPr>
            <w:r>
              <w:rPr>
                <w:color w:val="000000" w:themeColor="text1"/>
                <w:lang w:val="de-DE"/>
              </w:rPr>
              <w:t>7-Tage-Inzidenz der COVID-19-Fälle nach Altersgruppe und Meldewoche (</w:t>
            </w:r>
            <w:proofErr w:type="spellStart"/>
            <w:r>
              <w:rPr>
                <w:color w:val="000000" w:themeColor="text1"/>
                <w:lang w:val="de-DE"/>
              </w:rPr>
              <w:t>Heatmap</w:t>
            </w:r>
            <w:proofErr w:type="spellEnd"/>
            <w:r>
              <w:rPr>
                <w:color w:val="000000" w:themeColor="text1"/>
                <w:lang w:val="de-DE"/>
              </w:rPr>
              <w:t>):</w:t>
            </w:r>
          </w:p>
          <w:p>
            <w:pPr>
              <w:pStyle w:val="Liste2"/>
              <w:numPr>
                <w:ilvl w:val="0"/>
                <w:numId w:val="0"/>
              </w:numPr>
              <w:ind w:left="833"/>
              <w:rPr>
                <w:color w:val="000000" w:themeColor="text1"/>
                <w:lang w:val="de-DE"/>
              </w:rPr>
            </w:pPr>
            <w:r>
              <w:rPr>
                <w:color w:val="000000" w:themeColor="text1"/>
                <w:lang w:val="de-DE"/>
              </w:rPr>
              <w:t>deutliche Zunahme in Altersgruppen 15-30 J., höchste 7TI in AG 20-24 (45/100.000) und AG 15-19 (40/100.000).; in 2021 deutlich kürzere Phase mit niedriger Inzidenz als 2020 (in KW 30/2020 in allen AG 7TI &lt; 10)</w:t>
            </w:r>
          </w:p>
          <w:p>
            <w:pPr>
              <w:pStyle w:val="Liste2"/>
              <w:rPr>
                <w:color w:val="000000" w:themeColor="text1"/>
                <w:lang w:val="de-DE"/>
              </w:rPr>
            </w:pPr>
            <w:r>
              <w:rPr>
                <w:color w:val="000000" w:themeColor="text1"/>
                <w:lang w:val="de-DE"/>
              </w:rPr>
              <w:t>7-Tage-Inzidenz hospitalisierter COVID-19-Fälle nach LK:</w:t>
            </w:r>
          </w:p>
          <w:p>
            <w:pPr>
              <w:pStyle w:val="Liste2"/>
              <w:numPr>
                <w:ilvl w:val="0"/>
                <w:numId w:val="0"/>
              </w:numPr>
              <w:ind w:left="833"/>
              <w:rPr>
                <w:color w:val="000000" w:themeColor="text1"/>
                <w:lang w:val="de-DE"/>
              </w:rPr>
            </w:pPr>
            <w:r>
              <w:rPr>
                <w:color w:val="000000" w:themeColor="text1"/>
                <w:lang w:val="de-DE"/>
              </w:rPr>
              <w:t>7TI insgesamt sehr niedrig; kleine absolute Fallzahländerungen bewirken Inzidenzsprünge</w:t>
            </w:r>
          </w:p>
          <w:p>
            <w:pPr>
              <w:pStyle w:val="Liste2"/>
              <w:rPr>
                <w:color w:val="000000" w:themeColor="text1"/>
                <w:lang w:val="de-DE"/>
              </w:rPr>
            </w:pPr>
            <w:r>
              <w:rPr>
                <w:color w:val="000000" w:themeColor="text1"/>
                <w:lang w:val="de-DE"/>
              </w:rPr>
              <w:t>Verlauf 7-Tage-Inzidenz der hospitalisierten COVID-19-Fälle, Juni-Juli 2021:</w:t>
            </w:r>
          </w:p>
          <w:p>
            <w:pPr>
              <w:pStyle w:val="Liste2"/>
              <w:numPr>
                <w:ilvl w:val="0"/>
                <w:numId w:val="0"/>
              </w:numPr>
              <w:ind w:left="833"/>
              <w:rPr>
                <w:color w:val="000000" w:themeColor="text1"/>
                <w:lang w:val="de-DE"/>
              </w:rPr>
            </w:pPr>
            <w:r>
              <w:rPr>
                <w:color w:val="000000" w:themeColor="text1"/>
                <w:lang w:val="de-DE"/>
              </w:rPr>
              <w:t>7TI in allen Altersgruppen &lt; 1/100.000</w:t>
            </w:r>
          </w:p>
          <w:p>
            <w:pPr>
              <w:pStyle w:val="Liste2"/>
              <w:rPr>
                <w:color w:val="000000" w:themeColor="text1"/>
                <w:lang w:val="de-DE"/>
              </w:rPr>
            </w:pPr>
            <w:r>
              <w:rPr>
                <w:color w:val="000000" w:themeColor="text1"/>
                <w:lang w:val="de-DE"/>
              </w:rPr>
              <w:t>Expositionsländer importierter Fälle:</w:t>
            </w:r>
          </w:p>
          <w:p>
            <w:pPr>
              <w:pStyle w:val="Liste2"/>
              <w:numPr>
                <w:ilvl w:val="0"/>
                <w:numId w:val="0"/>
              </w:numPr>
              <w:spacing w:after="240"/>
              <w:ind w:left="833"/>
              <w:contextualSpacing w:val="0"/>
              <w:rPr>
                <w:color w:val="000000" w:themeColor="text1"/>
                <w:lang w:val="de-DE"/>
              </w:rPr>
            </w:pPr>
            <w:r>
              <w:rPr>
                <w:color w:val="000000" w:themeColor="text1"/>
                <w:lang w:val="de-DE"/>
              </w:rPr>
              <w:t xml:space="preserve">in den letzten 14 Tagen zunehmend Fälle mit Exposition im Ausland; Anteil an Fällen </w:t>
            </w:r>
            <w:r>
              <w:rPr>
                <w:i/>
                <w:color w:val="000000" w:themeColor="text1"/>
                <w:lang w:val="de-DE"/>
              </w:rPr>
              <w:t>mit</w:t>
            </w:r>
            <w:r>
              <w:rPr>
                <w:color w:val="000000" w:themeColor="text1"/>
                <w:lang w:val="de-DE"/>
              </w:rPr>
              <w:t xml:space="preserve"> Angaben zum Expositionsort: 20 % (Anteil gesamt: 10 %); Länder mit den meisten Nennungen: ES (n=762), TR (220), GR (155), HR (153)</w:t>
            </w:r>
          </w:p>
          <w:p>
            <w:pPr>
              <w:pStyle w:val="Liste1"/>
              <w:rPr>
                <w:rStyle w:val="TagMiZchn"/>
                <w:b w:val="0"/>
                <w:bCs/>
              </w:rPr>
            </w:pPr>
            <w:r>
              <w:rPr>
                <w:rStyle w:val="3Zchn"/>
                <w:highlight w:val="yellow"/>
              </w:rPr>
              <w:t>Testkapazität und Testungen</w:t>
            </w:r>
            <w:r>
              <w:t xml:space="preserve"> </w:t>
            </w:r>
            <w:r>
              <w:rPr>
                <w:rStyle w:val="TagMiZchn"/>
                <w:bCs/>
              </w:rPr>
              <w:t>(nur mittwochs)</w:t>
            </w:r>
            <w:r>
              <w:rPr>
                <w:rStyle w:val="TagMiZchn"/>
                <w:b w:val="0"/>
                <w:bCs/>
                <w:i w:val="0"/>
                <w:color w:val="auto"/>
              </w:rPr>
              <w:t xml:space="preserve"> (Folien </w:t>
            </w:r>
            <w:r>
              <w:rPr>
                <w:highlight w:val="yellow"/>
              </w:rPr>
              <w:t>hier</w:t>
            </w:r>
            <w:r>
              <w:t>)</w:t>
            </w:r>
          </w:p>
          <w:p>
            <w:pPr>
              <w:pStyle w:val="Liste2"/>
              <w:rPr>
                <w:color w:val="000000" w:themeColor="text1"/>
                <w:lang w:val="de-DE"/>
              </w:rPr>
            </w:pPr>
            <w:r>
              <w:rPr>
                <w:color w:val="000000" w:themeColor="text1"/>
                <w:lang w:val="de-DE"/>
              </w:rPr>
              <w:t>Anzahl Testungen -2 % im Vergleich zur Vorwoche</w:t>
            </w:r>
          </w:p>
          <w:p>
            <w:pPr>
              <w:pStyle w:val="Liste2"/>
              <w:rPr>
                <w:color w:val="000000" w:themeColor="text1"/>
                <w:highlight w:val="yellow"/>
                <w:lang w:val="de-DE"/>
              </w:rPr>
            </w:pPr>
            <w:proofErr w:type="spellStart"/>
            <w:r>
              <w:rPr>
                <w:color w:val="000000" w:themeColor="text1"/>
                <w:highlight w:val="yellow"/>
                <w:lang w:val="de-DE"/>
              </w:rPr>
              <w:t>Positivenanteil</w:t>
            </w:r>
            <w:proofErr w:type="spellEnd"/>
            <w:r>
              <w:rPr>
                <w:color w:val="000000" w:themeColor="text1"/>
                <w:highlight w:val="yellow"/>
                <w:lang w:val="de-DE"/>
              </w:rPr>
              <w:t xml:space="preserve"> angestiegen:</w:t>
            </w:r>
          </w:p>
          <w:p>
            <w:pPr>
              <w:pStyle w:val="Liste2"/>
              <w:rPr>
                <w:color w:val="000000" w:themeColor="text1"/>
                <w:lang w:val="de-DE"/>
              </w:rPr>
            </w:pPr>
            <w:r>
              <w:rPr>
                <w:color w:val="000000" w:themeColor="text1"/>
                <w:lang w:val="de-DE"/>
              </w:rPr>
              <w:lastRenderedPageBreak/>
              <w:t>Testkapazität unverändert</w:t>
            </w:r>
          </w:p>
          <w:p>
            <w:pPr>
              <w:pStyle w:val="Liste2"/>
              <w:rPr>
                <w:color w:val="000000" w:themeColor="text1"/>
                <w:lang w:val="de-DE"/>
              </w:rPr>
            </w:pPr>
            <w:r>
              <w:rPr>
                <w:color w:val="000000" w:themeColor="text1"/>
                <w:lang w:val="de-DE"/>
              </w:rPr>
              <w:t xml:space="preserve">Vergleich mit Vorjahr: in 2020 lag der </w:t>
            </w:r>
            <w:proofErr w:type="spellStart"/>
            <w:r>
              <w:rPr>
                <w:color w:val="000000" w:themeColor="text1"/>
                <w:lang w:val="de-DE"/>
              </w:rPr>
              <w:t>Positivenanteil</w:t>
            </w:r>
            <w:proofErr w:type="spellEnd"/>
            <w:r>
              <w:rPr>
                <w:color w:val="000000" w:themeColor="text1"/>
                <w:lang w:val="de-DE"/>
              </w:rPr>
              <w:t xml:space="preserve"> über einen Zeitraum von 13 Wochen &lt; 1 %, in 2021 lag er für einen wesentlich kürzeren Zeitraum von </w:t>
            </w:r>
            <w:r>
              <w:rPr>
                <w:color w:val="000000" w:themeColor="text1"/>
                <w:highlight w:val="yellow"/>
                <w:lang w:val="de-DE"/>
              </w:rPr>
              <w:t>2 (??) Wochen</w:t>
            </w:r>
            <w:r>
              <w:rPr>
                <w:color w:val="000000" w:themeColor="text1"/>
                <w:lang w:val="de-DE"/>
              </w:rPr>
              <w:t xml:space="preserve"> &lt; 1 %</w:t>
            </w:r>
          </w:p>
          <w:p>
            <w:pPr>
              <w:pStyle w:val="Liste2"/>
              <w:spacing w:after="240"/>
              <w:ind w:left="828" w:hanging="357"/>
              <w:contextualSpacing w:val="0"/>
              <w:rPr>
                <w:color w:val="000000" w:themeColor="text1"/>
                <w:lang w:val="de-DE"/>
              </w:rPr>
            </w:pPr>
            <w:r>
              <w:rPr>
                <w:color w:val="000000" w:themeColor="text1"/>
                <w:lang w:val="de-DE"/>
              </w:rPr>
              <w:t>Anteil VOC: 95 %, Delta &gt; 90 %</w:t>
            </w:r>
          </w:p>
          <w:p>
            <w:pPr>
              <w:pStyle w:val="Liste1"/>
              <w:numPr>
                <w:ilvl w:val="0"/>
                <w:numId w:val="0"/>
              </w:numPr>
              <w:ind w:left="473"/>
              <w:rPr>
                <w:b/>
              </w:rPr>
            </w:pPr>
            <w:r>
              <w:rPr>
                <w:b/>
              </w:rPr>
              <w:t xml:space="preserve">Diskussion </w:t>
            </w:r>
          </w:p>
          <w:p>
            <w:pPr>
              <w:pStyle w:val="Liste2"/>
              <w:rPr>
                <w:color w:val="000000" w:themeColor="text1"/>
                <w:lang w:val="de-DE"/>
              </w:rPr>
            </w:pPr>
            <w:r>
              <w:rPr>
                <w:color w:val="000000" w:themeColor="text1"/>
                <w:lang w:val="de-DE"/>
              </w:rPr>
              <w:t>Anstieg der Gamma-Variante in Nachbarregionen zu Luxemburg: kann auf umschriebene Ausbruchsgeschehen im Zusammenhang mit dem Nationalfeiertag zurückgeführt werden, Delta scheint sich hier wieder durchzusetzen (Information aus EpiLag)</w:t>
            </w:r>
          </w:p>
          <w:p>
            <w:pPr>
              <w:pStyle w:val="Liste2"/>
              <w:rPr>
                <w:color w:val="000000" w:themeColor="text1"/>
                <w:lang w:val="de-DE"/>
              </w:rPr>
            </w:pPr>
            <w:r>
              <w:rPr>
                <w:color w:val="000000" w:themeColor="text1"/>
                <w:lang w:val="de-DE"/>
              </w:rPr>
              <w:t>Auswirkungen der Flutkatastrophe: schwer einzuschätzen</w:t>
            </w:r>
          </w:p>
          <w:p>
            <w:pPr>
              <w:pStyle w:val="Liste2"/>
              <w:spacing w:after="240"/>
              <w:ind w:left="828" w:hanging="357"/>
              <w:contextualSpacing w:val="0"/>
              <w:rPr>
                <w:color w:val="000000" w:themeColor="text1"/>
                <w:lang w:val="de-DE"/>
              </w:rPr>
            </w:pPr>
            <w:r>
              <w:rPr>
                <w:color w:val="000000" w:themeColor="text1"/>
                <w:lang w:val="de-DE"/>
              </w:rPr>
              <w:t>entscheidend für Übertragungen ist nicht der Aufenthaltsort, sondern das Verhalten</w:t>
            </w:r>
          </w:p>
          <w:p>
            <w:pPr>
              <w:pStyle w:val="Liste1"/>
              <w:rPr>
                <w:b/>
              </w:rPr>
            </w:pPr>
            <w:r>
              <w:rPr>
                <w:b/>
              </w:rPr>
              <w:t xml:space="preserve">ARS-Daten </w:t>
            </w:r>
            <w:r>
              <w:rPr>
                <w:rStyle w:val="TagMiZchn"/>
                <w:bCs/>
              </w:rPr>
              <w:t>(nur mittwochs)</w:t>
            </w:r>
            <w:r>
              <w:rPr>
                <w:rStyle w:val="TagMiZchn"/>
                <w:b w:val="0"/>
                <w:bCs/>
                <w:i w:val="0"/>
                <w:color w:val="auto"/>
              </w:rPr>
              <w:t xml:space="preserve"> (Folien </w:t>
            </w:r>
            <w:hyperlink r:id="rId12" w:history="1">
              <w:r>
                <w:rPr>
                  <w:rStyle w:val="Hyperlink"/>
                </w:rPr>
                <w:t>hier</w:t>
              </w:r>
            </w:hyperlink>
            <w:r>
              <w:t>)</w:t>
            </w:r>
          </w:p>
          <w:p>
            <w:pPr>
              <w:pStyle w:val="Liste2"/>
              <w:rPr>
                <w:color w:val="000000" w:themeColor="text1"/>
                <w:lang w:val="de-DE"/>
              </w:rPr>
            </w:pPr>
            <w:r>
              <w:rPr>
                <w:color w:val="000000" w:themeColor="text1"/>
                <w:lang w:val="de-DE"/>
              </w:rPr>
              <w:t xml:space="preserve">seit KW26 Verdopplung der </w:t>
            </w:r>
            <w:proofErr w:type="spellStart"/>
            <w:r>
              <w:rPr>
                <w:color w:val="000000" w:themeColor="text1"/>
                <w:lang w:val="de-DE"/>
              </w:rPr>
              <w:t>Positivenanteile</w:t>
            </w:r>
            <w:proofErr w:type="spellEnd"/>
            <w:r>
              <w:rPr>
                <w:color w:val="000000" w:themeColor="text1"/>
                <w:lang w:val="de-DE"/>
              </w:rPr>
              <w:t xml:space="preserve"> (KW29: 1,5 %)</w:t>
            </w:r>
          </w:p>
          <w:p>
            <w:pPr>
              <w:pStyle w:val="Liste2"/>
              <w:rPr>
                <w:color w:val="000000" w:themeColor="text1"/>
                <w:lang w:val="de-DE"/>
              </w:rPr>
            </w:pPr>
            <w:r>
              <w:rPr>
                <w:color w:val="000000" w:themeColor="text1"/>
                <w:lang w:val="de-DE"/>
              </w:rPr>
              <w:t>in den letzten Wochen deutlicher Rückgang bei Testungen in Testzentren/GÄ (Kategorie „Andere“)</w:t>
            </w:r>
          </w:p>
          <w:p>
            <w:pPr>
              <w:pStyle w:val="Liste2"/>
              <w:rPr>
                <w:color w:val="000000" w:themeColor="text1"/>
                <w:lang w:val="de-DE"/>
              </w:rPr>
            </w:pPr>
            <w:r>
              <w:rPr>
                <w:color w:val="000000" w:themeColor="text1"/>
                <w:lang w:val="de-DE"/>
              </w:rPr>
              <w:t xml:space="preserve">Personen in der AG &gt; 80 J. werden überwiegend in KH getestet, sie sind die am häufigsten getestete AG und die AG mit dem niedrigsten </w:t>
            </w:r>
            <w:proofErr w:type="spellStart"/>
            <w:r>
              <w:rPr>
                <w:color w:val="000000" w:themeColor="text1"/>
                <w:lang w:val="de-DE"/>
              </w:rPr>
              <w:t>Positivenanteil</w:t>
            </w:r>
            <w:proofErr w:type="spellEnd"/>
          </w:p>
          <w:p>
            <w:pPr>
              <w:pStyle w:val="Liste2"/>
              <w:rPr>
                <w:color w:val="000000" w:themeColor="text1"/>
                <w:lang w:val="de-DE"/>
              </w:rPr>
            </w:pPr>
            <w:r>
              <w:rPr>
                <w:color w:val="000000" w:themeColor="text1"/>
                <w:lang w:val="de-DE"/>
              </w:rPr>
              <w:t xml:space="preserve">Anstieg des </w:t>
            </w:r>
            <w:proofErr w:type="spellStart"/>
            <w:r>
              <w:rPr>
                <w:color w:val="000000" w:themeColor="text1"/>
                <w:lang w:val="de-DE"/>
              </w:rPr>
              <w:t>Positivenanteils</w:t>
            </w:r>
            <w:proofErr w:type="spellEnd"/>
            <w:r>
              <w:rPr>
                <w:color w:val="000000" w:themeColor="text1"/>
                <w:lang w:val="de-DE"/>
              </w:rPr>
              <w:t xml:space="preserve"> in AG 15-34 J. (KW29: knapp 10/100.000)</w:t>
            </w:r>
          </w:p>
          <w:p>
            <w:pPr>
              <w:pStyle w:val="Liste2"/>
              <w:rPr>
                <w:color w:val="000000" w:themeColor="text1"/>
                <w:lang w:val="de-DE"/>
              </w:rPr>
            </w:pPr>
            <w:r>
              <w:rPr>
                <w:color w:val="000000" w:themeColor="text1"/>
                <w:lang w:val="de-DE"/>
              </w:rPr>
              <w:t>Anteil Delta seit KW26 &gt; 50 %, in KW29 knapp 90 %</w:t>
            </w:r>
          </w:p>
          <w:p>
            <w:pPr>
              <w:pStyle w:val="Liste2"/>
              <w:numPr>
                <w:ilvl w:val="0"/>
                <w:numId w:val="0"/>
              </w:numPr>
              <w:spacing w:after="240"/>
              <w:ind w:left="833"/>
              <w:contextualSpacing w:val="0"/>
              <w:rPr>
                <w:color w:val="000000" w:themeColor="text1"/>
                <w:lang w:val="de-DE"/>
              </w:rPr>
            </w:pPr>
            <w:r>
              <w:rPr>
                <w:color w:val="000000" w:themeColor="text1"/>
                <w:lang w:val="de-DE"/>
              </w:rPr>
              <w:t>Ausbrüche in Alten-/Pflegeheimen und KH: leichte Zunahme im Vergleich zur Vorwoche (med. Einrichtungen: 8; Pflegeeinrichtungen: 3)</w:t>
            </w:r>
          </w:p>
          <w:p>
            <w:pPr>
              <w:pStyle w:val="Liste1"/>
              <w:numPr>
                <w:ilvl w:val="0"/>
                <w:numId w:val="0"/>
              </w:numPr>
              <w:ind w:left="473"/>
              <w:rPr>
                <w:b/>
              </w:rPr>
            </w:pPr>
            <w:r>
              <w:rPr>
                <w:b/>
              </w:rPr>
              <w:t xml:space="preserve">Diskussion </w:t>
            </w:r>
          </w:p>
          <w:p>
            <w:pPr>
              <w:pStyle w:val="Liste2"/>
              <w:spacing w:after="240"/>
              <w:ind w:left="828" w:hanging="357"/>
              <w:contextualSpacing w:val="0"/>
              <w:rPr>
                <w:color w:val="000000" w:themeColor="text1"/>
                <w:lang w:val="de-DE"/>
              </w:rPr>
            </w:pPr>
            <w:r>
              <w:rPr>
                <w:color w:val="000000" w:themeColor="text1"/>
                <w:lang w:val="de-DE"/>
              </w:rPr>
              <w:t>Ist der Impfstatus der Betroffenen bei Ausbrüchen in Pflegeheimen bekannt? - kann nachgereicht werden; aktuell ist nichts über vermehrte Impfdurchbrüche in Heimen bekannt</w:t>
            </w:r>
          </w:p>
          <w:p>
            <w:pPr>
              <w:pStyle w:val="Listenabsatz"/>
              <w:numPr>
                <w:ilvl w:val="0"/>
                <w:numId w:val="5"/>
              </w:numPr>
              <w:ind w:left="453" w:hanging="340"/>
              <w:rPr>
                <w:sz w:val="22"/>
                <w:szCs w:val="22"/>
              </w:rPr>
            </w:pPr>
            <w:r>
              <w:rPr>
                <w:b/>
                <w:sz w:val="22"/>
                <w:szCs w:val="22"/>
              </w:rPr>
              <w:t>Zahlen zum DIVI-</w:t>
            </w:r>
            <w:proofErr w:type="spellStart"/>
            <w:r>
              <w:rPr>
                <w:b/>
                <w:sz w:val="22"/>
                <w:szCs w:val="22"/>
              </w:rPr>
              <w:t>Intensivregister</w:t>
            </w:r>
            <w:proofErr w:type="spellEnd"/>
            <w:r>
              <w:rPr>
                <w:b/>
                <w:sz w:val="22"/>
                <w:szCs w:val="22"/>
              </w:rPr>
              <w:t xml:space="preserve">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3" w:history="1">
              <w:r>
                <w:rPr>
                  <w:rStyle w:val="Hyperlink"/>
                  <w:sz w:val="22"/>
                  <w:szCs w:val="22"/>
                </w:rPr>
                <w:t>hier</w:t>
              </w:r>
            </w:hyperlink>
            <w:r>
              <w:rPr>
                <w:sz w:val="22"/>
                <w:szCs w:val="22"/>
              </w:rPr>
              <w:t>)</w:t>
            </w:r>
          </w:p>
          <w:p>
            <w:pPr>
              <w:pStyle w:val="Listenabsatz"/>
              <w:numPr>
                <w:ilvl w:val="1"/>
                <w:numId w:val="5"/>
              </w:numPr>
              <w:ind w:left="924" w:hanging="357"/>
              <w:rPr>
                <w:color w:val="000000" w:themeColor="text1"/>
                <w:sz w:val="22"/>
                <w:szCs w:val="22"/>
              </w:rPr>
            </w:pPr>
            <w:r>
              <w:rPr>
                <w:color w:val="000000" w:themeColor="text1"/>
                <w:sz w:val="22"/>
                <w:szCs w:val="22"/>
              </w:rPr>
              <w:t>COVID-19-Intensivpflichtige</w:t>
            </w:r>
          </w:p>
          <w:p>
            <w:pPr>
              <w:pStyle w:val="Listenabsatz"/>
              <w:numPr>
                <w:ilvl w:val="2"/>
                <w:numId w:val="5"/>
              </w:numPr>
              <w:ind w:left="1491" w:hanging="357"/>
              <w:rPr>
                <w:color w:val="000000" w:themeColor="text1"/>
                <w:sz w:val="22"/>
                <w:szCs w:val="22"/>
              </w:rPr>
            </w:pPr>
            <w:r>
              <w:rPr>
                <w:color w:val="000000" w:themeColor="text1"/>
                <w:sz w:val="22"/>
                <w:szCs w:val="22"/>
              </w:rPr>
              <w:t>28.07.21: 363 COVID</w:t>
            </w:r>
            <w:r>
              <w:rPr>
                <w:color w:val="000000" w:themeColor="text1"/>
                <w:sz w:val="22"/>
                <w:szCs w:val="22"/>
              </w:rPr>
              <w:noBreakHyphen/>
              <w:t xml:space="preserve">19-Patient*innen auf ITS </w:t>
            </w:r>
          </w:p>
          <w:p>
            <w:pPr>
              <w:pStyle w:val="Listenabsatz"/>
              <w:numPr>
                <w:ilvl w:val="2"/>
                <w:numId w:val="5"/>
              </w:numPr>
              <w:ind w:left="1491" w:hanging="357"/>
              <w:rPr>
                <w:color w:val="000000" w:themeColor="text1"/>
                <w:sz w:val="22"/>
                <w:szCs w:val="22"/>
              </w:rPr>
            </w:pPr>
            <w:r>
              <w:rPr>
                <w:color w:val="000000" w:themeColor="text1"/>
                <w:sz w:val="22"/>
                <w:szCs w:val="22"/>
              </w:rPr>
              <w:t>weiterhin niedriges Belegungsniveau, aber es zeichnet sich eine Trendwende ab</w:t>
            </w:r>
          </w:p>
          <w:p>
            <w:pPr>
              <w:pStyle w:val="Listenabsatz"/>
              <w:numPr>
                <w:ilvl w:val="2"/>
                <w:numId w:val="5"/>
              </w:numPr>
              <w:ind w:left="1491" w:hanging="357"/>
              <w:rPr>
                <w:color w:val="000000" w:themeColor="text1"/>
                <w:sz w:val="22"/>
                <w:szCs w:val="22"/>
              </w:rPr>
            </w:pPr>
            <w:r>
              <w:rPr>
                <w:color w:val="000000" w:themeColor="text1"/>
                <w:sz w:val="22"/>
                <w:szCs w:val="22"/>
              </w:rPr>
              <w:t>leichte Beatmungsfälle anteilig zunehmend</w:t>
            </w:r>
          </w:p>
          <w:p>
            <w:pPr>
              <w:pStyle w:val="Listenabsatz"/>
              <w:numPr>
                <w:ilvl w:val="1"/>
                <w:numId w:val="5"/>
              </w:numPr>
              <w:ind w:left="924" w:hanging="357"/>
              <w:rPr>
                <w:color w:val="000000" w:themeColor="text1"/>
                <w:sz w:val="22"/>
                <w:szCs w:val="22"/>
              </w:rPr>
            </w:pPr>
            <w:r>
              <w:rPr>
                <w:color w:val="000000" w:themeColor="text1"/>
                <w:sz w:val="22"/>
                <w:szCs w:val="22"/>
              </w:rPr>
              <w:t>Anteil der COVID-19-Patient*innen an der Gesamtzahl betreibbarer ITS-Betten: überwiegend &lt; 3 %, auffälliger Anstieg in HH</w:t>
            </w:r>
          </w:p>
          <w:p>
            <w:pPr>
              <w:pStyle w:val="Listenabsatz"/>
              <w:numPr>
                <w:ilvl w:val="1"/>
                <w:numId w:val="5"/>
              </w:numPr>
              <w:ind w:left="924" w:hanging="357"/>
              <w:rPr>
                <w:color w:val="000000" w:themeColor="text1"/>
                <w:sz w:val="22"/>
                <w:szCs w:val="22"/>
              </w:rPr>
            </w:pPr>
            <w:r>
              <w:rPr>
                <w:color w:val="000000" w:themeColor="text1"/>
                <w:sz w:val="22"/>
                <w:szCs w:val="22"/>
              </w:rPr>
              <w:t>Altersstruktur: Verschiebung in jüngere AG, Zunahme der absoluten Zahlen in AG 30-39 J. und AG 18-29 J.; anteilig AG 60-69 J. (ca. 32 %) und AG 50-59 J. (ca. 22 %) am stärksten betroffen</w:t>
            </w:r>
          </w:p>
          <w:p>
            <w:pPr>
              <w:pStyle w:val="Listenabsatz"/>
              <w:numPr>
                <w:ilvl w:val="1"/>
                <w:numId w:val="5"/>
              </w:numPr>
              <w:spacing w:after="240"/>
              <w:ind w:left="924" w:hanging="357"/>
              <w:contextualSpacing w:val="0"/>
              <w:rPr>
                <w:color w:val="000000" w:themeColor="text1"/>
                <w:sz w:val="22"/>
                <w:szCs w:val="22"/>
              </w:rPr>
            </w:pPr>
            <w:r>
              <w:rPr>
                <w:color w:val="000000" w:themeColor="text1"/>
                <w:sz w:val="22"/>
                <w:szCs w:val="22"/>
              </w:rPr>
              <w:t>Prognosen intensivpflichtiger COVID-19 Fälle (</w:t>
            </w:r>
            <w:proofErr w:type="spellStart"/>
            <w:r>
              <w:rPr>
                <w:color w:val="000000" w:themeColor="text1"/>
                <w:sz w:val="22"/>
                <w:szCs w:val="22"/>
              </w:rPr>
              <w:t>SPoCK</w:t>
            </w:r>
            <w:proofErr w:type="spellEnd"/>
            <w:r>
              <w:rPr>
                <w:color w:val="000000" w:themeColor="text1"/>
                <w:sz w:val="22"/>
                <w:szCs w:val="22"/>
              </w:rPr>
              <w:t xml:space="preserve">): es wird eine (geringe) Zunahme des Belegungsniveaus </w:t>
            </w:r>
            <w:r>
              <w:rPr>
                <w:color w:val="000000" w:themeColor="text1"/>
                <w:sz w:val="22"/>
                <w:szCs w:val="22"/>
              </w:rPr>
              <w:lastRenderedPageBreak/>
              <w:t>prognostiziert, v. a. in Kleeblatt Nord und Kleeblatt Süd-West</w:t>
            </w:r>
          </w:p>
          <w:p>
            <w:pPr>
              <w:pStyle w:val="Liste1"/>
              <w:numPr>
                <w:ilvl w:val="0"/>
                <w:numId w:val="0"/>
              </w:numPr>
              <w:ind w:left="473"/>
              <w:rPr>
                <w:b/>
              </w:rPr>
            </w:pPr>
            <w:r>
              <w:rPr>
                <w:b/>
              </w:rPr>
              <w:t xml:space="preserve">Diskussion </w:t>
            </w:r>
          </w:p>
          <w:p>
            <w:pPr>
              <w:pStyle w:val="Liste2"/>
              <w:spacing w:after="240"/>
              <w:ind w:left="828" w:hanging="357"/>
              <w:contextualSpacing w:val="0"/>
              <w:rPr>
                <w:color w:val="000000" w:themeColor="text1"/>
                <w:lang w:val="de-DE"/>
              </w:rPr>
            </w:pPr>
            <w:r>
              <w:rPr>
                <w:color w:val="000000" w:themeColor="text1"/>
                <w:lang w:val="de-DE"/>
              </w:rPr>
              <w:t>Ist etwas darüber bekannt, ob leichter erkrankte Personen jetzt früher auf ITS behandelt werden? – Anstieg der ITS-Fälle bei jüngeren Personen häufig darauf zurückzuführen, dass sie die Normalstation „überspringen“ und sofort auf ITS behandelt werden.</w:t>
            </w:r>
          </w:p>
          <w:p>
            <w:pPr>
              <w:pStyle w:val="Liste1"/>
            </w:pPr>
            <w:proofErr w:type="spellStart"/>
            <w:r>
              <w:rPr>
                <w:b/>
              </w:rPr>
              <w:t>Syndromische</w:t>
            </w:r>
            <w:proofErr w:type="spellEnd"/>
            <w:r>
              <w:rPr>
                <w:b/>
              </w:rPr>
              <w:t xml:space="preserve"> Surveillance</w:t>
            </w:r>
            <w:r>
              <w:rPr>
                <w:rStyle w:val="TagMiZchn"/>
              </w:rPr>
              <w:t xml:space="preserve"> (nur mittwochs)</w:t>
            </w:r>
            <w:r>
              <w:rPr>
                <w:rStyle w:val="TagMiZchn"/>
                <w:b w:val="0"/>
                <w:bCs/>
                <w:i w:val="0"/>
                <w:color w:val="auto"/>
              </w:rPr>
              <w:br/>
              <w:t>(Folien</w:t>
            </w:r>
            <w:hyperlink r:id="rId14" w:history="1">
              <w:r>
                <w:rPr>
                  <w:rStyle w:val="Hyperlink"/>
                  <w:u w:val="none"/>
                </w:rPr>
                <w:t xml:space="preserve"> </w:t>
              </w:r>
              <w:r>
                <w:rPr>
                  <w:rStyle w:val="Hyperlink"/>
                </w:rPr>
                <w:t>hier</w:t>
              </w:r>
            </w:hyperlink>
            <w:r>
              <w:rPr>
                <w:rStyle w:val="Hyperlink"/>
                <w:bCs/>
                <w:color w:val="000000" w:themeColor="text1"/>
                <w:u w:val="none"/>
              </w:rPr>
              <w:t>)</w:t>
            </w:r>
            <w:r>
              <w:rPr>
                <w:i/>
                <w:color w:val="D99594" w:themeColor="accent2" w:themeTint="99"/>
                <w:sz w:val="20"/>
                <w:szCs w:val="20"/>
              </w:rPr>
              <w:t xml:space="preserve"> </w:t>
            </w:r>
          </w:p>
          <w:p>
            <w:pPr>
              <w:pStyle w:val="Liste2"/>
              <w:rPr>
                <w:color w:val="000000" w:themeColor="text1"/>
                <w:lang w:val="de-DE"/>
              </w:rPr>
            </w:pPr>
            <w:proofErr w:type="spellStart"/>
            <w:r>
              <w:rPr>
                <w:color w:val="000000" w:themeColor="text1"/>
                <w:lang w:val="de-DE"/>
              </w:rPr>
              <w:t>GrippeWeb</w:t>
            </w:r>
            <w:proofErr w:type="spellEnd"/>
            <w:r>
              <w:rPr>
                <w:color w:val="000000" w:themeColor="text1"/>
                <w:lang w:val="de-DE"/>
              </w:rPr>
              <w:t>:</w:t>
            </w:r>
          </w:p>
          <w:p>
            <w:pPr>
              <w:pStyle w:val="Liste3"/>
              <w:numPr>
                <w:ilvl w:val="0"/>
                <w:numId w:val="0"/>
              </w:numPr>
              <w:ind w:left="833"/>
              <w:rPr>
                <w:color w:val="000000" w:themeColor="text1"/>
              </w:rPr>
            </w:pPr>
            <w:r>
              <w:rPr>
                <w:color w:val="000000" w:themeColor="text1"/>
              </w:rPr>
              <w:t>ARE-Rate in KW29 stabil i. Vgl. zur Vorwoche (Vorwoche: ca. 3.500/100.000; aktuelle Woche: ca. 3.200/100.000), Anstieg der vergangenen Wochen hat sich nicht weiter fortgesetzt</w:t>
            </w:r>
          </w:p>
          <w:p>
            <w:pPr>
              <w:pStyle w:val="Liste2"/>
              <w:rPr>
                <w:color w:val="000000" w:themeColor="text1"/>
                <w:lang w:val="de-DE"/>
              </w:rPr>
            </w:pPr>
            <w:r>
              <w:rPr>
                <w:color w:val="000000" w:themeColor="text1"/>
                <w:lang w:val="de-DE"/>
              </w:rPr>
              <w:t>ARE-Konsultationen:</w:t>
            </w:r>
          </w:p>
          <w:p>
            <w:pPr>
              <w:pStyle w:val="Liste3"/>
              <w:numPr>
                <w:ilvl w:val="0"/>
                <w:numId w:val="0"/>
              </w:numPr>
              <w:ind w:left="833"/>
              <w:rPr>
                <w:color w:val="000000" w:themeColor="text1"/>
              </w:rPr>
            </w:pPr>
            <w:r>
              <w:rPr>
                <w:color w:val="000000" w:themeColor="text1"/>
              </w:rPr>
              <w:t xml:space="preserve">Anstieg hat sich nicht fortgesetzt, in KW29 ca. 780 Konsultationen/100.000; in AG 5-14 J. im Vergleich zum Vorjahreszeitraum (ca. KW25/26) deutlich mehr Konsultationen (2020: ca. 1.000/100.000; 2021: ca. 1.500/100.000) </w:t>
            </w:r>
          </w:p>
          <w:p>
            <w:pPr>
              <w:pStyle w:val="Liste2"/>
              <w:rPr>
                <w:color w:val="000000" w:themeColor="text1"/>
                <w:lang w:val="de-DE"/>
              </w:rPr>
            </w:pPr>
            <w:r>
              <w:rPr>
                <w:color w:val="000000" w:themeColor="text1"/>
                <w:lang w:val="de-DE"/>
              </w:rPr>
              <w:t>ICOSARI-KH-Surveillance:</w:t>
            </w:r>
          </w:p>
          <w:p>
            <w:pPr>
              <w:pStyle w:val="Liste3"/>
              <w:numPr>
                <w:ilvl w:val="0"/>
                <w:numId w:val="0"/>
              </w:numPr>
              <w:ind w:left="833"/>
              <w:rPr>
                <w:color w:val="000000" w:themeColor="text1"/>
              </w:rPr>
            </w:pPr>
            <w:r>
              <w:rPr>
                <w:color w:val="000000" w:themeColor="text1"/>
              </w:rPr>
              <w:t>SARI-Zahlen mit Ausnahme der AG 0-4 J. auf niedrigem Niveau; verantwortliche(r) Erreger in AG 0-4 J. unklar</w:t>
            </w:r>
          </w:p>
          <w:p>
            <w:pPr>
              <w:pStyle w:val="Liste2"/>
              <w:rPr>
                <w:color w:val="000000" w:themeColor="text1"/>
                <w:lang w:val="de-DE"/>
              </w:rPr>
            </w:pPr>
            <w:r>
              <w:rPr>
                <w:color w:val="000000" w:themeColor="text1"/>
                <w:lang w:val="de-DE"/>
              </w:rPr>
              <w:t>SARI-Fälle mit/ohne COVID-19 bis KW 29:</w:t>
            </w:r>
          </w:p>
          <w:p>
            <w:pPr>
              <w:pStyle w:val="Liste3"/>
              <w:numPr>
                <w:ilvl w:val="0"/>
                <w:numId w:val="0"/>
              </w:numPr>
              <w:ind w:left="1193" w:hanging="360"/>
              <w:rPr>
                <w:color w:val="000000" w:themeColor="text1"/>
              </w:rPr>
            </w:pPr>
            <w:r>
              <w:rPr>
                <w:color w:val="000000" w:themeColor="text1"/>
              </w:rPr>
              <w:t xml:space="preserve">Anteil COVID-19 an SARI in stat. Behandlung steigt an (8 %); </w:t>
            </w:r>
          </w:p>
          <w:p>
            <w:pPr>
              <w:pStyle w:val="Liste3"/>
              <w:numPr>
                <w:ilvl w:val="0"/>
                <w:numId w:val="0"/>
              </w:numPr>
              <w:ind w:left="1193" w:hanging="360"/>
              <w:rPr>
                <w:color w:val="000000" w:themeColor="text1"/>
              </w:rPr>
            </w:pPr>
            <w:r>
              <w:rPr>
                <w:color w:val="000000" w:themeColor="text1"/>
              </w:rPr>
              <w:t>Anteil COVID</w:t>
            </w:r>
            <w:r>
              <w:rPr>
                <w:color w:val="000000" w:themeColor="text1"/>
              </w:rPr>
              <w:noBreakHyphen/>
              <w:t>19 an SARI-ITS-Fällen in KW 29 bei 20 %</w:t>
            </w:r>
          </w:p>
          <w:p>
            <w:pPr>
              <w:pStyle w:val="Liste2"/>
              <w:rPr>
                <w:color w:val="000000" w:themeColor="text1"/>
                <w:lang w:val="de-DE"/>
              </w:rPr>
            </w:pPr>
            <w:r>
              <w:rPr>
                <w:color w:val="000000" w:themeColor="text1"/>
                <w:lang w:val="de-DE"/>
              </w:rPr>
              <w:t>Ausbrüche in Kitas:</w:t>
            </w:r>
          </w:p>
          <w:p>
            <w:pPr>
              <w:pStyle w:val="Liste2"/>
              <w:numPr>
                <w:ilvl w:val="0"/>
                <w:numId w:val="0"/>
              </w:numPr>
              <w:ind w:left="833"/>
              <w:rPr>
                <w:color w:val="000000" w:themeColor="text1"/>
                <w:lang w:val="de-DE"/>
              </w:rPr>
            </w:pPr>
            <w:r>
              <w:rPr>
                <w:color w:val="000000" w:themeColor="text1"/>
                <w:lang w:val="de-DE"/>
              </w:rPr>
              <w:t>seit Mitte Juni &lt; 15 Ausbrüche/Woche</w:t>
            </w:r>
          </w:p>
          <w:p>
            <w:pPr>
              <w:pStyle w:val="Liste2"/>
              <w:rPr>
                <w:color w:val="000000" w:themeColor="text1"/>
                <w:lang w:val="de-DE"/>
              </w:rPr>
            </w:pPr>
            <w:r>
              <w:rPr>
                <w:color w:val="000000" w:themeColor="text1"/>
                <w:lang w:val="de-DE"/>
              </w:rPr>
              <w:t>Ausbrüche in Schulen:</w:t>
            </w:r>
          </w:p>
          <w:p>
            <w:pPr>
              <w:pStyle w:val="Liste2"/>
              <w:numPr>
                <w:ilvl w:val="0"/>
                <w:numId w:val="0"/>
              </w:numPr>
              <w:spacing w:after="240"/>
              <w:ind w:left="833"/>
              <w:rPr>
                <w:color w:val="000000" w:themeColor="text1"/>
                <w:lang w:val="de-DE"/>
              </w:rPr>
            </w:pPr>
            <w:r>
              <w:rPr>
                <w:color w:val="000000" w:themeColor="text1"/>
                <w:lang w:val="de-DE"/>
              </w:rPr>
              <w:t>viele nachträgliche Übermittlungen; aktuell wenige Ausbrüche; zunehmend betroffene Altersgruppe: 11-14 J.</w:t>
            </w:r>
          </w:p>
          <w:p>
            <w:pPr>
              <w:pStyle w:val="Liste1"/>
              <w:numPr>
                <w:ilvl w:val="0"/>
                <w:numId w:val="0"/>
              </w:numPr>
              <w:ind w:left="473"/>
              <w:rPr>
                <w:b/>
              </w:rPr>
            </w:pPr>
            <w:r>
              <w:rPr>
                <w:b/>
              </w:rPr>
              <w:t xml:space="preserve">Diskussion </w:t>
            </w:r>
          </w:p>
          <w:p>
            <w:pPr>
              <w:pStyle w:val="Liste2"/>
              <w:spacing w:after="240"/>
              <w:ind w:left="828" w:hanging="357"/>
              <w:contextualSpacing w:val="0"/>
              <w:rPr>
                <w:color w:val="000000" w:themeColor="text1"/>
                <w:lang w:val="de-DE"/>
              </w:rPr>
            </w:pPr>
            <w:r>
              <w:rPr>
                <w:color w:val="000000" w:themeColor="text1"/>
                <w:lang w:val="de-DE"/>
              </w:rPr>
              <w:t>regionale Verteilung der SARI-Fälle bekannt? kann über PLZ des Wohnortes ermittelt werden, bei der Interpretation zu beachten: insgesamt sehr kleine absolute Zahlen</w:t>
            </w:r>
          </w:p>
          <w:p>
            <w:pPr>
              <w:pStyle w:val="Liste1"/>
              <w:rPr>
                <w:rStyle w:val="TagMiZchn"/>
                <w:b w:val="0"/>
                <w:color w:val="auto"/>
              </w:rPr>
            </w:pPr>
            <w:r>
              <w:rPr>
                <w:b/>
              </w:rPr>
              <w:t xml:space="preserve">Virologische Surveillance, NRZ Influenza-Daten </w:t>
            </w:r>
            <w:r>
              <w:rPr>
                <w:rStyle w:val="TagMiZchn"/>
              </w:rPr>
              <w:t>(nur mittwochs)</w:t>
            </w:r>
            <w:r>
              <w:rPr>
                <w:rStyle w:val="TagMiZchn"/>
                <w:b w:val="0"/>
                <w:bCs/>
                <w:i w:val="0"/>
                <w:color w:val="auto"/>
              </w:rPr>
              <w:t xml:space="preserve"> (Folien</w:t>
            </w:r>
            <w:r>
              <w:t xml:space="preserve"> </w:t>
            </w:r>
            <w:hyperlink r:id="rId15" w:history="1">
              <w:r>
                <w:rPr>
                  <w:rStyle w:val="Hyperlink"/>
                </w:rPr>
                <w:t>hier</w:t>
              </w:r>
            </w:hyperlink>
            <w:r>
              <w:t>)</w:t>
            </w:r>
          </w:p>
          <w:p>
            <w:pPr>
              <w:pStyle w:val="Liste2"/>
              <w:rPr>
                <w:i/>
                <w:color w:val="000000" w:themeColor="text1"/>
                <w:lang w:val="de-DE"/>
              </w:rPr>
            </w:pPr>
            <w:r>
              <w:rPr>
                <w:color w:val="000000" w:themeColor="text1"/>
                <w:lang w:val="de-DE"/>
              </w:rPr>
              <w:t>Ferienzeit macht sich bemerkbar: 97 Einsendungen in KW 29 (33 weniger als in der Vorwoche, Rückgang einsendender Arztpraxen um -19)</w:t>
            </w:r>
          </w:p>
          <w:p>
            <w:pPr>
              <w:pStyle w:val="Liste2"/>
              <w:rPr>
                <w:color w:val="000000" w:themeColor="text1"/>
                <w:lang w:val="de-DE"/>
              </w:rPr>
            </w:pPr>
            <w:r>
              <w:rPr>
                <w:color w:val="000000" w:themeColor="text1"/>
                <w:lang w:val="de-DE"/>
              </w:rPr>
              <w:t>77 % positive Virusnachweise (-3 %), kein SARS-CoV-2, keine Influenzaviren; mehrere Mehrfachinfektionen nachgewiesen, verteilt über unterschiedliche Altersgruppen</w:t>
            </w:r>
          </w:p>
          <w:p>
            <w:pPr>
              <w:pStyle w:val="Liste2"/>
              <w:rPr>
                <w:color w:val="000000" w:themeColor="text1"/>
                <w:lang w:val="de-DE"/>
              </w:rPr>
            </w:pPr>
            <w:r>
              <w:rPr>
                <w:color w:val="000000" w:themeColor="text1"/>
                <w:lang w:val="de-DE"/>
              </w:rPr>
              <w:t>PIV in KW29: PIV macht erstmals höchsten Anteil der Nachweise aus (knapp 50 %); ausschließlich PIV</w:t>
            </w:r>
            <w:r>
              <w:rPr>
                <w:color w:val="000000" w:themeColor="text1"/>
                <w:lang w:val="de-DE"/>
              </w:rPr>
              <w:noBreakHyphen/>
              <w:t>3</w:t>
            </w:r>
          </w:p>
          <w:p>
            <w:pPr>
              <w:pStyle w:val="Liste2"/>
              <w:rPr>
                <w:color w:val="000000" w:themeColor="text1"/>
                <w:lang w:val="de-DE"/>
              </w:rPr>
            </w:pPr>
            <w:r>
              <w:rPr>
                <w:color w:val="000000" w:themeColor="text1"/>
                <w:lang w:val="de-DE"/>
              </w:rPr>
              <w:t>fehlende Basisimmunität</w:t>
            </w:r>
          </w:p>
          <w:p>
            <w:pPr>
              <w:pStyle w:val="Liste2"/>
              <w:rPr>
                <w:color w:val="000000" w:themeColor="text1"/>
                <w:lang w:val="de-DE"/>
              </w:rPr>
            </w:pPr>
            <w:r>
              <w:rPr>
                <w:color w:val="000000" w:themeColor="text1"/>
                <w:lang w:val="de-DE"/>
              </w:rPr>
              <w:t>Altersverteilung KW29: in AG 16-34 J. bei &gt; 60 % der Einsendungen HRV nachgewiesen, bei &lt; 10 % PIV</w:t>
            </w:r>
          </w:p>
          <w:p>
            <w:pPr>
              <w:pStyle w:val="Liste2"/>
              <w:rPr>
                <w:color w:val="000000" w:themeColor="text1"/>
                <w:lang w:val="de-DE"/>
              </w:rPr>
            </w:pPr>
            <w:r>
              <w:rPr>
                <w:color w:val="000000" w:themeColor="text1"/>
                <w:lang w:val="de-DE"/>
              </w:rPr>
              <w:lastRenderedPageBreak/>
              <w:t>saisonale Coronaviren: „größter Zug ist durch“, OC43 und NL63 jeweils &lt;</w:t>
            </w:r>
            <w:r>
              <w:rPr>
                <w:lang w:val="de-DE"/>
              </w:rPr>
              <w:t>5 %</w:t>
            </w:r>
          </w:p>
          <w:p>
            <w:pPr>
              <w:pStyle w:val="Liste3"/>
              <w:numPr>
                <w:ilvl w:val="0"/>
                <w:numId w:val="0"/>
              </w:numPr>
              <w:rPr>
                <w:i/>
                <w:color w:val="A6A6A6" w:themeColor="background1" w:themeShade="A6"/>
                <w:highlight w:val="cyan"/>
              </w:rPr>
            </w:pPr>
          </w:p>
          <w:p>
            <w:pPr>
              <w:pStyle w:val="Liste1"/>
              <w:rPr>
                <w:b/>
              </w:rPr>
            </w:pPr>
            <w:r>
              <w:rPr>
                <w:b/>
              </w:rPr>
              <w:t>Diskussion</w:t>
            </w:r>
          </w:p>
          <w:p>
            <w:pPr>
              <w:pStyle w:val="Liste2"/>
              <w:rPr>
                <w:color w:val="000000" w:themeColor="text1"/>
                <w:lang w:val="de-DE"/>
              </w:rPr>
            </w:pPr>
            <w:r>
              <w:rPr>
                <w:color w:val="000000" w:themeColor="text1"/>
                <w:lang w:val="de-DE"/>
              </w:rPr>
              <w:t xml:space="preserve">Von einigen Beteiligten wird das Bedürfnis geäußert, die am RKI vorhandenen Daten und das Lagebild transparenter und zielgerichteter an politische Entscheidungsträger und andere Externe (u. a. Journalisten, Landesbehörden) zu kommunizieren, beispielsweise in Form einer Webinar-Reihe. </w:t>
            </w:r>
          </w:p>
          <w:p>
            <w:pPr>
              <w:pStyle w:val="Liste2"/>
              <w:numPr>
                <w:ilvl w:val="0"/>
                <w:numId w:val="0"/>
              </w:numPr>
              <w:ind w:left="833"/>
              <w:rPr>
                <w:color w:val="000000" w:themeColor="text1"/>
                <w:lang w:val="de-DE"/>
              </w:rPr>
            </w:pPr>
            <w:r>
              <w:rPr>
                <w:color w:val="000000" w:themeColor="text1"/>
                <w:lang w:val="de-DE"/>
              </w:rPr>
              <w:t>Hintergrund: Beklagt wird u. a. die häufige Fokussierung in politischen Diskussionen und medialer Berichterstattung auf nur einen Indikator zur Bewertung der Lage.</w:t>
            </w:r>
          </w:p>
          <w:p>
            <w:pPr>
              <w:pStyle w:val="Liste2"/>
              <w:numPr>
                <w:ilvl w:val="0"/>
                <w:numId w:val="0"/>
              </w:numPr>
              <w:ind w:left="833"/>
              <w:rPr>
                <w:color w:val="000000" w:themeColor="text1"/>
                <w:lang w:val="de-DE"/>
              </w:rPr>
            </w:pPr>
            <w:r>
              <w:rPr>
                <w:color w:val="000000" w:themeColor="text1"/>
                <w:lang w:val="de-DE"/>
              </w:rPr>
              <w:t>Einwände: Die für eine Webinar-Reihe erforderlichen Kapazitäten sind nicht vorhanden (Organisation, Einladung, Moderation usw.). Erfahrungsgemäß werden solche Angebote/Hilfestellungen ausgenutzt und ziehen negative Folgen nach sich („Wenn der kleine Finger gereicht wird, wird der Arm ausgekugelt.“). Das RKI erklärt und ordnet ein, muss sich aber auch damit abfinden, dass nicht alle erreicht/überzeugt werden können.</w:t>
            </w:r>
          </w:p>
          <w:p>
            <w:pPr>
              <w:pStyle w:val="Liste2"/>
              <w:spacing w:after="240"/>
              <w:ind w:left="828" w:hanging="357"/>
              <w:contextualSpacing w:val="0"/>
              <w:rPr>
                <w:color w:val="A6A6A6" w:themeColor="background1" w:themeShade="A6"/>
                <w:lang w:val="de-DE"/>
              </w:rPr>
            </w:pPr>
            <w:r>
              <w:rPr>
                <w:color w:val="000000" w:themeColor="text1"/>
                <w:lang w:val="de-DE"/>
              </w:rPr>
              <w:t>Der Vorschlag ausgewählte Journalisten in die Krisenstabssitzung einzuladen wird mit Hinweis auf den Schutz der Mitarbeiter und auf die journalistischen Interessen (häufig nicht: sachliche Information) abgelehnt.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AL3 (Hamouda)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 </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FG37 (Abu Sin)</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MF4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besprochen)</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spacing w:after="240"/>
              <w:ind w:left="470" w:hanging="357"/>
              <w:contextualSpacing w:val="0"/>
            </w:pPr>
            <w:r>
              <w:t>Der leichte Fallzahlanstieg wird in der aktuellen Version (Stand: 16.07.2021) noch nicht reflektiert („</w:t>
            </w:r>
            <w:r>
              <w:rPr>
                <w:i/>
              </w:rPr>
              <w:t xml:space="preserve">Nach einem Anstieg der Fälle im 1. Quartal 2021 und deutlich rückläufigen 7-Tage-Inzidenzen und Fallzahlen im Bundesgebiet seit Ende April in allen Altersgruppen </w:t>
            </w:r>
            <w:r>
              <w:rPr>
                <w:i/>
                <w:u w:val="single"/>
              </w:rPr>
              <w:t>stagniert</w:t>
            </w:r>
            <w:r>
              <w:rPr>
                <w:i/>
              </w:rPr>
              <w:t xml:space="preserve"> die Fallzahl.“</w:t>
            </w:r>
            <w:r>
              <w:t xml:space="preserve">). </w:t>
            </w:r>
          </w:p>
          <w:p>
            <w:pPr>
              <w:pStyle w:val="Liste1"/>
              <w:numPr>
                <w:ilvl w:val="0"/>
                <w:numId w:val="0"/>
              </w:numPr>
              <w:spacing w:after="240"/>
              <w:ind w:left="470"/>
              <w:contextualSpacing w:val="0"/>
            </w:pPr>
            <w:r>
              <w:t>Dokument mit angepasster Formulierung (</w:t>
            </w:r>
            <w:r>
              <w:rPr>
                <w:i/>
              </w:rPr>
              <w:t>„…</w:t>
            </w:r>
            <w:r>
              <w:rPr>
                <w:i/>
                <w:u w:val="single"/>
              </w:rPr>
              <w:t>steigen</w:t>
            </w:r>
            <w:r>
              <w:rPr>
                <w:i/>
              </w:rPr>
              <w:t xml:space="preserve"> die Fallzahlen langsam wieder.“</w:t>
            </w:r>
            <w:r>
              <w:t xml:space="preserve">) liegt </w:t>
            </w:r>
            <w:hyperlink r:id="rId16" w:history="1">
              <w:r>
                <w:rPr>
                  <w:rStyle w:val="Hyperlink"/>
                </w:rPr>
                <w:t>hier</w:t>
              </w:r>
            </w:hyperlink>
            <w:r>
              <w:t>.</w:t>
            </w:r>
          </w:p>
        </w:tc>
        <w:tc>
          <w:tcPr>
            <w:tcW w:w="1463" w:type="dxa"/>
          </w:tcPr>
          <w:p>
            <w:pPr>
              <w:rPr>
                <w:sz w:val="22"/>
                <w:szCs w:val="22"/>
              </w:rPr>
            </w:pPr>
          </w:p>
          <w:p>
            <w:pPr>
              <w:rPr>
                <w:sz w:val="22"/>
                <w:szCs w:val="22"/>
              </w:rPr>
            </w:pPr>
            <w:r>
              <w:rPr>
                <w:sz w:val="22"/>
                <w:szCs w:val="22"/>
              </w:rPr>
              <w:t>FG38 (Rexroth)</w:t>
            </w:r>
            <w:r>
              <w:rPr>
                <w:sz w:val="22"/>
                <w:szCs w:val="22"/>
              </w:rPr>
              <w:br/>
            </w: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spacing w:after="240"/>
              <w:ind w:left="470" w:hanging="357"/>
              <w:contextualSpacing w:val="0"/>
              <w:rPr>
                <w:color w:val="A6A6A6" w:themeColor="background1" w:themeShade="A6"/>
              </w:rPr>
            </w:pPr>
            <w:r>
              <w:rPr>
                <w:color w:val="000000" w:themeColor="text1"/>
              </w:rPr>
              <w:t xml:space="preserve">Merkblatt zur Corona-Schutzimpfung ist in verschiedenen Sprachen erschienen: </w:t>
            </w:r>
            <w:hyperlink r:id="rId17" w:history="1">
              <w:r>
                <w:rPr>
                  <w:rStyle w:val="Hyperlink"/>
                </w:rPr>
                <w:t>https://www.infektionsschutz.de/coronavirus/materialienmedien/informationen-in-anderen-sprachen.html</w:t>
              </w:r>
            </w:hyperlink>
            <w:r>
              <w:rPr>
                <w:color w:val="000000" w:themeColor="text1"/>
              </w:rPr>
              <w:t xml:space="preserve"> &gt;&gt; Merkblätter &gt;&gt; </w:t>
            </w:r>
            <w:r>
              <w:rPr>
                <w:color w:val="000000" w:themeColor="text1"/>
              </w:rPr>
              <w:lastRenderedPageBreak/>
              <w:t>Die Corona-Schutzimpfung – sicher und wirksam! (barrierefreies PDF)</w:t>
            </w:r>
          </w:p>
          <w:p>
            <w:pPr>
              <w:pStyle w:val="2"/>
              <w:rPr>
                <w:color w:val="000000" w:themeColor="text1"/>
              </w:rPr>
            </w:pPr>
            <w:r>
              <w:rPr>
                <w:color w:val="000000" w:themeColor="text1"/>
              </w:rPr>
              <w:t>Presse, P1</w:t>
            </w:r>
          </w:p>
          <w:p>
            <w:pPr>
              <w:pStyle w:val="Liste1"/>
              <w:rPr>
                <w:color w:val="000000" w:themeColor="text1"/>
              </w:rPr>
            </w:pPr>
            <w:r>
              <w:rPr>
                <w:color w:val="000000" w:themeColor="text1"/>
              </w:rPr>
              <w:t>Anfragen zu Risikogebieten: RKI verweist auf AA, AA verweist auf RKI, das stiftet Verwirrung – kann das RKI offensiver kommunizieren, dass es nicht über die Ausweisung von Risikogebieten entscheidet?</w:t>
            </w:r>
          </w:p>
          <w:p>
            <w:pPr>
              <w:pStyle w:val="Liste1"/>
              <w:spacing w:after="240"/>
              <w:ind w:left="470" w:hanging="357"/>
              <w:contextualSpacing w:val="0"/>
              <w:rPr>
                <w:color w:val="000000" w:themeColor="text1"/>
              </w:rPr>
            </w:pPr>
            <w:r>
              <w:rPr>
                <w:color w:val="000000" w:themeColor="text1"/>
              </w:rPr>
              <w:t>demnächst Tweet mit Visualisierung von Impfquoten nach Altersgruppen</w:t>
            </w:r>
          </w:p>
          <w:p>
            <w:pPr>
              <w:pStyle w:val="2"/>
              <w:rPr>
                <w:color w:val="000000" w:themeColor="text1"/>
              </w:rPr>
            </w:pPr>
            <w:r>
              <w:rPr>
                <w:color w:val="000000" w:themeColor="text1"/>
              </w:rPr>
              <w:t>Coronavirus-Einreiseverordnung vom 21.07.21</w:t>
            </w:r>
          </w:p>
          <w:p>
            <w:pPr>
              <w:pStyle w:val="Liste1"/>
              <w:spacing w:after="120"/>
              <w:ind w:left="470" w:hanging="357"/>
              <w:contextualSpacing w:val="0"/>
            </w:pPr>
            <w:r>
              <w:t xml:space="preserve">viele Anfragen zu Änderungen in § 4 (Änderungsverordnung </w:t>
            </w:r>
            <w:hyperlink r:id="rId18" w:history="1">
              <w:r>
                <w:rPr>
                  <w:rStyle w:val="Hyperlink"/>
                </w:rPr>
                <w:t>hier</w:t>
              </w:r>
            </w:hyperlink>
            <w:r>
              <w:t>), danach erfolgt durch das RKI eine Feststellung und Bekanntmachung der „hinreichenden Wirksamkeit“ von Impfstoffen gegen Virusvarianten; diese Feststellung ist maßgeblich für die Einreisebestimmungen für vollständig geimpfte Einreisende aus Virusvariantengebieten</w:t>
            </w:r>
          </w:p>
          <w:p>
            <w:pPr>
              <w:pStyle w:val="Liste1"/>
              <w:rPr>
                <w:b/>
              </w:rPr>
            </w:pPr>
            <w:r>
              <w:rPr>
                <w:b/>
              </w:rPr>
              <w:t>Diskussion</w:t>
            </w:r>
          </w:p>
          <w:p>
            <w:pPr>
              <w:pStyle w:val="Liste2"/>
              <w:rPr>
                <w:lang w:val="de-DE"/>
              </w:rPr>
            </w:pPr>
            <w:r>
              <w:rPr>
                <w:color w:val="000000" w:themeColor="text1"/>
                <w:lang w:val="de-DE"/>
              </w:rPr>
              <w:t xml:space="preserve">Verantwortlichkeit: Feststellung der Wirksamkeit ist nicht Aufgabe des RKI; Verlagerung der Verantwortung auf das RKI ist nicht tragbar; Frage der Wirksamkeit berührt unmittelbar AM-Recht, </w:t>
            </w:r>
            <w:r>
              <w:rPr>
                <w:lang w:val="de-DE"/>
              </w:rPr>
              <w:t>pharmazeutischer Hersteller muss Wirksamkeit belegen, ist Voraussetzung für die Zulassung</w:t>
            </w:r>
            <w:r>
              <w:rPr>
                <w:color w:val="000000" w:themeColor="text1"/>
                <w:lang w:val="de-DE"/>
              </w:rPr>
              <w:t>; dies muss dem BMG unter Einbindung des Rechtsreferats vermittelt und die Verordnung geändert werden</w:t>
            </w:r>
          </w:p>
          <w:p>
            <w:pPr>
              <w:pStyle w:val="Liste2"/>
              <w:rPr>
                <w:lang w:val="de-DE"/>
              </w:rPr>
            </w:pPr>
            <w:r>
              <w:rPr>
                <w:lang w:val="de-DE"/>
              </w:rPr>
              <w:t>Fachliche Beurteilung: Feststellung der variantenspezifischen Wirksamkeit auf Basis von Studiendaten ist schwierig bis unmöglich (Schwellenwert „hinreichender“ Wirksamkeit? relevante Endpunkte?)</w:t>
            </w:r>
          </w:p>
          <w:p>
            <w:pPr>
              <w:pStyle w:val="Liste2"/>
              <w:rPr>
                <w:lang w:val="de-DE"/>
              </w:rPr>
            </w:pPr>
            <w:r>
              <w:rPr>
                <w:lang w:val="de-DE"/>
              </w:rPr>
              <w:t xml:space="preserve">Bekanntmachung auf der Internetseite unter </w:t>
            </w:r>
            <w:hyperlink r:id="rId19" w:history="1">
              <w:r>
                <w:rPr>
                  <w:rStyle w:val="Hyperlink"/>
                  <w:lang w:val="de-DE"/>
                </w:rPr>
                <w:t>www.rki.de/covid-19-risikogebiete</w:t>
              </w:r>
            </w:hyperlink>
            <w:r>
              <w:rPr>
                <w:rStyle w:val="Hyperlink"/>
                <w:color w:val="000000" w:themeColor="text1"/>
                <w:u w:val="none"/>
                <w:lang w:val="de-DE"/>
              </w:rPr>
              <w:t xml:space="preserve">, dass RKI keine Feststellung im Sinne der Verordnung getroffen hat; genaue Sprachregelung wird noch diskutiert </w:t>
            </w:r>
            <w:r>
              <w:rPr>
                <w:rStyle w:val="Hyperlink"/>
                <w:color w:val="000000" w:themeColor="text1"/>
                <w:highlight w:val="yellow"/>
                <w:u w:val="none"/>
                <w:lang w:val="de-DE"/>
              </w:rPr>
              <w:t>(?)</w:t>
            </w:r>
          </w:p>
          <w:p>
            <w:pPr>
              <w:pStyle w:val="Liste2"/>
              <w:numPr>
                <w:ilvl w:val="0"/>
                <w:numId w:val="0"/>
              </w:numPr>
              <w:ind w:left="473"/>
              <w:rPr>
                <w:lang w:val="de-DE"/>
              </w:rPr>
            </w:pPr>
          </w:p>
          <w:p>
            <w:pPr>
              <w:pStyle w:val="Liste2"/>
              <w:numPr>
                <w:ilvl w:val="0"/>
                <w:numId w:val="0"/>
              </w:numPr>
              <w:spacing w:after="240"/>
              <w:ind w:left="471"/>
              <w:contextualSpacing w:val="0"/>
              <w:rPr>
                <w:i/>
                <w:lang w:val="de-DE"/>
              </w:rPr>
            </w:pPr>
            <w:r>
              <w:rPr>
                <w:i/>
                <w:lang w:val="de-DE"/>
              </w:rPr>
              <w:t xml:space="preserve">TODO: Bericht an BMG (FF: FG33, Einbindung Rechtsreferat); Sprachregelung für Internetseite und Anfragen </w:t>
            </w:r>
            <w:r>
              <w:rPr>
                <w:i/>
                <w:highlight w:val="yellow"/>
                <w:lang w:val="de-DE"/>
              </w:rPr>
              <w:t>(FF: Presse?)</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BZgA (Peter)</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 (Wenchel)</w:t>
            </w:r>
          </w:p>
          <w:p>
            <w:pPr>
              <w:rPr>
                <w:sz w:val="22"/>
                <w:szCs w:val="22"/>
                <w:lang w:val="en-US"/>
              </w:rPr>
            </w:pPr>
          </w:p>
          <w:p>
            <w:pPr>
              <w:rPr>
                <w:sz w:val="22"/>
                <w:szCs w:val="22"/>
                <w:lang w:val="en-US"/>
              </w:rPr>
            </w:pPr>
            <w:r>
              <w:rPr>
                <w:sz w:val="22"/>
                <w:szCs w:val="22"/>
                <w:lang w:val="en-US"/>
              </w:rPr>
              <w:t>P1 (</w:t>
            </w:r>
            <w:proofErr w:type="spellStart"/>
            <w:r>
              <w:rPr>
                <w:sz w:val="22"/>
                <w:szCs w:val="22"/>
                <w:lang w:val="en-US"/>
              </w:rPr>
              <w:t>Gubernath</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FG38 (Rexroth)</w:t>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Diskussion zu Dokument der AGI UAG „Strategiewechsel“ (nicht alle Beteiligten sind mit dem Dokument vertraut): E-Mail von BMG/</w:t>
            </w:r>
            <w:proofErr w:type="spellStart"/>
            <w:r>
              <w:t>Korr</w:t>
            </w:r>
            <w:proofErr w:type="spellEnd"/>
            <w:r>
              <w:t xml:space="preserve"> mit Arbeitsauftrag an AGI, ein Dokument zum „Strategiewechsel“ (d. h. weg von der Inzidenz als alleinigem Indikator für Maßnahmen) abzustimmen; RKI-</w:t>
            </w:r>
            <w:proofErr w:type="spellStart"/>
            <w:r>
              <w:t>ControlCOVID</w:t>
            </w:r>
            <w:proofErr w:type="spellEnd"/>
            <w:r>
              <w:t>-Papier wird in der E-Mail als gute Grundlage genannt, deshalb wird kein direkter Arbeitsauftrag an das RKI gesehen, das Strategiewechsel-Dokument zu koordinieren oder abzustimmen; RKI beteiligt sich durch fachliche Beratung (Leitindikatoren: 7</w:t>
            </w:r>
            <w:r>
              <w:noBreakHyphen/>
              <w:t>Tage-Inzidenz/100.000, 7</w:t>
            </w:r>
            <w:r>
              <w:noBreakHyphen/>
              <w:t xml:space="preserve">Tage-Hospitalisierungsinzidenz, </w:t>
            </w:r>
            <w:r>
              <w:lastRenderedPageBreak/>
              <w:t xml:space="preserve">Anteil COVID-19-ITS-Fälle an Gesamtzahl der betreibbaren ITS-Bettenkapazität, s. </w:t>
            </w:r>
            <w:proofErr w:type="spellStart"/>
            <w:r>
              <w:t>ControlCOVID</w:t>
            </w:r>
            <w:proofErr w:type="spellEnd"/>
            <w:r>
              <w:t>-Papier);</w:t>
            </w:r>
          </w:p>
          <w:p>
            <w:pPr>
              <w:pStyle w:val="Liste1"/>
              <w:numPr>
                <w:ilvl w:val="0"/>
                <w:numId w:val="0"/>
              </w:numPr>
              <w:ind w:left="473"/>
            </w:pPr>
            <w:r>
              <w:t>aktueller Entwurf des Strategiewechsel-Dokuments liegt dem RKI nicht vor; Auftrag des BMG und Einwände des RKI werden schriftlich fixiert; ursprüngliches Papier wird dem Erlassbericht beigefügt; Berichtsfrist endet am 30.07.; Schlusszeichnung im Haus bis 29.07., 18:30 Uhr; heute (28.07.) 17:00 Uhr erneute Diskussionsrunde in AGI UAG</w:t>
            </w:r>
          </w:p>
          <w:p>
            <w:pPr>
              <w:pStyle w:val="2"/>
              <w:rPr>
                <w:i/>
              </w:rPr>
            </w:pPr>
            <w:r>
              <w:t>RKI-intern</w:t>
            </w:r>
          </w:p>
          <w:p>
            <w:pPr>
              <w:pStyle w:val="Liste1"/>
              <w:spacing w:after="240"/>
              <w:ind w:left="470" w:hanging="357"/>
            </w:pPr>
            <w:r>
              <w:t>(nicht besprochen)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AL3 (Hamouda)/alle</w:t>
            </w:r>
            <w:r>
              <w:rPr>
                <w:sz w:val="22"/>
                <w:szCs w:val="22"/>
              </w:rPr>
              <w:br/>
            </w:r>
          </w:p>
        </w:tc>
      </w:tr>
      <w:tr>
        <w:tc>
          <w:tcPr>
            <w:tcW w:w="684" w:type="dxa"/>
          </w:tcPr>
          <w:p>
            <w:pPr>
              <w:rPr>
                <w:b/>
              </w:rPr>
            </w:pPr>
            <w:r>
              <w:rPr>
                <w:b/>
              </w:rPr>
              <w:t>7</w:t>
            </w:r>
          </w:p>
        </w:tc>
        <w:tc>
          <w:tcPr>
            <w:tcW w:w="6824" w:type="dxa"/>
          </w:tcPr>
          <w:p>
            <w:pPr>
              <w:spacing w:line="276" w:lineRule="auto"/>
              <w:rPr>
                <w:b/>
                <w:sz w:val="28"/>
              </w:rPr>
            </w:pPr>
            <w:r>
              <w:rPr>
                <w:b/>
                <w:sz w:val="28"/>
              </w:rPr>
              <w:t xml:space="preserve">Dokumente </w:t>
            </w:r>
            <w:r>
              <w:rPr>
                <w:b/>
                <w:i/>
                <w:color w:val="8DB3E2" w:themeColor="text2" w:themeTint="66"/>
                <w:sz w:val="22"/>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Alle</w:t>
            </w:r>
          </w:p>
        </w:tc>
      </w:tr>
      <w:tr>
        <w:trPr>
          <w:trHeight w:val="774"/>
        </w:trP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szCs w:val="24"/>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824" w:type="dxa"/>
          </w:tcPr>
          <w:p>
            <w:pPr>
              <w:pStyle w:val="1"/>
            </w:pPr>
            <w:r>
              <w:t xml:space="preserve">Labordiagnostik </w:t>
            </w:r>
            <w:r>
              <w:rPr>
                <w:i/>
                <w:color w:val="8DB3E2" w:themeColor="text2" w:themeTint="66"/>
                <w:sz w:val="22"/>
              </w:rPr>
              <w:t>(nur freitags)</w:t>
            </w:r>
          </w:p>
          <w:p>
            <w:pPr>
              <w:pStyle w:val="Liste1"/>
              <w:spacing w:after="240"/>
              <w:ind w:left="470" w:hanging="357"/>
              <w:contextualSpacing w:val="0"/>
            </w:pPr>
            <w:r>
              <w:t xml:space="preserve">(nicht besprochen) </w:t>
            </w:r>
          </w:p>
        </w:tc>
        <w:tc>
          <w:tcPr>
            <w:tcW w:w="1463" w:type="dxa"/>
          </w:tcPr>
          <w:p>
            <w:pPr>
              <w:rPr>
                <w:sz w:val="22"/>
                <w:szCs w:val="22"/>
              </w:rPr>
            </w:pPr>
          </w:p>
          <w:p>
            <w:pPr>
              <w:rPr>
                <w:sz w:val="22"/>
                <w:szCs w:val="22"/>
              </w:rPr>
            </w:pPr>
          </w:p>
          <w:p>
            <w:pPr>
              <w:rPr>
                <w:sz w:val="22"/>
                <w:szCs w:val="22"/>
              </w:rPr>
            </w:pPr>
            <w:r>
              <w:rPr>
                <w:sz w:val="22"/>
                <w:szCs w:val="22"/>
              </w:rPr>
              <w:t>FG17/ZBS1</w:t>
            </w:r>
          </w:p>
        </w:tc>
      </w:tr>
      <w:tr>
        <w:tc>
          <w:tcPr>
            <w:tcW w:w="684" w:type="dxa"/>
          </w:tcPr>
          <w:p>
            <w:pPr>
              <w:rPr>
                <w:b/>
              </w:rPr>
            </w:pPr>
            <w:r>
              <w:rPr>
                <w:b/>
              </w:rPr>
              <w:t>10</w:t>
            </w:r>
          </w:p>
        </w:tc>
        <w:tc>
          <w:tcPr>
            <w:tcW w:w="6824" w:type="dxa"/>
          </w:tcPr>
          <w:p>
            <w:pPr>
              <w:pStyle w:val="1"/>
            </w:pPr>
            <w:r>
              <w:t>Klinisches Management/Entlassungsmanagement</w:t>
            </w:r>
          </w:p>
          <w:p>
            <w:pPr>
              <w:pStyle w:val="Liste1"/>
              <w:spacing w:after="240"/>
              <w:ind w:left="470" w:hanging="357"/>
              <w:contextualSpacing w:val="0"/>
            </w:pPr>
            <w:r>
              <w:t>(nicht besprochen)</w:t>
            </w:r>
          </w:p>
        </w:tc>
        <w:tc>
          <w:tcPr>
            <w:tcW w:w="1463" w:type="dxa"/>
          </w:tcPr>
          <w:p>
            <w:pPr>
              <w:rPr>
                <w:sz w:val="22"/>
                <w:szCs w:val="22"/>
              </w:rPr>
            </w:pPr>
          </w:p>
          <w:p>
            <w:pPr>
              <w:rPr>
                <w:color w:val="000000" w:themeColor="text1"/>
                <w:sz w:val="22"/>
                <w:szCs w:val="22"/>
              </w:rPr>
            </w:pPr>
            <w:bookmarkStart w:id="0" w:name="_GoBack"/>
            <w:bookmarkEnd w:id="0"/>
            <w:r>
              <w:rPr>
                <w:color w:val="000000" w:themeColor="text1"/>
                <w:sz w:val="22"/>
                <w:szCs w:val="22"/>
              </w:rPr>
              <w:t>ZBS7</w:t>
            </w:r>
          </w:p>
          <w:p>
            <w:pPr>
              <w:rPr>
                <w:sz w:val="22"/>
                <w:szCs w:val="22"/>
              </w:rPr>
            </w:pPr>
            <w:r>
              <w:rPr>
                <w:sz w:val="22"/>
                <w:szCs w:val="22"/>
              </w:rPr>
              <w:t xml:space="preserve"> </w:t>
            </w:r>
            <w:r>
              <w:rPr>
                <w:sz w:val="22"/>
                <w:szCs w:val="22"/>
              </w:rPr>
              <w:br/>
            </w:r>
          </w:p>
        </w:tc>
      </w:tr>
      <w:tr>
        <w:tc>
          <w:tcPr>
            <w:tcW w:w="684" w:type="dxa"/>
          </w:tcPr>
          <w:p>
            <w:pPr>
              <w:rPr>
                <w:b/>
              </w:rPr>
            </w:pPr>
            <w:r>
              <w:rPr>
                <w:b/>
              </w:rPr>
              <w:t>11</w:t>
            </w:r>
          </w:p>
        </w:tc>
        <w:tc>
          <w:tcPr>
            <w:tcW w:w="6824" w:type="dxa"/>
          </w:tcPr>
          <w:p>
            <w:pPr>
              <w:pStyle w:val="1"/>
            </w:pPr>
            <w:r>
              <w:t xml:space="preserve">Maßnahmen zum Infektionsschutz </w:t>
            </w:r>
            <w:r>
              <w:rPr>
                <w:i/>
                <w:color w:val="8DB3E2" w:themeColor="text2" w:themeTint="66"/>
                <w:sz w:val="22"/>
              </w:rPr>
              <w:t>(nur freitags)</w:t>
            </w:r>
          </w:p>
          <w:p>
            <w:pPr>
              <w:pStyle w:val="Liste1"/>
              <w:spacing w:after="240"/>
              <w:ind w:left="470" w:hanging="357"/>
              <w:contextualSpacing w:val="0"/>
              <w:rPr>
                <w:i/>
              </w:rPr>
            </w:pPr>
            <w:r>
              <w:t>(nicht besprochen)</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pPr>
            <w:r>
              <w:t xml:space="preserve">Surveillance </w:t>
            </w:r>
            <w:r>
              <w:rPr>
                <w:i/>
                <w:color w:val="8DB3E2" w:themeColor="text2" w:themeTint="66"/>
                <w:sz w:val="22"/>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spacing w:after="240"/>
              <w:ind w:left="470" w:hanging="357"/>
              <w:contextualSpacing w:val="0"/>
            </w:pPr>
            <w:r>
              <w:t>(nicht besprochen)</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spacing w:after="240"/>
              <w:ind w:left="470" w:hanging="357"/>
              <w:contextualSpacing w:val="0"/>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(keine)</w:t>
            </w:r>
          </w:p>
          <w:p>
            <w:pPr>
              <w:pStyle w:val="Liste1"/>
              <w:spacing w:after="240"/>
              <w:ind w:left="470" w:hanging="357"/>
              <w:contextualSpacing w:val="0"/>
            </w:pPr>
            <w:r>
              <w:t xml:space="preserve">Nächste Sitzung: Freitag, 30.07.2021, 11:00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spacing w:before="240"/>
        <w:rPr>
          <w:b/>
        </w:rPr>
      </w:pPr>
      <w:r>
        <w:rPr>
          <w:b/>
        </w:rPr>
        <w:t>Ende: 13:05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000000" w:themeColor="text1"/>
      </w:rPr>
    </w:pPr>
    <w:r>
      <w:rPr>
        <w:i/>
        <w:color w:val="000000" w:themeColor="text1"/>
      </w:rPr>
      <w:tab/>
    </w:r>
    <w:r>
      <w:rPr>
        <w:i/>
        <w:color w:val="000000" w:themeColor="tex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E161BE"/>
    <w:multiLevelType w:val="hybridMultilevel"/>
    <w:tmpl w:val="0F663240"/>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AD982D5A"/>
    <w:lvl w:ilvl="0" w:tplc="36F2727C">
      <w:start w:val="1"/>
      <w:numFmt w:val="bullet"/>
      <w:pStyle w:val="Liste1"/>
      <w:lvlText w:val=""/>
      <w:lvlJc w:val="left"/>
      <w:pPr>
        <w:ind w:left="473" w:hanging="360"/>
      </w:pPr>
      <w:rPr>
        <w:rFonts w:ascii="Symbol" w:hAnsi="Symbol" w:hint="default"/>
        <w:color w:val="000000" w:themeColor="text1"/>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F1393E"/>
    <w:multiLevelType w:val="hybridMultilevel"/>
    <w:tmpl w:val="8886E0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47A6FB58"/>
    <w:lvl w:ilvl="0" w:tplc="03067CEC">
      <w:start w:val="1"/>
      <w:numFmt w:val="bullet"/>
      <w:pStyle w:val="Liste2"/>
      <w:lvlText w:val="o"/>
      <w:lvlJc w:val="left"/>
      <w:pPr>
        <w:ind w:left="833" w:hanging="360"/>
      </w:pPr>
      <w:rPr>
        <w:rFonts w:ascii="Courier New" w:hAnsi="Courier New" w:cs="Courier New" w:hint="default"/>
        <w:color w:val="000000" w:themeColor="text1"/>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2C30A9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4502B9F"/>
    <w:multiLevelType w:val="hybridMultilevel"/>
    <w:tmpl w:val="546041C0"/>
    <w:lvl w:ilvl="0" w:tplc="CB24C17A">
      <w:start w:val="1"/>
      <w:numFmt w:val="bullet"/>
      <w:lvlText w:val="•"/>
      <w:lvlJc w:val="left"/>
      <w:pPr>
        <w:tabs>
          <w:tab w:val="num" w:pos="720"/>
        </w:tabs>
        <w:ind w:left="720" w:hanging="360"/>
      </w:pPr>
      <w:rPr>
        <w:rFonts w:ascii="Arial" w:hAnsi="Arial" w:hint="default"/>
      </w:rPr>
    </w:lvl>
    <w:lvl w:ilvl="1" w:tplc="FFB4288E" w:tentative="1">
      <w:start w:val="1"/>
      <w:numFmt w:val="bullet"/>
      <w:lvlText w:val="•"/>
      <w:lvlJc w:val="left"/>
      <w:pPr>
        <w:tabs>
          <w:tab w:val="num" w:pos="1440"/>
        </w:tabs>
        <w:ind w:left="1440" w:hanging="360"/>
      </w:pPr>
      <w:rPr>
        <w:rFonts w:ascii="Arial" w:hAnsi="Arial" w:hint="default"/>
      </w:rPr>
    </w:lvl>
    <w:lvl w:ilvl="2" w:tplc="4322BBD4" w:tentative="1">
      <w:start w:val="1"/>
      <w:numFmt w:val="bullet"/>
      <w:lvlText w:val="•"/>
      <w:lvlJc w:val="left"/>
      <w:pPr>
        <w:tabs>
          <w:tab w:val="num" w:pos="2160"/>
        </w:tabs>
        <w:ind w:left="2160" w:hanging="360"/>
      </w:pPr>
      <w:rPr>
        <w:rFonts w:ascii="Arial" w:hAnsi="Arial" w:hint="default"/>
      </w:rPr>
    </w:lvl>
    <w:lvl w:ilvl="3" w:tplc="692E700E" w:tentative="1">
      <w:start w:val="1"/>
      <w:numFmt w:val="bullet"/>
      <w:lvlText w:val="•"/>
      <w:lvlJc w:val="left"/>
      <w:pPr>
        <w:tabs>
          <w:tab w:val="num" w:pos="2880"/>
        </w:tabs>
        <w:ind w:left="2880" w:hanging="360"/>
      </w:pPr>
      <w:rPr>
        <w:rFonts w:ascii="Arial" w:hAnsi="Arial" w:hint="default"/>
      </w:rPr>
    </w:lvl>
    <w:lvl w:ilvl="4" w:tplc="5A76B6B0" w:tentative="1">
      <w:start w:val="1"/>
      <w:numFmt w:val="bullet"/>
      <w:lvlText w:val="•"/>
      <w:lvlJc w:val="left"/>
      <w:pPr>
        <w:tabs>
          <w:tab w:val="num" w:pos="3600"/>
        </w:tabs>
        <w:ind w:left="3600" w:hanging="360"/>
      </w:pPr>
      <w:rPr>
        <w:rFonts w:ascii="Arial" w:hAnsi="Arial" w:hint="default"/>
      </w:rPr>
    </w:lvl>
    <w:lvl w:ilvl="5" w:tplc="081EDAC8" w:tentative="1">
      <w:start w:val="1"/>
      <w:numFmt w:val="bullet"/>
      <w:lvlText w:val="•"/>
      <w:lvlJc w:val="left"/>
      <w:pPr>
        <w:tabs>
          <w:tab w:val="num" w:pos="4320"/>
        </w:tabs>
        <w:ind w:left="4320" w:hanging="360"/>
      </w:pPr>
      <w:rPr>
        <w:rFonts w:ascii="Arial" w:hAnsi="Arial" w:hint="default"/>
      </w:rPr>
    </w:lvl>
    <w:lvl w:ilvl="6" w:tplc="EBB65CF2" w:tentative="1">
      <w:start w:val="1"/>
      <w:numFmt w:val="bullet"/>
      <w:lvlText w:val="•"/>
      <w:lvlJc w:val="left"/>
      <w:pPr>
        <w:tabs>
          <w:tab w:val="num" w:pos="5040"/>
        </w:tabs>
        <w:ind w:left="5040" w:hanging="360"/>
      </w:pPr>
      <w:rPr>
        <w:rFonts w:ascii="Arial" w:hAnsi="Arial" w:hint="default"/>
      </w:rPr>
    </w:lvl>
    <w:lvl w:ilvl="7" w:tplc="1748764E" w:tentative="1">
      <w:start w:val="1"/>
      <w:numFmt w:val="bullet"/>
      <w:lvlText w:val="•"/>
      <w:lvlJc w:val="left"/>
      <w:pPr>
        <w:tabs>
          <w:tab w:val="num" w:pos="5760"/>
        </w:tabs>
        <w:ind w:left="5760" w:hanging="360"/>
      </w:pPr>
      <w:rPr>
        <w:rFonts w:ascii="Arial" w:hAnsi="Arial" w:hint="default"/>
      </w:rPr>
    </w:lvl>
    <w:lvl w:ilvl="8" w:tplc="2E249B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1F5227F"/>
    <w:multiLevelType w:val="hybridMultilevel"/>
    <w:tmpl w:val="52B45E8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11"/>
  </w:num>
  <w:num w:numId="6">
    <w:abstractNumId w:val="23"/>
  </w:num>
  <w:num w:numId="7">
    <w:abstractNumId w:val="30"/>
  </w:num>
  <w:num w:numId="8">
    <w:abstractNumId w:val="17"/>
  </w:num>
  <w:num w:numId="9">
    <w:abstractNumId w:val="6"/>
  </w:num>
  <w:num w:numId="10">
    <w:abstractNumId w:val="36"/>
  </w:num>
  <w:num w:numId="11">
    <w:abstractNumId w:val="28"/>
  </w:num>
  <w:num w:numId="12">
    <w:abstractNumId w:val="19"/>
  </w:num>
  <w:num w:numId="13">
    <w:abstractNumId w:val="16"/>
  </w:num>
  <w:num w:numId="14">
    <w:abstractNumId w:val="24"/>
  </w:num>
  <w:num w:numId="15">
    <w:abstractNumId w:val="21"/>
  </w:num>
  <w:num w:numId="16">
    <w:abstractNumId w:val="0"/>
  </w:num>
  <w:num w:numId="17">
    <w:abstractNumId w:val="15"/>
  </w:num>
  <w:num w:numId="18">
    <w:abstractNumId w:val="34"/>
  </w:num>
  <w:num w:numId="19">
    <w:abstractNumId w:val="13"/>
  </w:num>
  <w:num w:numId="20">
    <w:abstractNumId w:val="31"/>
  </w:num>
  <w:num w:numId="21">
    <w:abstractNumId w:val="9"/>
  </w:num>
  <w:num w:numId="22">
    <w:abstractNumId w:val="12"/>
  </w:num>
  <w:num w:numId="23">
    <w:abstractNumId w:val="2"/>
  </w:num>
  <w:num w:numId="24">
    <w:abstractNumId w:val="25"/>
  </w:num>
  <w:num w:numId="25">
    <w:abstractNumId w:val="18"/>
  </w:num>
  <w:num w:numId="26">
    <w:abstractNumId w:val="1"/>
  </w:num>
  <w:num w:numId="27">
    <w:abstractNumId w:val="27"/>
  </w:num>
  <w:num w:numId="28">
    <w:abstractNumId w:val="35"/>
  </w:num>
  <w:num w:numId="29">
    <w:abstractNumId w:val="17"/>
  </w:num>
  <w:num w:numId="30">
    <w:abstractNumId w:val="17"/>
  </w:num>
  <w:num w:numId="31">
    <w:abstractNumId w:val="32"/>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1"/>
  </w:num>
  <w:num w:numId="42">
    <w:abstractNumId w:val="8"/>
  </w:num>
  <w:num w:numId="43">
    <w:abstractNumId w:val="19"/>
  </w:num>
  <w:num w:numId="44">
    <w:abstractNumId w:val="5"/>
  </w:num>
  <w:num w:numId="45">
    <w:abstractNumId w:val="20"/>
  </w:num>
  <w:num w:numId="46">
    <w:abstractNumId w:val="29"/>
  </w:num>
  <w:num w:numId="47">
    <w:abstractNumId w:val="10"/>
  </w:num>
  <w:num w:numId="48">
    <w:abstractNumId w:val="33"/>
  </w:num>
  <w:num w:numId="49">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397674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2945729">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43383128">
      <w:bodyDiv w:val="1"/>
      <w:marLeft w:val="0"/>
      <w:marRight w:val="0"/>
      <w:marTop w:val="0"/>
      <w:marBottom w:val="0"/>
      <w:divBdr>
        <w:top w:val="none" w:sz="0" w:space="0" w:color="auto"/>
        <w:left w:val="none" w:sz="0" w:space="0" w:color="auto"/>
        <w:bottom w:val="none" w:sz="0" w:space="0" w:color="auto"/>
        <w:right w:val="none" w:sz="0" w:space="0" w:color="auto"/>
      </w:divBdr>
    </w:div>
    <w:div w:id="1682660021">
      <w:bodyDiv w:val="1"/>
      <w:marLeft w:val="0"/>
      <w:marRight w:val="0"/>
      <w:marTop w:val="0"/>
      <w:marBottom w:val="0"/>
      <w:divBdr>
        <w:top w:val="none" w:sz="0" w:space="0" w:color="auto"/>
        <w:left w:val="none" w:sz="0" w:space="0" w:color="auto"/>
        <w:bottom w:val="none" w:sz="0" w:space="0" w:color="auto"/>
        <w:right w:val="none" w:sz="0" w:space="0" w:color="auto"/>
      </w:divBdr>
      <w:divsChild>
        <w:div w:id="770900501">
          <w:marLeft w:val="446"/>
          <w:marRight w:val="0"/>
          <w:marTop w:val="12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00940329">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07-28_Lage_AG\2021-07-28_Intensivregister_SPoCK.pptx" TargetMode="External"/><Relationship Id="rId18" Type="http://schemas.openxmlformats.org/officeDocument/2006/relationships/hyperlink" Target="file:///S:\Wissdaten\RKI_nCoV-Lage\1.Lagemanagement\1.3.Besprechungen_TKs\1.Lage_AG\2021-07-28_Lage_AG\BAnz%20AT%2022.07.2021%20V1.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7-28_Lage_AG\210728_SARS-CoV-2%20in%20ARS_Krisenstabssitzung.pptx" TargetMode="External"/><Relationship Id="rId17" Type="http://schemas.openxmlformats.org/officeDocument/2006/relationships/hyperlink" Target="https://www.infektionsschutz.de/coronavirus/materialienmedien/informationen-in-anderen-sprachen.html"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7-28_Lage_AG\Risikobewertung-zu-COVID_2021-07-26-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7-28_Lage_AG\LageNational_2021-07-28.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7-28_Lage_AG\NRZ%20Influenzaviren%20Lage_2021-07-28.pptx" TargetMode="External"/><Relationship Id="rId10" Type="http://schemas.openxmlformats.org/officeDocument/2006/relationships/footer" Target="footer2.xml"/><Relationship Id="rId19" Type="http://schemas.openxmlformats.org/officeDocument/2006/relationships/hyperlink" Target="http://www.rki.de/covid-19-risikogebie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7-28_Lage_AG\syndrom-ARE-SARI-COVID_bis_KW29_2021_f&#252;r-Krisenstab.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451CD-2869-49DA-B3D9-390A236A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1939</Words>
  <Characters>12216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Schmidt, Christian</cp:lastModifiedBy>
  <cp:revision>6</cp:revision>
  <cp:lastPrinted>2020-05-06T16:43:00Z</cp:lastPrinted>
  <dcterms:created xsi:type="dcterms:W3CDTF">2021-07-28T20:34:00Z</dcterms:created>
  <dcterms:modified xsi:type="dcterms:W3CDTF">2021-07-29T07:57:00Z</dcterms:modified>
</cp:coreProperties>
</file>